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87142" w14:textId="6546FE70" w:rsidR="00505226" w:rsidRDefault="006D3565">
      <w:r>
        <w:t>11/12 Class</w:t>
      </w:r>
    </w:p>
    <w:p w14:paraId="1814ACDC" w14:textId="77777777" w:rsidR="00714390" w:rsidRDefault="00714390"/>
    <w:p w14:paraId="0E06C260" w14:textId="77777777" w:rsidR="00714390" w:rsidRDefault="00714390">
      <w:r w:rsidRPr="00714390">
        <w:t>Tort of battery: Battery is a harmful or offensive contact with another, resulting from an intention</w:t>
      </w:r>
      <w:r>
        <w:t xml:space="preserve"> </w:t>
      </w:r>
      <w:r w:rsidRPr="00714390">
        <w:t>to cause that contact, or from an intention to put another in apprehension that a harmful or</w:t>
      </w:r>
      <w:r>
        <w:t xml:space="preserve"> </w:t>
      </w:r>
      <w:r w:rsidRPr="00714390">
        <w:t>offensive contact is imminent.</w:t>
      </w:r>
    </w:p>
    <w:p w14:paraId="415AA515" w14:textId="345B949F" w:rsidR="00714390" w:rsidRDefault="00714390">
      <w:r w:rsidRPr="00714390">
        <w:br/>
        <w:t>There are 3 kinds of possible physical contact:</w:t>
      </w:r>
      <w:r w:rsidRPr="00714390">
        <w:br/>
        <w:t>i. Direct – plaintiff against defendant.</w:t>
      </w:r>
      <w:r w:rsidRPr="00714390">
        <w:br/>
        <w:t>ii. Indirect – some object set in motion by the defendant (like a weapon).</w:t>
      </w:r>
      <w:r w:rsidRPr="00714390">
        <w:br/>
        <w:t>iii. Indirect – a contact resulting from intention of, even if not set in motion by, the defendant</w:t>
      </w:r>
      <w:r w:rsidRPr="00714390">
        <w:br/>
        <w:t>(like if you pull a chair out from underneath someone).</w:t>
      </w:r>
    </w:p>
    <w:p w14:paraId="52E938EA" w14:textId="77777777" w:rsidR="00714390" w:rsidRDefault="00714390"/>
    <w:p w14:paraId="470E7849" w14:textId="77777777" w:rsidR="00714390" w:rsidRDefault="00714390" w:rsidP="00714390">
      <w:r>
        <w:t xml:space="preserve">The contact in battery need not cause actual physical injury, provided it is offensive. </w:t>
      </w:r>
    </w:p>
    <w:p w14:paraId="7ABAE015" w14:textId="77777777" w:rsidR="00714390" w:rsidRDefault="00714390" w:rsidP="00714390"/>
    <w:p w14:paraId="4A516629" w14:textId="77777777" w:rsidR="00714390" w:rsidRDefault="00714390" w:rsidP="00714390">
      <w:r>
        <w:t xml:space="preserve">There can be no battery without intent on the part of the defendant. But the intent need not be intent to harm. The defendant must simply intend the contact against which the law protects the plaintiff, and under a dual-intent standard, must also intend the contact to be harmful or offensive. Context can make it clear what sort of right parties have not to be touched by others. </w:t>
      </w:r>
    </w:p>
    <w:p w14:paraId="517E3D00" w14:textId="77777777" w:rsidR="00714390" w:rsidRDefault="00714390" w:rsidP="00714390"/>
    <w:p w14:paraId="08C788B2" w14:textId="77777777" w:rsidR="00714390" w:rsidRDefault="00714390" w:rsidP="00714390">
      <w:r>
        <w:t xml:space="preserve">Proper consent is a defense to the tort of battery. </w:t>
      </w:r>
    </w:p>
    <w:p w14:paraId="2A1395FE" w14:textId="72F6FFFD" w:rsidR="00714390" w:rsidRDefault="00714390" w:rsidP="00714390">
      <w:r>
        <w:t>Most important fact to remember about battery in contrast to negligence is the role of intent.</w:t>
      </w:r>
    </w:p>
    <w:p w14:paraId="2408D650" w14:textId="77777777" w:rsidR="001220E2" w:rsidRDefault="001220E2" w:rsidP="00714390"/>
    <w:p w14:paraId="24B09376" w14:textId="77777777" w:rsidR="001220E2" w:rsidRDefault="001220E2" w:rsidP="001220E2">
      <w:r w:rsidRPr="001220E2">
        <w:rPr>
          <w:b/>
          <w:bCs/>
        </w:rPr>
        <w:t>Garrett</w:t>
      </w:r>
      <w:r w:rsidRPr="001220E2">
        <w:br/>
      </w:r>
      <w:r w:rsidRPr="001220E2">
        <w:rPr>
          <w:b/>
          <w:bCs/>
        </w:rPr>
        <w:t>Facts:</w:t>
      </w:r>
      <w:r w:rsidRPr="001220E2">
        <w:t xml:space="preserve"> 5 year old boy moved chair, woman who was trying to sit in the chair fell and broke her</w:t>
      </w:r>
      <w:r w:rsidRPr="001220E2">
        <w:br/>
        <w:t>hip.</w:t>
      </w:r>
    </w:p>
    <w:p w14:paraId="4E574E1D" w14:textId="77777777" w:rsidR="001220E2" w:rsidRDefault="001220E2" w:rsidP="001220E2">
      <w:r w:rsidRPr="001220E2">
        <w:rPr>
          <w:b/>
          <w:bCs/>
        </w:rPr>
        <w:t>Issue:</w:t>
      </w:r>
      <w:r w:rsidRPr="001220E2">
        <w:t xml:space="preserve"> Can a 5 year old be held liable for battery?</w:t>
      </w:r>
    </w:p>
    <w:p w14:paraId="350CCF69" w14:textId="2B58716B" w:rsidR="001220E2" w:rsidRDefault="001220E2" w:rsidP="001220E2">
      <w:r w:rsidRPr="001220E2">
        <w:rPr>
          <w:b/>
          <w:bCs/>
        </w:rPr>
        <w:t>Holding/Reasoning:</w:t>
      </w:r>
      <w:r w:rsidRPr="001220E2">
        <w:t xml:space="preserve"> Yes - court says the intention is irrelevant except insofar as he intentionally</w:t>
      </w:r>
      <w:r>
        <w:t xml:space="preserve"> </w:t>
      </w:r>
      <w:r w:rsidRPr="001220E2">
        <w:t>moved the chair knowing she would sit there. The intent is about the act that causes harm, not</w:t>
      </w:r>
      <w:r>
        <w:t xml:space="preserve"> </w:t>
      </w:r>
      <w:r w:rsidRPr="001220E2">
        <w:t>the</w:t>
      </w:r>
      <w:r>
        <w:t xml:space="preserve"> </w:t>
      </w:r>
      <w:r w:rsidRPr="001220E2">
        <w:t>harm itself. The degree of the consequence or nature of injury is actually irrelevant.</w:t>
      </w:r>
      <w:r>
        <w:t xml:space="preserve"> </w:t>
      </w:r>
      <w:r w:rsidRPr="001220E2">
        <w:t>D’s</w:t>
      </w:r>
      <w:r>
        <w:t xml:space="preserve"> </w:t>
      </w:r>
      <w:r w:rsidRPr="001220E2">
        <w:t>lawyer says the boy only moved the chair to sit in it and when he saw the woman trying to</w:t>
      </w:r>
      <w:r>
        <w:t xml:space="preserve"> </w:t>
      </w:r>
      <w:r w:rsidRPr="001220E2">
        <w:t>sit down he tried to move it back but just couldn’t do it fast enough. Didn’t intend any harm.</w:t>
      </w:r>
      <w:r>
        <w:t xml:space="preserve"> </w:t>
      </w:r>
      <w:r w:rsidRPr="001220E2">
        <w:t>If the jury could conclude that the boy moved the chair with the knowledge that the woman</w:t>
      </w:r>
      <w:r>
        <w:t xml:space="preserve"> </w:t>
      </w:r>
      <w:r w:rsidRPr="001220E2">
        <w:t>would fall to the ground or that it was very likely he would, then the boy is obviously liable. But</w:t>
      </w:r>
      <w:r>
        <w:t xml:space="preserve"> </w:t>
      </w:r>
      <w:r w:rsidRPr="001220E2">
        <w:t>he didn’t intend this.</w:t>
      </w:r>
      <w:r>
        <w:t xml:space="preserve"> </w:t>
      </w:r>
      <w:r w:rsidRPr="001220E2">
        <w:t>We aren’t asking what is reasonable for a five year old in this position, but what the actual</w:t>
      </w:r>
      <w:r>
        <w:t xml:space="preserve"> </w:t>
      </w:r>
      <w:r w:rsidRPr="001220E2">
        <w:t>defendant in this position knew or should have known. It’s not enough that D knew the act was</w:t>
      </w:r>
      <w:r>
        <w:t xml:space="preserve"> </w:t>
      </w:r>
      <w:r w:rsidRPr="001220E2">
        <w:t>risky. Rather he needs to be all but certain it is going to happen.</w:t>
      </w:r>
    </w:p>
    <w:p w14:paraId="531496B1" w14:textId="3BE10F5E" w:rsidR="001220E2" w:rsidRDefault="001220E2" w:rsidP="00714390">
      <w:pPr>
        <w:pStyle w:val="ListParagraph"/>
        <w:numPr>
          <w:ilvl w:val="0"/>
          <w:numId w:val="1"/>
        </w:numPr>
      </w:pPr>
      <w:r>
        <w:t>Key sentence in decision (Khosla)</w:t>
      </w:r>
      <w:r w:rsidR="00665FC7">
        <w:t>: “</w:t>
      </w:r>
      <w:r>
        <w:t>A battery would be established if… when he moved the chair, he knew with substantial certainty that the plaintiff would sit down where the chair had been.”</w:t>
      </w:r>
    </w:p>
    <w:p w14:paraId="2DC86847" w14:textId="315C4E5A" w:rsidR="00564D25" w:rsidRPr="00564D25" w:rsidRDefault="00564D25" w:rsidP="00564D25">
      <w:pPr>
        <w:rPr>
          <w:b/>
          <w:bCs/>
        </w:rPr>
      </w:pPr>
      <w:r w:rsidRPr="00564D25">
        <w:rPr>
          <w:b/>
          <w:bCs/>
        </w:rPr>
        <w:t>Notes:</w:t>
      </w:r>
    </w:p>
    <w:p w14:paraId="66F6AD8D" w14:textId="77777777" w:rsidR="00E5449D" w:rsidRDefault="00E5449D" w:rsidP="002515D0">
      <w:r w:rsidRPr="00E5449D">
        <w:t>D needs substantial certainty P would be hurt; then the defendant is liable.</w:t>
      </w:r>
    </w:p>
    <w:p w14:paraId="3FE3297E" w14:textId="77777777" w:rsidR="00E5449D" w:rsidRDefault="00E5449D" w:rsidP="00E5449D">
      <w:pPr>
        <w:pStyle w:val="ListParagraph"/>
        <w:numPr>
          <w:ilvl w:val="0"/>
          <w:numId w:val="1"/>
        </w:numPr>
      </w:pPr>
      <w:r w:rsidRPr="00E5449D">
        <w:t>Contrast to negligence</w:t>
      </w:r>
    </w:p>
    <w:p w14:paraId="05F677CB" w14:textId="77777777" w:rsidR="00E5449D" w:rsidRDefault="00E5449D" w:rsidP="00E5449D">
      <w:pPr>
        <w:pStyle w:val="ListParagraph"/>
        <w:numPr>
          <w:ilvl w:val="1"/>
          <w:numId w:val="1"/>
        </w:numPr>
      </w:pPr>
      <w:r w:rsidRPr="00E5449D">
        <w:t>No reasonable person standard</w:t>
      </w:r>
    </w:p>
    <w:p w14:paraId="0223C10A" w14:textId="77777777" w:rsidR="00E5449D" w:rsidRDefault="00E5449D" w:rsidP="00E5449D">
      <w:pPr>
        <w:pStyle w:val="ListParagraph"/>
        <w:numPr>
          <w:ilvl w:val="1"/>
          <w:numId w:val="1"/>
        </w:numPr>
      </w:pPr>
      <w:r w:rsidRPr="00E5449D">
        <w:t>Uses intent.</w:t>
      </w:r>
    </w:p>
    <w:p w14:paraId="7E40E0DE" w14:textId="1958E3B1" w:rsidR="00E5449D" w:rsidRDefault="00E5449D" w:rsidP="00E5449D">
      <w:pPr>
        <w:pStyle w:val="ListParagraph"/>
        <w:numPr>
          <w:ilvl w:val="1"/>
          <w:numId w:val="1"/>
        </w:numPr>
      </w:pPr>
      <w:r w:rsidRPr="00E5449D">
        <w:lastRenderedPageBreak/>
        <w:t>Knowing something is risky not sufficient, need reasonable certainty.</w:t>
      </w:r>
    </w:p>
    <w:p w14:paraId="0761B10F" w14:textId="77777777" w:rsidR="00E5449D" w:rsidRDefault="00E5449D" w:rsidP="00E5449D">
      <w:pPr>
        <w:pStyle w:val="ListParagraph"/>
        <w:numPr>
          <w:ilvl w:val="0"/>
          <w:numId w:val="1"/>
        </w:numPr>
      </w:pPr>
      <w:r w:rsidRPr="00E5449D">
        <w:t>If he could establish he was only joking around, then he is still liable under the tort of</w:t>
      </w:r>
      <w:r w:rsidRPr="00E5449D">
        <w:br/>
        <w:t>battery because his purpose is irrelevant.</w:t>
      </w:r>
    </w:p>
    <w:p w14:paraId="55656A91" w14:textId="77777777" w:rsidR="00E5449D" w:rsidRDefault="00E5449D" w:rsidP="00E5449D">
      <w:pPr>
        <w:pStyle w:val="ListParagraph"/>
        <w:numPr>
          <w:ilvl w:val="0"/>
          <w:numId w:val="1"/>
        </w:numPr>
      </w:pPr>
      <w:r w:rsidRPr="00E5449D">
        <w:t>But if liability was based on culpability alone we would think liability wouldn’t attach.</w:t>
      </w:r>
    </w:p>
    <w:p w14:paraId="174A99EF" w14:textId="4B2EED3C" w:rsidR="00E5449D" w:rsidRDefault="00E5449D" w:rsidP="00E5449D">
      <w:pPr>
        <w:pStyle w:val="ListParagraph"/>
        <w:numPr>
          <w:ilvl w:val="0"/>
          <w:numId w:val="1"/>
        </w:numPr>
      </w:pPr>
      <w:r w:rsidRPr="00E5449D">
        <w:t>Intent can be inferred from knowledge. If D has knowledge, then necessary intent is</w:t>
      </w:r>
      <w:r>
        <w:t xml:space="preserve"> </w:t>
      </w:r>
      <w:r w:rsidRPr="00E5449D">
        <w:t xml:space="preserve">thereby established. Without knowledge, no wrongful act. </w:t>
      </w:r>
    </w:p>
    <w:p w14:paraId="01C0B989" w14:textId="77777777" w:rsidR="00E5449D" w:rsidRDefault="00E5449D" w:rsidP="00E5449D">
      <w:pPr>
        <w:pStyle w:val="ListParagraph"/>
        <w:numPr>
          <w:ilvl w:val="0"/>
          <w:numId w:val="1"/>
        </w:numPr>
      </w:pPr>
      <w:r w:rsidRPr="00E5449D">
        <w:t>Substantial certainty is doing two things</w:t>
      </w:r>
    </w:p>
    <w:p w14:paraId="6EA75847" w14:textId="77777777" w:rsidR="00E5449D" w:rsidRDefault="00E5449D" w:rsidP="00E5449D">
      <w:pPr>
        <w:pStyle w:val="ListParagraph"/>
        <w:numPr>
          <w:ilvl w:val="1"/>
          <w:numId w:val="1"/>
        </w:numPr>
      </w:pPr>
      <w:r w:rsidRPr="00E5449D">
        <w:t>Being a surrogate for simply the subjective purpose of causing harm.</w:t>
      </w:r>
    </w:p>
    <w:p w14:paraId="4F04886C" w14:textId="68C7B058" w:rsidR="00E5449D" w:rsidRDefault="00E5449D" w:rsidP="00E5449D">
      <w:pPr>
        <w:pStyle w:val="ListParagraph"/>
        <w:numPr>
          <w:ilvl w:val="1"/>
          <w:numId w:val="1"/>
        </w:numPr>
      </w:pPr>
      <w:r w:rsidRPr="00E5449D">
        <w:t>Acting with substantial certainty one will cause harm means one is not being</w:t>
      </w:r>
      <w:r>
        <w:t xml:space="preserve"> </w:t>
      </w:r>
      <w:r w:rsidRPr="00E5449D">
        <w:t>merely reckless, but is actually doing something more. And so there’s a situation</w:t>
      </w:r>
      <w:r>
        <w:t xml:space="preserve"> </w:t>
      </w:r>
      <w:r w:rsidRPr="00E5449D">
        <w:t>in which, depending on how much is actually known by the plaintiff, intention</w:t>
      </w:r>
      <w:r>
        <w:t xml:space="preserve"> </w:t>
      </w:r>
      <w:r w:rsidRPr="00E5449D">
        <w:t>and recklessness can be actually quite close to each other.</w:t>
      </w:r>
    </w:p>
    <w:p w14:paraId="4CF7D4AF" w14:textId="3DCBD058" w:rsidR="002515D0" w:rsidRDefault="00E5449D" w:rsidP="00E5449D">
      <w:pPr>
        <w:pStyle w:val="ListParagraph"/>
        <w:numPr>
          <w:ilvl w:val="0"/>
          <w:numId w:val="1"/>
        </w:numPr>
      </w:pPr>
      <w:r w:rsidRPr="00E5449D">
        <w:t>The action itself can be intentional, but if you don’t know it’s going to cause something,</w:t>
      </w:r>
      <w:r w:rsidRPr="00E5449D">
        <w:br/>
        <w:t>then it’s negligence. But if you do, it’s battery. Substantial certainty is what makes the</w:t>
      </w:r>
      <w:r w:rsidRPr="00E5449D">
        <w:br/>
        <w:t>difference between these two situations.</w:t>
      </w:r>
    </w:p>
    <w:p w14:paraId="4D73E66D" w14:textId="77777777" w:rsidR="000B0913" w:rsidRDefault="000B0913" w:rsidP="000B0913"/>
    <w:p w14:paraId="2CDA72F6" w14:textId="77777777" w:rsidR="000B0913" w:rsidRDefault="000B0913" w:rsidP="000B0913">
      <w:r w:rsidRPr="000B0913">
        <w:rPr>
          <w:b/>
          <w:bCs/>
        </w:rPr>
        <w:t>Putney</w:t>
      </w:r>
      <w:r w:rsidRPr="000B0913">
        <w:br/>
      </w:r>
      <w:r w:rsidRPr="000B0913">
        <w:rPr>
          <w:b/>
          <w:bCs/>
        </w:rPr>
        <w:t>Facts:</w:t>
      </w:r>
      <w:r w:rsidRPr="000B0913">
        <w:t xml:space="preserve"> Schoolboy kicked a classmate in the shin, and the plaintiff becomes lame. The plaintiff</w:t>
      </w:r>
      <w:r>
        <w:t xml:space="preserve"> </w:t>
      </w:r>
      <w:r w:rsidRPr="000B0913">
        <w:t>had a disease/prior injury that was exacerbated by the kick.</w:t>
      </w:r>
      <w:r w:rsidRPr="000B0913">
        <w:br/>
      </w:r>
      <w:r w:rsidRPr="000B0913">
        <w:rPr>
          <w:b/>
          <w:bCs/>
        </w:rPr>
        <w:t>Issue:</w:t>
      </w:r>
      <w:r w:rsidRPr="000B0913">
        <w:t xml:space="preserve"> Should D be exempt from liability because 1) he didn’t intend to harm anyone, 2) there</w:t>
      </w:r>
      <w:r>
        <w:t xml:space="preserve"> </w:t>
      </w:r>
      <w:r w:rsidRPr="000B0913">
        <w:t>was consent to this sort of ordinary schoolchild playing around, 3) it’s not clear the kick was the</w:t>
      </w:r>
      <w:r>
        <w:t xml:space="preserve"> </w:t>
      </w:r>
      <w:r w:rsidRPr="000B0913">
        <w:t>actual cause of the lameness/full extent of the injury, 4) damages should be limited?</w:t>
      </w:r>
      <w:r w:rsidRPr="000B0913">
        <w:br/>
      </w:r>
      <w:r w:rsidRPr="000B0913">
        <w:rPr>
          <w:b/>
          <w:bCs/>
        </w:rPr>
        <w:t>Holding/Reasoning:</w:t>
      </w:r>
      <w:r w:rsidRPr="000B0913">
        <w:t xml:space="preserve"> Court says 1) if the act itself was unlawful, then the intent to commit the</w:t>
      </w:r>
      <w:r>
        <w:t xml:space="preserve"> </w:t>
      </w:r>
      <w:r w:rsidRPr="000B0913">
        <w:t>act was also unlawful, 2) Maybe there was implicit consent in a physical environment like a</w:t>
      </w:r>
      <w:r>
        <w:t xml:space="preserve"> </w:t>
      </w:r>
      <w:r w:rsidRPr="000B0913">
        <w:t>playground, but since this was in a classroom it was not that sort of environment 3) remands on</w:t>
      </w:r>
      <w:r>
        <w:t xml:space="preserve"> </w:t>
      </w:r>
      <w:r w:rsidRPr="000B0913">
        <w:t>causation point, but even the new trial still finds proximate cause.</w:t>
      </w:r>
    </w:p>
    <w:p w14:paraId="50815698" w14:textId="77777777" w:rsidR="000B0913" w:rsidRDefault="000B0913" w:rsidP="000B0913">
      <w:pPr>
        <w:pStyle w:val="ListParagraph"/>
        <w:numPr>
          <w:ilvl w:val="0"/>
          <w:numId w:val="1"/>
        </w:numPr>
      </w:pPr>
      <w:r w:rsidRPr="000B0913">
        <w:t>Unlawful conduct? This isn’t criminal law though. → seems to be using unlawful to</w:t>
      </w:r>
      <w:r w:rsidRPr="000B0913">
        <w:br/>
        <w:t>mean violating norms of behavior</w:t>
      </w:r>
    </w:p>
    <w:p w14:paraId="7A0B6C7E" w14:textId="77777777" w:rsidR="000B0913" w:rsidRDefault="000B0913" w:rsidP="000B0913">
      <w:pPr>
        <w:pStyle w:val="ListParagraph"/>
        <w:numPr>
          <w:ilvl w:val="1"/>
          <w:numId w:val="1"/>
        </w:numPr>
      </w:pPr>
      <w:r w:rsidRPr="000B0913">
        <w:t>The court seems to be saying unlawful “loosely,” insofar as the kid violated</w:t>
      </w:r>
      <w:r w:rsidRPr="000B0913">
        <w:br/>
        <w:t>norms of permissible behavior in the setting in which it took place. By departing</w:t>
      </w:r>
      <w:r w:rsidRPr="000B0913">
        <w:br/>
        <w:t>from the norm, this is unlawful.</w:t>
      </w:r>
    </w:p>
    <w:p w14:paraId="6AB71DF7" w14:textId="185E706B" w:rsidR="000B0913" w:rsidRPr="000B0913" w:rsidRDefault="000B0913" w:rsidP="000B0913">
      <w:pPr>
        <w:pStyle w:val="ListParagraph"/>
        <w:numPr>
          <w:ilvl w:val="0"/>
          <w:numId w:val="1"/>
        </w:numPr>
      </w:pPr>
      <w:r w:rsidRPr="000B0913">
        <w:t>The intent that matters here is intent to touch in an impermissible way. Unlawful action</w:t>
      </w:r>
      <w:r w:rsidRPr="000B0913">
        <w:br/>
        <w:t>goes to this intent; the court holds that as long as you touched in an unlawful way, you</w:t>
      </w:r>
      <w:r w:rsidRPr="000B0913">
        <w:br/>
        <w:t>have requisite intent to satisfy elements of battery.</w:t>
      </w:r>
    </w:p>
    <w:p w14:paraId="0569E85B" w14:textId="77777777" w:rsidR="000B0913" w:rsidRDefault="000B0913" w:rsidP="000B0913">
      <w:pPr>
        <w:rPr>
          <w:b/>
          <w:bCs/>
        </w:rPr>
      </w:pPr>
      <w:r w:rsidRPr="000B0913">
        <w:rPr>
          <w:b/>
          <w:bCs/>
        </w:rPr>
        <w:t>Notes:</w:t>
      </w:r>
    </w:p>
    <w:p w14:paraId="1781901D" w14:textId="77777777" w:rsidR="000B0913" w:rsidRDefault="000B0913" w:rsidP="000B0913">
      <w:pPr>
        <w:pStyle w:val="ListParagraph"/>
        <w:numPr>
          <w:ilvl w:val="0"/>
          <w:numId w:val="1"/>
        </w:numPr>
      </w:pPr>
      <w:r w:rsidRPr="000B0913">
        <w:t>How should we read Putney? Two extremes possible; either any touching is battery, or</w:t>
      </w:r>
      <w:r w:rsidRPr="000B0913">
        <w:br/>
        <w:t>you have to intend specific harm that befell the defendant. → here, the court says that</w:t>
      </w:r>
      <w:r w:rsidRPr="000B0913">
        <w:br/>
        <w:t>intent element of battery is satisfied if touching is unlawful under the circumstances</w:t>
      </w:r>
    </w:p>
    <w:p w14:paraId="04B56427" w14:textId="4C148818" w:rsidR="007B41C7" w:rsidRDefault="007B41C7" w:rsidP="007B41C7">
      <w:pPr>
        <w:pStyle w:val="ListParagraph"/>
        <w:numPr>
          <w:ilvl w:val="1"/>
          <w:numId w:val="1"/>
        </w:numPr>
      </w:pPr>
      <w:r>
        <w:t>1</w:t>
      </w:r>
      <w:r w:rsidRPr="007B41C7">
        <w:rPr>
          <w:vertAlign w:val="superscript"/>
        </w:rPr>
        <w:t>st</w:t>
      </w:r>
      <w:r>
        <w:t xml:space="preserve"> extreme would be absurd and 2</w:t>
      </w:r>
      <w:r w:rsidRPr="007B41C7">
        <w:rPr>
          <w:vertAlign w:val="superscript"/>
        </w:rPr>
        <w:t>nd</w:t>
      </w:r>
      <w:r>
        <w:t xml:space="preserve"> extreme would let too many people get away with it. </w:t>
      </w:r>
      <w:r w:rsidR="00A37A78">
        <w:t xml:space="preserve">In lieu of these alternatives, </w:t>
      </w:r>
      <w:r w:rsidR="00293701">
        <w:t>court lays out the requirement that</w:t>
      </w:r>
      <w:r w:rsidR="00A37A78">
        <w:t xml:space="preserve"> </w:t>
      </w:r>
      <w:r w:rsidR="00293701">
        <w:t>DF</w:t>
      </w:r>
      <w:r w:rsidR="00A37A78">
        <w:t xml:space="preserve"> acted with the intent to cause a certain type of contact that is considered to be harmful or offensive under prevailing social norms. </w:t>
      </w:r>
    </w:p>
    <w:p w14:paraId="1B1E36A8" w14:textId="77777777" w:rsidR="000B0913" w:rsidRDefault="000B0913" w:rsidP="000B0913">
      <w:pPr>
        <w:pStyle w:val="ListParagraph"/>
        <w:numPr>
          <w:ilvl w:val="0"/>
          <w:numId w:val="1"/>
        </w:numPr>
      </w:pPr>
      <w:r w:rsidRPr="000B0913">
        <w:t>Transferred intent:</w:t>
      </w:r>
    </w:p>
    <w:p w14:paraId="566E98E2" w14:textId="77777777" w:rsidR="000B0913" w:rsidRDefault="000B0913" w:rsidP="000B0913">
      <w:pPr>
        <w:pStyle w:val="ListParagraph"/>
        <w:numPr>
          <w:ilvl w:val="1"/>
          <w:numId w:val="1"/>
        </w:numPr>
      </w:pPr>
      <w:r w:rsidRPr="000B0913">
        <w:lastRenderedPageBreak/>
        <w:t>Although the defendant must intend a harmful or offensive contact with another</w:t>
      </w:r>
      <w:r w:rsidRPr="000B0913">
        <w:br/>
        <w:t>person, the individual who is actually harmed need not be the one the defendant</w:t>
      </w:r>
      <w:r>
        <w:t xml:space="preserve"> </w:t>
      </w:r>
      <w:r w:rsidRPr="000B0913">
        <w:t>intended to harm. Essentially, the defendant’s conduct is deemed so</w:t>
      </w:r>
      <w:r>
        <w:t xml:space="preserve"> </w:t>
      </w:r>
      <w:r w:rsidRPr="000B0913">
        <w:t>blameworthy</w:t>
      </w:r>
      <w:r>
        <w:t xml:space="preserve"> </w:t>
      </w:r>
      <w:r w:rsidRPr="000B0913">
        <w:t>that escaping liability because he harms someone else is</w:t>
      </w:r>
      <w:r>
        <w:t xml:space="preserve"> </w:t>
      </w:r>
      <w:r w:rsidRPr="000B0913">
        <w:t>considered inappropriate.</w:t>
      </w:r>
      <w:r>
        <w:t xml:space="preserve"> </w:t>
      </w:r>
      <w:r w:rsidRPr="000B0913">
        <w:t>This doctrine isn’t just used where A was the target,</w:t>
      </w:r>
      <w:r>
        <w:t xml:space="preserve"> </w:t>
      </w:r>
      <w:r w:rsidRPr="000B0913">
        <w:t>but B was hurt instead. It can</w:t>
      </w:r>
      <w:r>
        <w:t xml:space="preserve"> </w:t>
      </w:r>
      <w:r w:rsidRPr="000B0913">
        <w:t>also be used when we can’t identify/prove the</w:t>
      </w:r>
      <w:r>
        <w:t xml:space="preserve"> </w:t>
      </w:r>
      <w:r w:rsidRPr="000B0913">
        <w:t>particular target, but it is clear the</w:t>
      </w:r>
      <w:r>
        <w:t xml:space="preserve"> </w:t>
      </w:r>
      <w:r w:rsidRPr="000B0913">
        <w:t>defendant intended to harm someone/acted</w:t>
      </w:r>
      <w:r>
        <w:t xml:space="preserve"> </w:t>
      </w:r>
      <w:r w:rsidRPr="000B0913">
        <w:t>with knowledge the harm was</w:t>
      </w:r>
      <w:r>
        <w:t xml:space="preserve"> </w:t>
      </w:r>
      <w:r w:rsidRPr="000B0913">
        <w:t>substantially certain to occur.</w:t>
      </w:r>
    </w:p>
    <w:p w14:paraId="2DEF88A7" w14:textId="77777777" w:rsidR="000B0913" w:rsidRDefault="000B0913" w:rsidP="000B0913">
      <w:pPr>
        <w:pStyle w:val="ListParagraph"/>
        <w:numPr>
          <w:ilvl w:val="1"/>
          <w:numId w:val="1"/>
        </w:numPr>
      </w:pPr>
      <w:r w:rsidRPr="000B0913">
        <w:t>Tort itself may be changed during a transfer of intent (intent sufficient for assault</w:t>
      </w:r>
      <w:r w:rsidRPr="000B0913">
        <w:br/>
        <w:t>against x could be sufficient for battery against y)</w:t>
      </w:r>
    </w:p>
    <w:p w14:paraId="6DDBA1D8" w14:textId="77777777" w:rsidR="000B0913" w:rsidRDefault="000B0913" w:rsidP="000B0913">
      <w:pPr>
        <w:pStyle w:val="ListParagraph"/>
        <w:numPr>
          <w:ilvl w:val="0"/>
          <w:numId w:val="1"/>
        </w:numPr>
      </w:pPr>
      <w:r w:rsidRPr="000B0913">
        <w:t>Defenses to battery:</w:t>
      </w:r>
    </w:p>
    <w:p w14:paraId="5735F21B" w14:textId="77777777" w:rsidR="000B0913" w:rsidRDefault="000B0913" w:rsidP="000B0913">
      <w:pPr>
        <w:pStyle w:val="ListParagraph"/>
        <w:numPr>
          <w:ilvl w:val="1"/>
          <w:numId w:val="1"/>
        </w:numPr>
      </w:pPr>
      <w:r w:rsidRPr="000B0913">
        <w:t>consent,</w:t>
      </w:r>
    </w:p>
    <w:p w14:paraId="44AE70FA" w14:textId="77777777" w:rsidR="000B0913" w:rsidRDefault="000B0913" w:rsidP="000B0913">
      <w:pPr>
        <w:pStyle w:val="ListParagraph"/>
        <w:numPr>
          <w:ilvl w:val="1"/>
          <w:numId w:val="1"/>
        </w:numPr>
      </w:pPr>
      <w:r w:rsidRPr="000B0913">
        <w:t>self-defense/defense of others.</w:t>
      </w:r>
    </w:p>
    <w:p w14:paraId="0E057868" w14:textId="24FEE2A5" w:rsidR="000B0913" w:rsidRPr="000B0913" w:rsidRDefault="000B0913" w:rsidP="000B0913">
      <w:pPr>
        <w:pStyle w:val="ListParagraph"/>
        <w:numPr>
          <w:ilvl w:val="2"/>
          <w:numId w:val="1"/>
        </w:numPr>
      </w:pPr>
      <w:r w:rsidRPr="000B0913">
        <w:t>Equivalence rule: if there is a threat of death or serious bodily harm, then</w:t>
      </w:r>
      <w:r>
        <w:t xml:space="preserve"> </w:t>
      </w:r>
      <w:r w:rsidRPr="000B0913">
        <w:t>the defendant is privileged to defend himself or another with an</w:t>
      </w:r>
      <w:r>
        <w:t xml:space="preserve"> </w:t>
      </w:r>
      <w:r w:rsidRPr="000B0913">
        <w:t>equivalent</w:t>
      </w:r>
      <w:r>
        <w:t xml:space="preserve"> </w:t>
      </w:r>
      <w:r w:rsidRPr="000B0913">
        <w:t>amount of force, but if the threat is of lesser harm, then lesser force must</w:t>
      </w:r>
      <w:r>
        <w:t xml:space="preserve"> </w:t>
      </w:r>
      <w:r w:rsidRPr="000B0913">
        <w:t>be used in defense or the privilege is lost. Sometimes, if there is a means</w:t>
      </w:r>
      <w:r>
        <w:t xml:space="preserve"> </w:t>
      </w:r>
      <w:r w:rsidRPr="000B0913">
        <w:t>of escape or retreat, the use of force in defense is not</w:t>
      </w:r>
      <w:r>
        <w:t xml:space="preserve"> </w:t>
      </w:r>
      <w:r w:rsidRPr="000B0913">
        <w:t>privileged, except in</w:t>
      </w:r>
      <w:r>
        <w:t xml:space="preserve"> </w:t>
      </w:r>
      <w:r w:rsidRPr="000B0913">
        <w:t>one’s home.</w:t>
      </w:r>
    </w:p>
    <w:p w14:paraId="5ACB3ED0" w14:textId="77777777" w:rsidR="000B0913" w:rsidRDefault="000B0913" w:rsidP="000B0913"/>
    <w:p w14:paraId="398EE367" w14:textId="69D0848C" w:rsidR="00634B34" w:rsidRPr="00B867E8" w:rsidRDefault="00634B34" w:rsidP="000B0913">
      <w:pPr>
        <w:rPr>
          <w:b/>
          <w:bCs/>
        </w:rPr>
      </w:pPr>
      <w:r w:rsidRPr="00B867E8">
        <w:rPr>
          <w:b/>
          <w:bCs/>
        </w:rPr>
        <w:t>Wishnatsky v Huey</w:t>
      </w:r>
    </w:p>
    <w:p w14:paraId="2F6AE195" w14:textId="60572D0A" w:rsidR="00B867E8" w:rsidRDefault="00B867E8" w:rsidP="000B0913">
      <w:r w:rsidRPr="00B867E8">
        <w:rPr>
          <w:b/>
          <w:bCs/>
        </w:rPr>
        <w:t>Facts:</w:t>
      </w:r>
      <w:r>
        <w:rPr>
          <w:b/>
          <w:bCs/>
        </w:rPr>
        <w:t xml:space="preserve"> </w:t>
      </w:r>
      <w:r w:rsidR="00564D25">
        <w:t xml:space="preserve">DF, who was an assistant attorney general was talking to another attorney in their office. PL who was the other attorney’s </w:t>
      </w:r>
      <w:r w:rsidR="009B47DC">
        <w:t>paralegal</w:t>
      </w:r>
      <w:r w:rsidR="00564D25">
        <w:t>, tried to enter the room and DF pushed the door to close it, shoving PL into the hallway. PL brought battery claim; it was dismissed in trial court, then appealed.</w:t>
      </w:r>
    </w:p>
    <w:p w14:paraId="1DDCDFCD" w14:textId="0F5E059E" w:rsidR="00FE464F" w:rsidRPr="00564D25" w:rsidRDefault="00FE464F" w:rsidP="00FE464F">
      <w:pPr>
        <w:pStyle w:val="ListParagraph"/>
        <w:numPr>
          <w:ilvl w:val="0"/>
          <w:numId w:val="1"/>
        </w:numPr>
      </w:pPr>
      <w:r>
        <w:t>PL did not knock or announce presence</w:t>
      </w:r>
    </w:p>
    <w:p w14:paraId="1053829C" w14:textId="77777777" w:rsidR="00FE464F" w:rsidRDefault="00B867E8" w:rsidP="000B0913">
      <w:r w:rsidRPr="00B867E8">
        <w:rPr>
          <w:b/>
          <w:bCs/>
        </w:rPr>
        <w:t>Issue:</w:t>
      </w:r>
      <w:r>
        <w:t xml:space="preserve"> </w:t>
      </w:r>
      <w:r w:rsidR="00FE464F">
        <w:t>Did this door closing/pushing constitute battery?</w:t>
      </w:r>
      <w:r w:rsidRPr="00B867E8">
        <w:rPr>
          <w:b/>
          <w:bCs/>
        </w:rPr>
        <w:br/>
        <w:t>Holding:</w:t>
      </w:r>
      <w:r>
        <w:t xml:space="preserve"> </w:t>
      </w:r>
      <w:r w:rsidR="00FE464F">
        <w:t>No</w:t>
      </w:r>
    </w:p>
    <w:p w14:paraId="3F25F41C" w14:textId="72E4AEF2" w:rsidR="00FE464F" w:rsidRDefault="00FE464F" w:rsidP="00FE464F">
      <w:pPr>
        <w:pStyle w:val="ListParagraph"/>
        <w:numPr>
          <w:ilvl w:val="0"/>
          <w:numId w:val="1"/>
        </w:numPr>
      </w:pPr>
      <w:r>
        <w:t>Concept of battery evolved from “infliction of physical injury” (18</w:t>
      </w:r>
      <w:r w:rsidRPr="00FE464F">
        <w:rPr>
          <w:vertAlign w:val="superscript"/>
        </w:rPr>
        <w:t>th</w:t>
      </w:r>
      <w:r>
        <w:t xml:space="preserve"> century) to willful and offensive body contact</w:t>
      </w:r>
    </w:p>
    <w:p w14:paraId="26F22F94" w14:textId="77462FBA" w:rsidR="00FE464F" w:rsidRDefault="00FE464F" w:rsidP="00FE464F">
      <w:pPr>
        <w:pStyle w:val="ListParagraph"/>
        <w:numPr>
          <w:ilvl w:val="0"/>
          <w:numId w:val="1"/>
        </w:numPr>
      </w:pPr>
      <w:r>
        <w:t>Huey conduct “rude and abrupt” but did not rise to battery as “did not offend ordinary person’s sense of dignity”</w:t>
      </w:r>
    </w:p>
    <w:p w14:paraId="7C2F6F3F" w14:textId="5C274DD8" w:rsidR="00FE464F" w:rsidRDefault="00FE464F" w:rsidP="00FE464F">
      <w:pPr>
        <w:pStyle w:val="ListParagraph"/>
        <w:numPr>
          <w:ilvl w:val="1"/>
          <w:numId w:val="1"/>
        </w:numPr>
      </w:pPr>
      <w:r>
        <w:t>Momentary, indirect, incidental contact</w:t>
      </w:r>
    </w:p>
    <w:p w14:paraId="076CDD1E" w14:textId="1AEE3A6C" w:rsidR="00FE464F" w:rsidRPr="00FE464F" w:rsidRDefault="00FE464F" w:rsidP="00FE464F">
      <w:pPr>
        <w:pStyle w:val="ListParagraph"/>
        <w:numPr>
          <w:ilvl w:val="0"/>
          <w:numId w:val="1"/>
        </w:numPr>
      </w:pPr>
      <w:r>
        <w:t xml:space="preserve">Wishnatsky over-sensitive? </w:t>
      </w:r>
      <w:r w:rsidR="00CB1E7C">
        <w:t>Objective</w:t>
      </w:r>
      <w:r>
        <w:t xml:space="preserve"> standard</w:t>
      </w:r>
      <w:r w:rsidR="00CB1E7C">
        <w:t>, not subjective perception</w:t>
      </w:r>
    </w:p>
    <w:p w14:paraId="237FC445" w14:textId="2E12A8D2" w:rsidR="00B867E8" w:rsidRDefault="00B867E8" w:rsidP="00FE464F">
      <w:r w:rsidRPr="00FE464F">
        <w:rPr>
          <w:b/>
          <w:bCs/>
        </w:rPr>
        <w:t>Notes:</w:t>
      </w:r>
      <w:r>
        <w:t xml:space="preserve"> </w:t>
      </w:r>
    </w:p>
    <w:p w14:paraId="7070B4F4" w14:textId="76F19AD9" w:rsidR="00FE464F" w:rsidRPr="00B867E8" w:rsidRDefault="00FE464F" w:rsidP="00FE464F">
      <w:pPr>
        <w:pStyle w:val="ListParagraph"/>
        <w:numPr>
          <w:ilvl w:val="0"/>
          <w:numId w:val="1"/>
        </w:numPr>
      </w:pPr>
      <w:r>
        <w:t>See definitions laid out on page 914 for 2</w:t>
      </w:r>
      <w:r w:rsidRPr="00FE464F">
        <w:rPr>
          <w:vertAlign w:val="superscript"/>
        </w:rPr>
        <w:t>nd</w:t>
      </w:r>
      <w:r>
        <w:t xml:space="preserve"> Restatement definitions.</w:t>
      </w:r>
    </w:p>
    <w:p w14:paraId="33ACADA2" w14:textId="77777777" w:rsidR="00634B34" w:rsidRDefault="00634B34" w:rsidP="000B0913"/>
    <w:p w14:paraId="0A541BEB" w14:textId="019E11E9" w:rsidR="00634B34" w:rsidRPr="00202EDD" w:rsidRDefault="00634B34" w:rsidP="000B0913">
      <w:pPr>
        <w:rPr>
          <w:b/>
          <w:bCs/>
        </w:rPr>
      </w:pPr>
      <w:r w:rsidRPr="00202EDD">
        <w:rPr>
          <w:b/>
          <w:bCs/>
        </w:rPr>
        <w:t>Mohr v Williams</w:t>
      </w:r>
    </w:p>
    <w:p w14:paraId="00CA0D89" w14:textId="16EF9D37" w:rsidR="00634B34" w:rsidRDefault="00202EDD" w:rsidP="000B0913">
      <w:r w:rsidRPr="00202EDD">
        <w:rPr>
          <w:b/>
          <w:bCs/>
        </w:rPr>
        <w:t>Facts</w:t>
      </w:r>
      <w:r>
        <w:t>:</w:t>
      </w:r>
      <w:r w:rsidR="00AF0F86">
        <w:t xml:space="preserve"> Surgeon inspects patient’s left and right ears, advised PL to undergo surgery on the right ear. While PL was unconscious on the surgery table, DF found that the condition of the left ear was much more serious and the right ear not so much. Without PL’s consent, DF successfully performed surgery on the left ear. PL claims that DF’s surgery on the left ear impacted her hearing for assault &amp; battery. </w:t>
      </w:r>
    </w:p>
    <w:p w14:paraId="721A4566" w14:textId="09E6888A" w:rsidR="00202EDD" w:rsidRPr="00AF0F86" w:rsidRDefault="00202EDD" w:rsidP="000B0913">
      <w:r w:rsidRPr="00AF0F86">
        <w:rPr>
          <w:b/>
          <w:bCs/>
        </w:rPr>
        <w:lastRenderedPageBreak/>
        <w:t xml:space="preserve">Issue: </w:t>
      </w:r>
      <w:r w:rsidR="00AF0F86">
        <w:t>By consenting to surgery on the right ear, did PL consent to surgery on the left ear as well?</w:t>
      </w:r>
    </w:p>
    <w:p w14:paraId="038C06DC" w14:textId="17FFBBC3" w:rsidR="00202EDD" w:rsidRDefault="00202EDD" w:rsidP="000B0913">
      <w:r w:rsidRPr="00AF0F86">
        <w:rPr>
          <w:b/>
          <w:bCs/>
        </w:rPr>
        <w:t>Holding</w:t>
      </w:r>
      <w:r>
        <w:t>:</w:t>
      </w:r>
      <w:r w:rsidR="00AF0F86">
        <w:t xml:space="preserve"> No</w:t>
      </w:r>
    </w:p>
    <w:p w14:paraId="7EE612E9" w14:textId="523A8E16" w:rsidR="00AF0F86" w:rsidRDefault="00AF0F86" w:rsidP="00AF0F86">
      <w:pPr>
        <w:pStyle w:val="ListParagraph"/>
        <w:numPr>
          <w:ilvl w:val="0"/>
          <w:numId w:val="1"/>
        </w:numPr>
      </w:pPr>
      <w:r>
        <w:t>Consent to operation on one ear does not extend to the other.</w:t>
      </w:r>
    </w:p>
    <w:p w14:paraId="5BCD08C1" w14:textId="76F51FCA" w:rsidR="00AF0F86" w:rsidRDefault="00AF0F86" w:rsidP="00AF0F86">
      <w:pPr>
        <w:pStyle w:val="ListParagraph"/>
        <w:numPr>
          <w:ilvl w:val="0"/>
          <w:numId w:val="1"/>
        </w:numPr>
      </w:pPr>
      <w:r>
        <w:t>Wrongful unless justified by circumstances (implied consent may be found in life threatening situation or emergency)</w:t>
      </w:r>
      <w:r w:rsidR="00A040FB">
        <w:t>, not found here</w:t>
      </w:r>
    </w:p>
    <w:p w14:paraId="62B173D9" w14:textId="4DA65A6A" w:rsidR="00A040FB" w:rsidRDefault="00D55CAC" w:rsidP="0084687A">
      <w:pPr>
        <w:pStyle w:val="ListParagraph"/>
        <w:numPr>
          <w:ilvl w:val="0"/>
          <w:numId w:val="1"/>
        </w:numPr>
      </w:pPr>
      <w:r w:rsidRPr="00D55CAC">
        <w:t>Doctors</w:t>
      </w:r>
      <w:r w:rsidRPr="00D55CAC">
        <w:t xml:space="preserve"> don't have free license to perform any surgery they wish</w:t>
      </w:r>
      <w:r>
        <w:t xml:space="preserve">. </w:t>
      </w:r>
      <w:r w:rsidR="00A040FB">
        <w:t>U</w:t>
      </w:r>
      <w:r w:rsidR="00A040FB" w:rsidRPr="00A040FB">
        <w:t>nconsented contact without privilege is a technical battery, even if it is helpful. However, this should be accounted for in damages.</w:t>
      </w:r>
    </w:p>
    <w:p w14:paraId="2710D78A" w14:textId="392FA6A5" w:rsidR="0084687A" w:rsidRDefault="0084687A" w:rsidP="0084687A">
      <w:pPr>
        <w:pStyle w:val="ListParagraph"/>
        <w:numPr>
          <w:ilvl w:val="1"/>
          <w:numId w:val="1"/>
        </w:numPr>
      </w:pPr>
      <w:r>
        <w:t xml:space="preserve">Brown J. </w:t>
      </w:r>
      <w:r w:rsidRPr="0084687A">
        <w:t>"every person has a right to complete immunity of his person from physical interference of others, except in so far as contact may be necessary under the general doctrine of privilege; and any unauthorized touching of the person of another, except it be in the spirit of pleasantry, constitutes an assault and battery."</w:t>
      </w:r>
    </w:p>
    <w:p w14:paraId="3525CE47" w14:textId="4561BF81" w:rsidR="00AF0F86" w:rsidRDefault="00AF0F86" w:rsidP="00AF0F86">
      <w:pPr>
        <w:pStyle w:val="ListParagraph"/>
        <w:numPr>
          <w:ilvl w:val="0"/>
          <w:numId w:val="1"/>
        </w:numPr>
      </w:pPr>
      <w:r>
        <w:t>Consent inquiry left to jury</w:t>
      </w:r>
    </w:p>
    <w:p w14:paraId="179B9EB9" w14:textId="6B0F6112" w:rsidR="00202EDD" w:rsidRDefault="00202EDD" w:rsidP="000B0913">
      <w:r w:rsidRPr="00AF0F86">
        <w:rPr>
          <w:b/>
          <w:bCs/>
        </w:rPr>
        <w:t>Notes</w:t>
      </w:r>
      <w:r>
        <w:t>:</w:t>
      </w:r>
    </w:p>
    <w:p w14:paraId="6A42CCC3" w14:textId="04B9C4C5" w:rsidR="003A407C" w:rsidRDefault="003A407C" w:rsidP="003A407C">
      <w:pPr>
        <w:pStyle w:val="ListParagraph"/>
        <w:numPr>
          <w:ilvl w:val="0"/>
          <w:numId w:val="1"/>
        </w:numPr>
      </w:pPr>
      <w:r>
        <w:t>Even if a prima facie case is strict, in most medical situations, consent is a powerful and complete defense, which is sensible, but the reason why this case is odd is because the consent was not present at all, even if the intention was in the interest o</w:t>
      </w:r>
      <w:r w:rsidR="00AF0F86">
        <w:t>f</w:t>
      </w:r>
      <w:r>
        <w:t xml:space="preserve"> </w:t>
      </w:r>
      <w:r w:rsidR="000261B6">
        <w:t>the</w:t>
      </w:r>
      <w:r>
        <w:t xml:space="preserve"> patient. Spared the risk of a 2</w:t>
      </w:r>
      <w:r w:rsidRPr="003A407C">
        <w:rPr>
          <w:vertAlign w:val="superscript"/>
        </w:rPr>
        <w:t>nd</w:t>
      </w:r>
      <w:r>
        <w:t xml:space="preserve"> operation, to which consent would likely have </w:t>
      </w:r>
      <w:r w:rsidR="000261B6">
        <w:t>been</w:t>
      </w:r>
      <w:r>
        <w:t xml:space="preserve"> given. </w:t>
      </w:r>
    </w:p>
    <w:p w14:paraId="21D67A1C" w14:textId="7995A987" w:rsidR="000261B6" w:rsidRDefault="003A407C" w:rsidP="005B3719">
      <w:pPr>
        <w:pStyle w:val="ListParagraph"/>
        <w:numPr>
          <w:ilvl w:val="1"/>
          <w:numId w:val="1"/>
        </w:numPr>
      </w:pPr>
      <w:r>
        <w:t>Khosla: doctor should have raised this issue with the patient, that something like this could happen. Would have expanded the scope of consent.</w:t>
      </w:r>
    </w:p>
    <w:p w14:paraId="367FD206" w14:textId="77777777" w:rsidR="0023061C" w:rsidRDefault="0023061C" w:rsidP="0023061C"/>
    <w:p w14:paraId="40834ABD" w14:textId="2D2979CA" w:rsidR="0023061C" w:rsidRPr="00A30E3E" w:rsidRDefault="0023061C" w:rsidP="0023061C">
      <w:pPr>
        <w:rPr>
          <w:b/>
          <w:bCs/>
        </w:rPr>
      </w:pPr>
      <w:r>
        <w:t>Kho</w:t>
      </w:r>
      <w:r w:rsidR="00A30E3E">
        <w:t>s</w:t>
      </w:r>
      <w:r>
        <w:t>la loves the next case</w:t>
      </w:r>
      <w:r>
        <w:br/>
      </w:r>
      <w:r w:rsidRPr="00A30E3E">
        <w:rPr>
          <w:b/>
          <w:bCs/>
        </w:rPr>
        <w:t>Katko v Briney</w:t>
      </w:r>
    </w:p>
    <w:p w14:paraId="1DC8D4C0" w14:textId="17169504" w:rsidR="0023061C" w:rsidRDefault="0023061C" w:rsidP="0023061C">
      <w:r w:rsidRPr="00A30E3E">
        <w:rPr>
          <w:b/>
          <w:bCs/>
        </w:rPr>
        <w:t>Facts</w:t>
      </w:r>
      <w:r>
        <w:t>:</w:t>
      </w:r>
      <w:r w:rsidR="006276F5">
        <w:t xml:space="preserve"> </w:t>
      </w:r>
      <w:r w:rsidR="00E040CD">
        <w:t>DFs own a farmhouse</w:t>
      </w:r>
      <w:r w:rsidR="00E84397">
        <w:t xml:space="preserve">, and they lived elsewhere. To help with break-ins, they installed a spring shotgun trap in a bedroom. Gun was set to hit an intruder’s legs, though originally set to aim for the stomach (DF decided against it). </w:t>
      </w:r>
      <w:r w:rsidR="00C0367D">
        <w:t xml:space="preserve">PL broke into the farmhouse with a friend to steal antiques. They entered the bedroom and the trap blew off PL’s leg. </w:t>
      </w:r>
    </w:p>
    <w:p w14:paraId="65126266" w14:textId="4414BBDB" w:rsidR="0023061C" w:rsidRDefault="0023061C" w:rsidP="0023061C">
      <w:r w:rsidRPr="006276F5">
        <w:rPr>
          <w:b/>
          <w:bCs/>
        </w:rPr>
        <w:t>Issue</w:t>
      </w:r>
      <w:r>
        <w:t>:</w:t>
      </w:r>
      <w:r w:rsidR="00C0367D">
        <w:t xml:space="preserve"> Can a property owner use a trap that’s able to seriously harm/kill </w:t>
      </w:r>
      <w:r w:rsidR="004E2BD6">
        <w:t>as a reasonable means to</w:t>
      </w:r>
      <w:r w:rsidR="00C0367D">
        <w:t xml:space="preserve"> protect from trespassers?</w:t>
      </w:r>
      <w:r w:rsidR="004E2BD6">
        <w:t xml:space="preserve"> </w:t>
      </w:r>
    </w:p>
    <w:p w14:paraId="7C5B6559" w14:textId="113BB380" w:rsidR="0023061C" w:rsidRDefault="0023061C" w:rsidP="0023061C">
      <w:r w:rsidRPr="006276F5">
        <w:rPr>
          <w:b/>
          <w:bCs/>
        </w:rPr>
        <w:t>Holding</w:t>
      </w:r>
      <w:r>
        <w:t>:</w:t>
      </w:r>
      <w:r w:rsidR="00C0367D">
        <w:t xml:space="preserve"> No (at least not here)</w:t>
      </w:r>
    </w:p>
    <w:p w14:paraId="734B7586" w14:textId="77777777" w:rsidR="004D4F51" w:rsidRDefault="004D4F51" w:rsidP="00C0367D">
      <w:pPr>
        <w:pStyle w:val="ListParagraph"/>
        <w:numPr>
          <w:ilvl w:val="0"/>
          <w:numId w:val="1"/>
        </w:numPr>
      </w:pPr>
      <w:r>
        <w:t xml:space="preserve">Prosser: </w:t>
      </w:r>
    </w:p>
    <w:p w14:paraId="5C24AE9B" w14:textId="41ABB4FF" w:rsidR="00C0367D" w:rsidRDefault="004D4F51" w:rsidP="004D4F51">
      <w:pPr>
        <w:pStyle w:val="ListParagraph"/>
        <w:numPr>
          <w:ilvl w:val="1"/>
          <w:numId w:val="1"/>
        </w:numPr>
      </w:pPr>
      <w:r>
        <w:t xml:space="preserve">Human safety &gt; mere property rights </w:t>
      </w:r>
    </w:p>
    <w:p w14:paraId="7FDA53AC" w14:textId="6DE26F32" w:rsidR="004A1FDE" w:rsidRDefault="004A1FDE" w:rsidP="004A1FDE">
      <w:pPr>
        <w:pStyle w:val="ListParagraph"/>
        <w:numPr>
          <w:ilvl w:val="2"/>
          <w:numId w:val="1"/>
        </w:numPr>
      </w:pPr>
      <w:r>
        <w:t xml:space="preserve">Restatement says this too (pg 660 on </w:t>
      </w:r>
      <w:r w:rsidR="001900D9">
        <w:t>courseworks</w:t>
      </w:r>
      <w:r w:rsidR="00DA55B9">
        <w:t xml:space="preserve"> </w:t>
      </w:r>
      <w:r>
        <w:t>excerpt)</w:t>
      </w:r>
    </w:p>
    <w:p w14:paraId="106B7653" w14:textId="77777777" w:rsidR="00D00CB5" w:rsidRDefault="004D4F51" w:rsidP="004D4F51">
      <w:pPr>
        <w:pStyle w:val="ListParagraph"/>
        <w:numPr>
          <w:ilvl w:val="1"/>
          <w:numId w:val="1"/>
        </w:numPr>
      </w:pPr>
      <w:r>
        <w:t>Proportionate</w:t>
      </w:r>
    </w:p>
    <w:p w14:paraId="2AAA94C8" w14:textId="045FB685" w:rsidR="004E2BD6" w:rsidRDefault="00D00CB5" w:rsidP="004E2BD6">
      <w:pPr>
        <w:pStyle w:val="ListParagraph"/>
        <w:numPr>
          <w:ilvl w:val="1"/>
          <w:numId w:val="1"/>
        </w:numPr>
      </w:pPr>
      <w:r>
        <w:t>U</w:t>
      </w:r>
      <w:r w:rsidR="004D4F51" w:rsidRPr="004D4F51">
        <w:t>nless there is also such a threat to the defendant’s personal safety as to justify self-defense.</w:t>
      </w:r>
    </w:p>
    <w:p w14:paraId="4B77B9C8" w14:textId="0326B574" w:rsidR="00147EDA" w:rsidRDefault="00147EDA" w:rsidP="00147EDA">
      <w:pPr>
        <w:pStyle w:val="ListParagraph"/>
        <w:numPr>
          <w:ilvl w:val="0"/>
          <w:numId w:val="1"/>
        </w:numPr>
      </w:pPr>
      <w:r>
        <w:t>Compensatory AND punitive damages</w:t>
      </w:r>
    </w:p>
    <w:p w14:paraId="1B9348B8" w14:textId="5BDB4DC2" w:rsidR="0023061C" w:rsidRDefault="0023061C" w:rsidP="0023061C">
      <w:r w:rsidRPr="006276F5">
        <w:rPr>
          <w:b/>
          <w:bCs/>
        </w:rPr>
        <w:t>Notes</w:t>
      </w:r>
      <w:r>
        <w:t>:</w:t>
      </w:r>
    </w:p>
    <w:p w14:paraId="2FB6FFD2" w14:textId="7EFB06D6" w:rsidR="0004052B" w:rsidRDefault="0004052B" w:rsidP="0004052B">
      <w:pPr>
        <w:pStyle w:val="ListParagraph"/>
        <w:numPr>
          <w:ilvl w:val="0"/>
          <w:numId w:val="1"/>
        </w:numPr>
      </w:pPr>
      <w:r>
        <w:t xml:space="preserve">Need to scale force to be proportionate to potential harm. Cannot use lethal force to protect property. </w:t>
      </w:r>
    </w:p>
    <w:p w14:paraId="07E2BD12" w14:textId="768EA6E9" w:rsidR="00811CA9" w:rsidRDefault="00811CA9" w:rsidP="00811CA9">
      <w:pPr>
        <w:pStyle w:val="ListParagraph"/>
        <w:numPr>
          <w:ilvl w:val="1"/>
          <w:numId w:val="1"/>
        </w:numPr>
      </w:pPr>
      <w:r>
        <w:t>Khosla: this case is often cited to say that tort law cares more about people than property</w:t>
      </w:r>
    </w:p>
    <w:p w14:paraId="56F9E45C" w14:textId="705CD18A" w:rsidR="00811CA9" w:rsidRDefault="00811CA9" w:rsidP="00811CA9">
      <w:pPr>
        <w:pStyle w:val="ListParagraph"/>
        <w:numPr>
          <w:ilvl w:val="0"/>
          <w:numId w:val="1"/>
        </w:numPr>
      </w:pPr>
      <w:r>
        <w:lastRenderedPageBreak/>
        <w:t>Uninhabited farmhouse, not an actual dwelling</w:t>
      </w:r>
    </w:p>
    <w:p w14:paraId="23AD6B8C" w14:textId="5E2767E0" w:rsidR="00811CA9" w:rsidRDefault="00811CA9" w:rsidP="00811CA9">
      <w:pPr>
        <w:pStyle w:val="ListParagraph"/>
        <w:numPr>
          <w:ilvl w:val="1"/>
          <w:numId w:val="1"/>
        </w:numPr>
      </w:pPr>
      <w:r>
        <w:t xml:space="preserve">If it was a residence, can maybe frame it as a person/person situation rather than person/property. </w:t>
      </w:r>
    </w:p>
    <w:p w14:paraId="26F24814" w14:textId="43ACFB09" w:rsidR="001A3E40" w:rsidRDefault="001A3E40" w:rsidP="001A3E40">
      <w:pPr>
        <w:pStyle w:val="ListParagraph"/>
        <w:numPr>
          <w:ilvl w:val="0"/>
          <w:numId w:val="1"/>
        </w:numPr>
      </w:pPr>
      <w:r>
        <w:t xml:space="preserve">To the extent that a battery victim is subject to willful or wanton conduct, in a position to seek punitive damages. But in other cases (e.g. mistaken honest attempt in self-defense), not wanton enough for punitive damages. </w:t>
      </w:r>
    </w:p>
    <w:p w14:paraId="5D0413D8" w14:textId="10205EE3" w:rsidR="007C02CC" w:rsidRDefault="007C02CC" w:rsidP="001A3E40">
      <w:pPr>
        <w:pStyle w:val="ListParagraph"/>
        <w:numPr>
          <w:ilvl w:val="0"/>
          <w:numId w:val="1"/>
        </w:numPr>
      </w:pPr>
      <w:r>
        <w:t>Dissent: Punitive damages should not have been allowed when PL conduct was criminal</w:t>
      </w:r>
    </w:p>
    <w:sectPr w:rsidR="007C0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B72FB9"/>
    <w:multiLevelType w:val="hybridMultilevel"/>
    <w:tmpl w:val="1C80C43A"/>
    <w:lvl w:ilvl="0" w:tplc="02746E3A">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422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16A"/>
    <w:rsid w:val="000261B6"/>
    <w:rsid w:val="0004052B"/>
    <w:rsid w:val="000532B8"/>
    <w:rsid w:val="000B0913"/>
    <w:rsid w:val="001220E2"/>
    <w:rsid w:val="00147684"/>
    <w:rsid w:val="00147EDA"/>
    <w:rsid w:val="001900D9"/>
    <w:rsid w:val="001A3E40"/>
    <w:rsid w:val="00202EDD"/>
    <w:rsid w:val="0023061C"/>
    <w:rsid w:val="002515D0"/>
    <w:rsid w:val="00293701"/>
    <w:rsid w:val="002A3536"/>
    <w:rsid w:val="003057A9"/>
    <w:rsid w:val="003A407C"/>
    <w:rsid w:val="004A1FDE"/>
    <w:rsid w:val="004D4F51"/>
    <w:rsid w:val="004E2BD6"/>
    <w:rsid w:val="004F4B54"/>
    <w:rsid w:val="00505226"/>
    <w:rsid w:val="00564D25"/>
    <w:rsid w:val="005B3719"/>
    <w:rsid w:val="006276F5"/>
    <w:rsid w:val="00634B34"/>
    <w:rsid w:val="00641E60"/>
    <w:rsid w:val="00665FC7"/>
    <w:rsid w:val="006C3844"/>
    <w:rsid w:val="006D3565"/>
    <w:rsid w:val="00714390"/>
    <w:rsid w:val="007B41C7"/>
    <w:rsid w:val="007C02CC"/>
    <w:rsid w:val="007D24A7"/>
    <w:rsid w:val="00811CA9"/>
    <w:rsid w:val="0083316A"/>
    <w:rsid w:val="0084687A"/>
    <w:rsid w:val="00856819"/>
    <w:rsid w:val="009B47DC"/>
    <w:rsid w:val="009D1BA4"/>
    <w:rsid w:val="00A040FB"/>
    <w:rsid w:val="00A30E3E"/>
    <w:rsid w:val="00A37A78"/>
    <w:rsid w:val="00A73222"/>
    <w:rsid w:val="00AF0F86"/>
    <w:rsid w:val="00B867E8"/>
    <w:rsid w:val="00C0367D"/>
    <w:rsid w:val="00CB1E7C"/>
    <w:rsid w:val="00D00CB5"/>
    <w:rsid w:val="00D55CAC"/>
    <w:rsid w:val="00DA55B9"/>
    <w:rsid w:val="00E040CD"/>
    <w:rsid w:val="00E40C4F"/>
    <w:rsid w:val="00E5449D"/>
    <w:rsid w:val="00E84397"/>
    <w:rsid w:val="00FA537A"/>
    <w:rsid w:val="00FE4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E04EAD"/>
  <w15:chartTrackingRefBased/>
  <w15:docId w15:val="{9CBE6E4B-8A57-3E40-9776-6677C5CFF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1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1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1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1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1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1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1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1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1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1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16A"/>
    <w:rPr>
      <w:rFonts w:eastAsiaTheme="majorEastAsia" w:cstheme="majorBidi"/>
      <w:color w:val="272727" w:themeColor="text1" w:themeTint="D8"/>
    </w:rPr>
  </w:style>
  <w:style w:type="paragraph" w:styleId="Title">
    <w:name w:val="Title"/>
    <w:basedOn w:val="Normal"/>
    <w:next w:val="Normal"/>
    <w:link w:val="TitleChar"/>
    <w:uiPriority w:val="10"/>
    <w:qFormat/>
    <w:rsid w:val="00833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1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316A"/>
    <w:rPr>
      <w:i/>
      <w:iCs/>
      <w:color w:val="404040" w:themeColor="text1" w:themeTint="BF"/>
    </w:rPr>
  </w:style>
  <w:style w:type="paragraph" w:styleId="ListParagraph">
    <w:name w:val="List Paragraph"/>
    <w:basedOn w:val="Normal"/>
    <w:uiPriority w:val="34"/>
    <w:qFormat/>
    <w:rsid w:val="0083316A"/>
    <w:pPr>
      <w:ind w:left="720"/>
      <w:contextualSpacing/>
    </w:pPr>
  </w:style>
  <w:style w:type="character" w:styleId="IntenseEmphasis">
    <w:name w:val="Intense Emphasis"/>
    <w:basedOn w:val="DefaultParagraphFont"/>
    <w:uiPriority w:val="21"/>
    <w:qFormat/>
    <w:rsid w:val="0083316A"/>
    <w:rPr>
      <w:i/>
      <w:iCs/>
      <w:color w:val="2F5496" w:themeColor="accent1" w:themeShade="BF"/>
    </w:rPr>
  </w:style>
  <w:style w:type="paragraph" w:styleId="IntenseQuote">
    <w:name w:val="Intense Quote"/>
    <w:basedOn w:val="Normal"/>
    <w:next w:val="Normal"/>
    <w:link w:val="IntenseQuoteChar"/>
    <w:uiPriority w:val="30"/>
    <w:qFormat/>
    <w:rsid w:val="00833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16A"/>
    <w:rPr>
      <w:i/>
      <w:iCs/>
      <w:color w:val="2F5496" w:themeColor="accent1" w:themeShade="BF"/>
    </w:rPr>
  </w:style>
  <w:style w:type="character" w:styleId="IntenseReference">
    <w:name w:val="Intense Reference"/>
    <w:basedOn w:val="DefaultParagraphFont"/>
    <w:uiPriority w:val="32"/>
    <w:qFormat/>
    <w:rsid w:val="00833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513637">
      <w:bodyDiv w:val="1"/>
      <w:marLeft w:val="0"/>
      <w:marRight w:val="0"/>
      <w:marTop w:val="0"/>
      <w:marBottom w:val="0"/>
      <w:divBdr>
        <w:top w:val="none" w:sz="0" w:space="0" w:color="auto"/>
        <w:left w:val="none" w:sz="0" w:space="0" w:color="auto"/>
        <w:bottom w:val="none" w:sz="0" w:space="0" w:color="auto"/>
        <w:right w:val="none" w:sz="0" w:space="0" w:color="auto"/>
      </w:divBdr>
      <w:divsChild>
        <w:div w:id="918052764">
          <w:marLeft w:val="0"/>
          <w:marRight w:val="0"/>
          <w:marTop w:val="0"/>
          <w:marBottom w:val="0"/>
          <w:divBdr>
            <w:top w:val="none" w:sz="0" w:space="0" w:color="auto"/>
            <w:left w:val="none" w:sz="0" w:space="0" w:color="auto"/>
            <w:bottom w:val="none" w:sz="0" w:space="0" w:color="auto"/>
            <w:right w:val="none" w:sz="0" w:space="0" w:color="auto"/>
          </w:divBdr>
          <w:divsChild>
            <w:div w:id="16398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72129">
      <w:bodyDiv w:val="1"/>
      <w:marLeft w:val="0"/>
      <w:marRight w:val="0"/>
      <w:marTop w:val="0"/>
      <w:marBottom w:val="0"/>
      <w:divBdr>
        <w:top w:val="none" w:sz="0" w:space="0" w:color="auto"/>
        <w:left w:val="none" w:sz="0" w:space="0" w:color="auto"/>
        <w:bottom w:val="none" w:sz="0" w:space="0" w:color="auto"/>
        <w:right w:val="none" w:sz="0" w:space="0" w:color="auto"/>
      </w:divBdr>
      <w:divsChild>
        <w:div w:id="1383821774">
          <w:marLeft w:val="0"/>
          <w:marRight w:val="0"/>
          <w:marTop w:val="100"/>
          <w:marBottom w:val="100"/>
          <w:divBdr>
            <w:top w:val="dashed" w:sz="6" w:space="0" w:color="A8A8A8"/>
            <w:left w:val="none" w:sz="0" w:space="0" w:color="auto"/>
            <w:bottom w:val="none" w:sz="0" w:space="0" w:color="auto"/>
            <w:right w:val="none" w:sz="0" w:space="0" w:color="auto"/>
          </w:divBdr>
          <w:divsChild>
            <w:div w:id="1790659261">
              <w:marLeft w:val="0"/>
              <w:marRight w:val="0"/>
              <w:marTop w:val="750"/>
              <w:marBottom w:val="750"/>
              <w:divBdr>
                <w:top w:val="none" w:sz="0" w:space="0" w:color="auto"/>
                <w:left w:val="none" w:sz="0" w:space="0" w:color="auto"/>
                <w:bottom w:val="none" w:sz="0" w:space="0" w:color="auto"/>
                <w:right w:val="none" w:sz="0" w:space="0" w:color="auto"/>
              </w:divBdr>
              <w:divsChild>
                <w:div w:id="1314874765">
                  <w:marLeft w:val="0"/>
                  <w:marRight w:val="0"/>
                  <w:marTop w:val="0"/>
                  <w:marBottom w:val="0"/>
                  <w:divBdr>
                    <w:top w:val="none" w:sz="0" w:space="0" w:color="auto"/>
                    <w:left w:val="none" w:sz="0" w:space="0" w:color="auto"/>
                    <w:bottom w:val="none" w:sz="0" w:space="0" w:color="auto"/>
                    <w:right w:val="none" w:sz="0" w:space="0" w:color="auto"/>
                  </w:divBdr>
                  <w:divsChild>
                    <w:div w:id="194579766">
                      <w:marLeft w:val="0"/>
                      <w:marRight w:val="0"/>
                      <w:marTop w:val="0"/>
                      <w:marBottom w:val="0"/>
                      <w:divBdr>
                        <w:top w:val="none" w:sz="0" w:space="0" w:color="auto"/>
                        <w:left w:val="none" w:sz="0" w:space="0" w:color="auto"/>
                        <w:bottom w:val="none" w:sz="0" w:space="0" w:color="auto"/>
                        <w:right w:val="none" w:sz="0" w:space="0" w:color="auto"/>
                      </w:divBdr>
                      <w:divsChild>
                        <w:div w:id="14420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755154">
          <w:marLeft w:val="0"/>
          <w:marRight w:val="0"/>
          <w:marTop w:val="100"/>
          <w:marBottom w:val="100"/>
          <w:divBdr>
            <w:top w:val="dashed" w:sz="6" w:space="0" w:color="A8A8A8"/>
            <w:left w:val="none" w:sz="0" w:space="0" w:color="auto"/>
            <w:bottom w:val="none" w:sz="0" w:space="0" w:color="auto"/>
            <w:right w:val="none" w:sz="0" w:space="0" w:color="auto"/>
          </w:divBdr>
          <w:divsChild>
            <w:div w:id="214201724">
              <w:marLeft w:val="0"/>
              <w:marRight w:val="0"/>
              <w:marTop w:val="750"/>
              <w:marBottom w:val="750"/>
              <w:divBdr>
                <w:top w:val="none" w:sz="0" w:space="0" w:color="auto"/>
                <w:left w:val="none" w:sz="0" w:space="0" w:color="auto"/>
                <w:bottom w:val="none" w:sz="0" w:space="0" w:color="auto"/>
                <w:right w:val="none" w:sz="0" w:space="0" w:color="auto"/>
              </w:divBdr>
              <w:divsChild>
                <w:div w:id="288630190">
                  <w:marLeft w:val="0"/>
                  <w:marRight w:val="0"/>
                  <w:marTop w:val="0"/>
                  <w:marBottom w:val="0"/>
                  <w:divBdr>
                    <w:top w:val="none" w:sz="0" w:space="0" w:color="auto"/>
                    <w:left w:val="none" w:sz="0" w:space="0" w:color="auto"/>
                    <w:bottom w:val="none" w:sz="0" w:space="0" w:color="auto"/>
                    <w:right w:val="none" w:sz="0" w:space="0" w:color="auto"/>
                  </w:divBdr>
                  <w:divsChild>
                    <w:div w:id="318312696">
                      <w:marLeft w:val="0"/>
                      <w:marRight w:val="0"/>
                      <w:marTop w:val="0"/>
                      <w:marBottom w:val="0"/>
                      <w:divBdr>
                        <w:top w:val="none" w:sz="0" w:space="0" w:color="auto"/>
                        <w:left w:val="none" w:sz="0" w:space="0" w:color="auto"/>
                        <w:bottom w:val="none" w:sz="0" w:space="0" w:color="auto"/>
                        <w:right w:val="none" w:sz="0" w:space="0" w:color="auto"/>
                      </w:divBdr>
                      <w:divsChild>
                        <w:div w:id="5393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563914">
      <w:bodyDiv w:val="1"/>
      <w:marLeft w:val="0"/>
      <w:marRight w:val="0"/>
      <w:marTop w:val="0"/>
      <w:marBottom w:val="0"/>
      <w:divBdr>
        <w:top w:val="none" w:sz="0" w:space="0" w:color="auto"/>
        <w:left w:val="none" w:sz="0" w:space="0" w:color="auto"/>
        <w:bottom w:val="none" w:sz="0" w:space="0" w:color="auto"/>
        <w:right w:val="none" w:sz="0" w:space="0" w:color="auto"/>
      </w:divBdr>
      <w:divsChild>
        <w:div w:id="793014391">
          <w:marLeft w:val="0"/>
          <w:marRight w:val="0"/>
          <w:marTop w:val="0"/>
          <w:marBottom w:val="0"/>
          <w:divBdr>
            <w:top w:val="none" w:sz="0" w:space="0" w:color="auto"/>
            <w:left w:val="none" w:sz="0" w:space="0" w:color="auto"/>
            <w:bottom w:val="none" w:sz="0" w:space="0" w:color="auto"/>
            <w:right w:val="none" w:sz="0" w:space="0" w:color="auto"/>
          </w:divBdr>
          <w:divsChild>
            <w:div w:id="7021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85596">
      <w:bodyDiv w:val="1"/>
      <w:marLeft w:val="0"/>
      <w:marRight w:val="0"/>
      <w:marTop w:val="0"/>
      <w:marBottom w:val="0"/>
      <w:divBdr>
        <w:top w:val="none" w:sz="0" w:space="0" w:color="auto"/>
        <w:left w:val="none" w:sz="0" w:space="0" w:color="auto"/>
        <w:bottom w:val="none" w:sz="0" w:space="0" w:color="auto"/>
        <w:right w:val="none" w:sz="0" w:space="0" w:color="auto"/>
      </w:divBdr>
    </w:div>
    <w:div w:id="975598237">
      <w:bodyDiv w:val="1"/>
      <w:marLeft w:val="0"/>
      <w:marRight w:val="0"/>
      <w:marTop w:val="0"/>
      <w:marBottom w:val="0"/>
      <w:divBdr>
        <w:top w:val="none" w:sz="0" w:space="0" w:color="auto"/>
        <w:left w:val="none" w:sz="0" w:space="0" w:color="auto"/>
        <w:bottom w:val="none" w:sz="0" w:space="0" w:color="auto"/>
        <w:right w:val="none" w:sz="0" w:space="0" w:color="auto"/>
      </w:divBdr>
    </w:div>
    <w:div w:id="1687830118">
      <w:bodyDiv w:val="1"/>
      <w:marLeft w:val="0"/>
      <w:marRight w:val="0"/>
      <w:marTop w:val="0"/>
      <w:marBottom w:val="0"/>
      <w:divBdr>
        <w:top w:val="none" w:sz="0" w:space="0" w:color="auto"/>
        <w:left w:val="none" w:sz="0" w:space="0" w:color="auto"/>
        <w:bottom w:val="none" w:sz="0" w:space="0" w:color="auto"/>
        <w:right w:val="none" w:sz="0" w:space="0" w:color="auto"/>
      </w:divBdr>
      <w:divsChild>
        <w:div w:id="372972328">
          <w:marLeft w:val="0"/>
          <w:marRight w:val="0"/>
          <w:marTop w:val="100"/>
          <w:marBottom w:val="100"/>
          <w:divBdr>
            <w:top w:val="dashed" w:sz="6" w:space="0" w:color="A8A8A8"/>
            <w:left w:val="none" w:sz="0" w:space="0" w:color="auto"/>
            <w:bottom w:val="none" w:sz="0" w:space="0" w:color="auto"/>
            <w:right w:val="none" w:sz="0" w:space="0" w:color="auto"/>
          </w:divBdr>
          <w:divsChild>
            <w:div w:id="1629362312">
              <w:marLeft w:val="0"/>
              <w:marRight w:val="0"/>
              <w:marTop w:val="750"/>
              <w:marBottom w:val="750"/>
              <w:divBdr>
                <w:top w:val="none" w:sz="0" w:space="0" w:color="auto"/>
                <w:left w:val="none" w:sz="0" w:space="0" w:color="auto"/>
                <w:bottom w:val="none" w:sz="0" w:space="0" w:color="auto"/>
                <w:right w:val="none" w:sz="0" w:space="0" w:color="auto"/>
              </w:divBdr>
              <w:divsChild>
                <w:div w:id="1958095714">
                  <w:marLeft w:val="0"/>
                  <w:marRight w:val="0"/>
                  <w:marTop w:val="0"/>
                  <w:marBottom w:val="0"/>
                  <w:divBdr>
                    <w:top w:val="none" w:sz="0" w:space="0" w:color="auto"/>
                    <w:left w:val="none" w:sz="0" w:space="0" w:color="auto"/>
                    <w:bottom w:val="none" w:sz="0" w:space="0" w:color="auto"/>
                    <w:right w:val="none" w:sz="0" w:space="0" w:color="auto"/>
                  </w:divBdr>
                  <w:divsChild>
                    <w:div w:id="2133016106">
                      <w:marLeft w:val="0"/>
                      <w:marRight w:val="0"/>
                      <w:marTop w:val="0"/>
                      <w:marBottom w:val="0"/>
                      <w:divBdr>
                        <w:top w:val="none" w:sz="0" w:space="0" w:color="auto"/>
                        <w:left w:val="none" w:sz="0" w:space="0" w:color="auto"/>
                        <w:bottom w:val="none" w:sz="0" w:space="0" w:color="auto"/>
                        <w:right w:val="none" w:sz="0" w:space="0" w:color="auto"/>
                      </w:divBdr>
                      <w:divsChild>
                        <w:div w:id="7532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005895">
          <w:marLeft w:val="0"/>
          <w:marRight w:val="0"/>
          <w:marTop w:val="100"/>
          <w:marBottom w:val="100"/>
          <w:divBdr>
            <w:top w:val="dashed" w:sz="6" w:space="0" w:color="A8A8A8"/>
            <w:left w:val="none" w:sz="0" w:space="0" w:color="auto"/>
            <w:bottom w:val="none" w:sz="0" w:space="0" w:color="auto"/>
            <w:right w:val="none" w:sz="0" w:space="0" w:color="auto"/>
          </w:divBdr>
          <w:divsChild>
            <w:div w:id="1580940282">
              <w:marLeft w:val="0"/>
              <w:marRight w:val="0"/>
              <w:marTop w:val="750"/>
              <w:marBottom w:val="750"/>
              <w:divBdr>
                <w:top w:val="none" w:sz="0" w:space="0" w:color="auto"/>
                <w:left w:val="none" w:sz="0" w:space="0" w:color="auto"/>
                <w:bottom w:val="none" w:sz="0" w:space="0" w:color="auto"/>
                <w:right w:val="none" w:sz="0" w:space="0" w:color="auto"/>
              </w:divBdr>
              <w:divsChild>
                <w:div w:id="1815101837">
                  <w:marLeft w:val="0"/>
                  <w:marRight w:val="0"/>
                  <w:marTop w:val="0"/>
                  <w:marBottom w:val="0"/>
                  <w:divBdr>
                    <w:top w:val="none" w:sz="0" w:space="0" w:color="auto"/>
                    <w:left w:val="none" w:sz="0" w:space="0" w:color="auto"/>
                    <w:bottom w:val="none" w:sz="0" w:space="0" w:color="auto"/>
                    <w:right w:val="none" w:sz="0" w:space="0" w:color="auto"/>
                  </w:divBdr>
                  <w:divsChild>
                    <w:div w:id="1789081356">
                      <w:marLeft w:val="0"/>
                      <w:marRight w:val="0"/>
                      <w:marTop w:val="0"/>
                      <w:marBottom w:val="0"/>
                      <w:divBdr>
                        <w:top w:val="none" w:sz="0" w:space="0" w:color="auto"/>
                        <w:left w:val="none" w:sz="0" w:space="0" w:color="auto"/>
                        <w:bottom w:val="none" w:sz="0" w:space="0" w:color="auto"/>
                        <w:right w:val="none" w:sz="0" w:space="0" w:color="auto"/>
                      </w:divBdr>
                      <w:divsChild>
                        <w:div w:id="13972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905274">
      <w:bodyDiv w:val="1"/>
      <w:marLeft w:val="0"/>
      <w:marRight w:val="0"/>
      <w:marTop w:val="0"/>
      <w:marBottom w:val="0"/>
      <w:divBdr>
        <w:top w:val="none" w:sz="0" w:space="0" w:color="auto"/>
        <w:left w:val="none" w:sz="0" w:space="0" w:color="auto"/>
        <w:bottom w:val="none" w:sz="0" w:space="0" w:color="auto"/>
        <w:right w:val="none" w:sz="0" w:space="0" w:color="auto"/>
      </w:divBdr>
    </w:div>
    <w:div w:id="193701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1629</Words>
  <Characters>9289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Nok Larry Lo</dc:creator>
  <cp:keywords/>
  <dc:description/>
  <cp:lastModifiedBy>Chun Nok Larry Lo</cp:lastModifiedBy>
  <cp:revision>276</cp:revision>
  <dcterms:created xsi:type="dcterms:W3CDTF">2024-11-12T13:48:00Z</dcterms:created>
  <dcterms:modified xsi:type="dcterms:W3CDTF">2024-11-15T17:00:00Z</dcterms:modified>
</cp:coreProperties>
</file>