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D1C252" w14:textId="750A736A" w:rsidR="00EE5D98" w:rsidRDefault="00EE5D98" w:rsidP="00EE5D98">
      <w:r w:rsidRPr="00EE5D98">
        <w:rPr>
          <w:b/>
          <w:bCs/>
        </w:rPr>
        <w:t>Khosla clarification on Duty/Breach and Reasonable Foreseeability</w:t>
      </w:r>
      <w:r>
        <w:t xml:space="preserve">: In cases, </w:t>
      </w:r>
      <w:r w:rsidR="00E0236A">
        <w:t xml:space="preserve">the </w:t>
      </w:r>
      <w:r>
        <w:t>big issue is not duty. It exists, but because it has been expanded over time, not much debate over whether x owes duty to y (not the most litigated question, but an important element</w:t>
      </w:r>
      <w:r w:rsidR="00E0236A">
        <w:t xml:space="preserve"> nonetheless</w:t>
      </w:r>
      <w:r>
        <w:t>). Buick shifts the duty requirement to reasonable foreseeability (refer to handout sections cited by Khosla in class).</w:t>
      </w:r>
      <w:r w:rsidR="00356893">
        <w:t xml:space="preserve"> 2 things </w:t>
      </w:r>
      <w:r w:rsidR="00D900A0">
        <w:t xml:space="preserve">to take away </w:t>
      </w:r>
      <w:r w:rsidR="00356893">
        <w:t>from the excerpt: 1) duty requirement is 1</w:t>
      </w:r>
      <w:r w:rsidR="00356893" w:rsidRPr="00356893">
        <w:rPr>
          <w:vertAlign w:val="superscript"/>
        </w:rPr>
        <w:t>st</w:t>
      </w:r>
      <w:r w:rsidR="00356893">
        <w:t xml:space="preserve"> requirement in tort. 2) </w:t>
      </w:r>
      <w:r w:rsidR="00D900A0">
        <w:t>Duties naturally arise. One should be able to reasonably foresee harm taking place.</w:t>
      </w:r>
    </w:p>
    <w:p w14:paraId="5E8A7896" w14:textId="77777777" w:rsidR="00014B34" w:rsidRDefault="00014B34" w:rsidP="00EE5D98"/>
    <w:p w14:paraId="32BFEA2A" w14:textId="45117C7F" w:rsidR="00014B34" w:rsidRDefault="00014B34" w:rsidP="00EE5D98">
      <w:r>
        <w:t>What is acting carelessly? When torts are exploring whether a person has acted carelessly, they are developing a concept of an ideal reasonable person. Lack of ordinary care is exercising care that a reasonably prudent person would not exercise. This is the 2</w:t>
      </w:r>
      <w:r w:rsidRPr="00014B34">
        <w:rPr>
          <w:vertAlign w:val="superscript"/>
        </w:rPr>
        <w:t>nd</w:t>
      </w:r>
      <w:r>
        <w:t xml:space="preserve"> requirement. </w:t>
      </w:r>
      <w:r w:rsidR="00BE3F0A">
        <w:t xml:space="preserve">In certain cases, when the court is saying “is X </w:t>
      </w:r>
      <w:r w:rsidR="007E6F56">
        <w:t>a</w:t>
      </w:r>
      <w:r w:rsidR="00BE3F0A">
        <w:t xml:space="preserve"> reasonable and prudent person” they are asking if the person could have predicted or foreseen that their actions result in this harm.</w:t>
      </w:r>
    </w:p>
    <w:p w14:paraId="25A6EFCD" w14:textId="77777777" w:rsidR="00E0236A" w:rsidRDefault="00E0236A" w:rsidP="00EE5D98"/>
    <w:p w14:paraId="0FD8AE5A" w14:textId="3333B4B5" w:rsidR="00E0236A" w:rsidRDefault="00E0236A" w:rsidP="00EE5D98">
      <w:r>
        <w:t xml:space="preserve">For this course and the exam, the position we take is that: negligence has 4 requirements: </w:t>
      </w:r>
      <w:r w:rsidR="001164F0">
        <w:t xml:space="preserve">1) </w:t>
      </w:r>
      <w:r w:rsidR="00A9086F">
        <w:t>D</w:t>
      </w:r>
      <w:r>
        <w:t xml:space="preserve">uty of care if can reasonably foresee </w:t>
      </w:r>
      <w:r w:rsidR="001164F0">
        <w:t>that person</w:t>
      </w:r>
      <w:r>
        <w:t xml:space="preserve"> would be harmed if acting carelessly.</w:t>
      </w:r>
      <w:r w:rsidR="00307F1F">
        <w:t xml:space="preserve"> </w:t>
      </w:r>
      <w:r w:rsidR="001164F0">
        <w:t>2) Breach if they acted carelessly</w:t>
      </w:r>
      <w:r w:rsidR="00F30174">
        <w:t>/didn’t exercise ordinary care</w:t>
      </w:r>
      <w:r w:rsidR="001164F0">
        <w:t xml:space="preserve">. </w:t>
      </w:r>
      <w:r>
        <w:t xml:space="preserve">Reasonable foreseeability and likelihood </w:t>
      </w:r>
      <w:r w:rsidR="001164F0">
        <w:t xml:space="preserve">can </w:t>
      </w:r>
      <w:r w:rsidR="00831387">
        <w:t>play</w:t>
      </w:r>
      <w:r>
        <w:t xml:space="preserve"> a role in this</w:t>
      </w:r>
      <w:r w:rsidR="001164F0">
        <w:t>, but not</w:t>
      </w:r>
      <w:r w:rsidR="00D41098">
        <w:t xml:space="preserve"> in</w:t>
      </w:r>
      <w:r w:rsidR="001164F0">
        <w:t xml:space="preserve"> the same </w:t>
      </w:r>
      <w:r w:rsidR="00D41098">
        <w:t>way</w:t>
      </w:r>
      <w:r w:rsidR="001164F0">
        <w:t xml:space="preserve"> as in 1)</w:t>
      </w:r>
      <w:r>
        <w:t>.</w:t>
      </w:r>
      <w:r w:rsidR="00831387">
        <w:t xml:space="preserve"> </w:t>
      </w:r>
      <w:r w:rsidR="001164F0">
        <w:t>3) and 4) are the two other elements the course will address later</w:t>
      </w:r>
      <w:r w:rsidR="00FC45E1">
        <w:t xml:space="preserve"> – causation and harm.</w:t>
      </w:r>
      <w:r w:rsidR="001164F0">
        <w:t xml:space="preserve"> </w:t>
      </w:r>
    </w:p>
    <w:p w14:paraId="22417B41" w14:textId="77777777" w:rsidR="00A82D50" w:rsidRDefault="00A82D50" w:rsidP="00EE5D98"/>
    <w:p w14:paraId="4BFBE415" w14:textId="346CED4A" w:rsidR="00A82D50" w:rsidRDefault="00432634" w:rsidP="00EE5D98">
      <w:r>
        <w:t xml:space="preserve">Corrective justice view, thinking of tort as a relational enterprise about moral and individual rights -&gt; emphasizes duty requirement, likely to think that the reasonable standard falls in duty. </w:t>
      </w:r>
    </w:p>
    <w:p w14:paraId="6478F83A" w14:textId="77777777" w:rsidR="00432634" w:rsidRDefault="00432634" w:rsidP="00EE5D98"/>
    <w:p w14:paraId="617734F3" w14:textId="1400F407" w:rsidR="00432634" w:rsidRDefault="00432634" w:rsidP="00EE5D98">
      <w:r>
        <w:t xml:space="preserve">Law &amp; Econ approach and cost-benefit analysis / welfare maximization and distribution-&gt; don’t really care if you owed a duty and focus more on that the accident took place and searching for a cost-efficient outcome. Duty not important as you don’t care about the individual parties and their rights, breach more important in understanding how to come up with a blanket efficient solution and may slot the duty requirement into breach. </w:t>
      </w:r>
    </w:p>
    <w:p w14:paraId="4454085E" w14:textId="77777777" w:rsidR="00163781" w:rsidRDefault="00163781" w:rsidP="00EE5D98"/>
    <w:p w14:paraId="1A9A1F1F" w14:textId="093A2514" w:rsidR="00163781" w:rsidRDefault="00163781" w:rsidP="00EE5D98">
      <w:r>
        <w:t>(</w:t>
      </w:r>
      <w:r w:rsidR="00147D87">
        <w:t>Neither</w:t>
      </w:r>
      <w:r>
        <w:t xml:space="preserve"> is right or wrong, </w:t>
      </w:r>
      <w:r w:rsidR="00690783">
        <w:t xml:space="preserve">and the elements of a tort don’t change, </w:t>
      </w:r>
      <w:r w:rsidR="00B4183A">
        <w:t xml:space="preserve">simply </w:t>
      </w:r>
      <w:r>
        <w:t xml:space="preserve">different perspectives </w:t>
      </w:r>
      <w:r w:rsidR="00690783">
        <w:t xml:space="preserve">on importance. </w:t>
      </w:r>
      <w:r>
        <w:t xml:space="preserve">Khosla takes the CJ </w:t>
      </w:r>
      <w:r w:rsidR="00147D87">
        <w:t>view but</w:t>
      </w:r>
      <w:r w:rsidR="00680C7F">
        <w:t xml:space="preserve"> doesn’t care which you </w:t>
      </w:r>
      <w:r w:rsidR="007E6F56">
        <w:t>take</w:t>
      </w:r>
      <w:r w:rsidR="00680C7F">
        <w:t xml:space="preserve"> as long as you analyze it properly and </w:t>
      </w:r>
      <w:r w:rsidR="00543D9A">
        <w:t>justify/</w:t>
      </w:r>
      <w:r w:rsidR="00680C7F">
        <w:t>apply it intelligently</w:t>
      </w:r>
      <w:r w:rsidR="007E6F56">
        <w:t xml:space="preserve"> on an exam</w:t>
      </w:r>
      <w:r w:rsidR="00680C7F">
        <w:t>.</w:t>
      </w:r>
      <w:r>
        <w:t>)</w:t>
      </w:r>
    </w:p>
    <w:p w14:paraId="087E14EA" w14:textId="77777777" w:rsidR="00B4183A" w:rsidRDefault="00B4183A" w:rsidP="00EE5D98"/>
    <w:p w14:paraId="45F64519" w14:textId="300BA8DD" w:rsidR="00127161" w:rsidRDefault="00127161" w:rsidP="00EE5D98">
      <w:r>
        <w:t>CJ and L&amp;E on Hand Formula: CJ folks frame the Hand formula variables as factors to consider, L&amp;E people take is as a math formula. Restaurant selection example – Are we simply considering price, proximity, cuisine as factors in making a choice in restaurant? Or is our final choice a standard math formula of these variables?</w:t>
      </w:r>
      <w:r w:rsidR="008E27A1">
        <w:t xml:space="preserve"> Both agree that Hand Formula is good but interpret it differently and can lead to different results. </w:t>
      </w:r>
    </w:p>
    <w:p w14:paraId="05427701" w14:textId="77777777" w:rsidR="008A73A5" w:rsidRDefault="008A73A5" w:rsidP="00EE5D98"/>
    <w:p w14:paraId="51608190" w14:textId="06F5927E" w:rsidR="008A73A5" w:rsidRPr="004C4950" w:rsidRDefault="008A73A5" w:rsidP="00EE5D98">
      <w:pPr>
        <w:rPr>
          <w:b/>
          <w:bCs/>
        </w:rPr>
      </w:pPr>
      <w:r w:rsidRPr="004C4950">
        <w:rPr>
          <w:b/>
          <w:bCs/>
        </w:rPr>
        <w:t>Martin v. Herzog</w:t>
      </w:r>
    </w:p>
    <w:p w14:paraId="5522249F" w14:textId="33A24380" w:rsidR="008A73A5" w:rsidRDefault="00236D89" w:rsidP="00EE5D98">
      <w:r w:rsidRPr="00236D89">
        <w:rPr>
          <w:b/>
          <w:bCs/>
        </w:rPr>
        <w:t>Facts:</w:t>
      </w:r>
      <w:r w:rsidRPr="00236D89">
        <w:t xml:space="preserve"> Married couple in buggy; they round a corner and run into Herzog. Husband (Mr. Martin) </w:t>
      </w:r>
      <w:proofErr w:type="gramStart"/>
      <w:r w:rsidRPr="00236D89">
        <w:t>dies;</w:t>
      </w:r>
      <w:proofErr w:type="gramEnd"/>
      <w:r w:rsidRPr="00236D89">
        <w:t xml:space="preserve"> no lights on buggy. Wasn’t speeding. Lights are required by statute. Sun has set. Wife sues Herzog for negligence. Herzog counters with negligence for Mr. Martin’s failure to use headlights.</w:t>
      </w:r>
      <w:r w:rsidR="00F35989">
        <w:t xml:space="preserve"> </w:t>
      </w:r>
    </w:p>
    <w:p w14:paraId="29359ED6" w14:textId="77777777" w:rsidR="009E7DB3" w:rsidRDefault="00CE54E2" w:rsidP="00CE54E2">
      <w:pPr>
        <w:pStyle w:val="ListParagraph"/>
        <w:numPr>
          <w:ilvl w:val="0"/>
          <w:numId w:val="2"/>
        </w:numPr>
      </w:pPr>
      <w:r>
        <w:lastRenderedPageBreak/>
        <w:t>Under the law at the time, a person who was even partially at fault for the injury may not recover damages. Thus, if Herzog can show that Martin was negligent/at fault at all, no recovery.</w:t>
      </w:r>
    </w:p>
    <w:p w14:paraId="127784C9" w14:textId="0EBB103C" w:rsidR="009E7DB3" w:rsidRDefault="009E7DB3" w:rsidP="00052378">
      <w:r w:rsidRPr="009E7DB3">
        <w:rPr>
          <w:b/>
          <w:bCs/>
        </w:rPr>
        <w:t>Procedural History:</w:t>
      </w:r>
      <w:r w:rsidRPr="009E7DB3">
        <w:t xml:space="preserve"> Trial judge instructed the jury that they could consider absence of lights/violation of the statute as some evidence of negligence, but not </w:t>
      </w:r>
      <w:r>
        <w:t>conclusive that Martin was acting carelessly</w:t>
      </w:r>
      <w:r w:rsidRPr="009E7DB3">
        <w:t xml:space="preserve">. </w:t>
      </w:r>
      <w:r>
        <w:t xml:space="preserve">Even without headlights, he could have been driving with ordinary care. </w:t>
      </w:r>
      <w:r w:rsidRPr="009E7DB3">
        <w:t>Trial court found Herzog guilty of negligence. </w:t>
      </w:r>
    </w:p>
    <w:p w14:paraId="6B4D8550" w14:textId="5DD1DD41" w:rsidR="00052378" w:rsidRDefault="00052378" w:rsidP="00052378">
      <w:r w:rsidRPr="00052378">
        <w:rPr>
          <w:b/>
          <w:bCs/>
        </w:rPr>
        <w:t>Holding:</w:t>
      </w:r>
      <w:r>
        <w:t xml:space="preserve"> </w:t>
      </w:r>
      <w:r w:rsidRPr="00052378">
        <w:t>Violating a statue is acting carelessly. Negligence per se. If the law has a specific standard of care, no jury or judge can change that. No further analysis of whether there was ordinary care or anything of the sort. Violating a statute IS negligence. Ordinary care standard is substituted with whatever standard the law imposes. Martin, therefore, acted negligently, and is unable to recover due to contributory negligence doctrine at the time.</w:t>
      </w:r>
    </w:p>
    <w:p w14:paraId="6F42095B" w14:textId="633F3F38" w:rsidR="00F96674" w:rsidRPr="00F96674" w:rsidRDefault="00F96674" w:rsidP="00052378">
      <w:pPr>
        <w:rPr>
          <w:b/>
          <w:bCs/>
        </w:rPr>
      </w:pPr>
      <w:r w:rsidRPr="00F96674">
        <w:rPr>
          <w:b/>
          <w:bCs/>
        </w:rPr>
        <w:t>Notes/Khosla:</w:t>
      </w:r>
    </w:p>
    <w:p w14:paraId="21F910A5" w14:textId="54B426EC" w:rsidR="00696721" w:rsidRDefault="00052378" w:rsidP="00696721">
      <w:pPr>
        <w:pStyle w:val="ListParagraph"/>
        <w:numPr>
          <w:ilvl w:val="0"/>
          <w:numId w:val="2"/>
        </w:numPr>
      </w:pPr>
      <w:r>
        <w:t xml:space="preserve">Doesn’t mean that nothing else can get you: if you’re driving without a license, running a red light etc., still careless. </w:t>
      </w:r>
    </w:p>
    <w:p w14:paraId="00EBB796" w14:textId="085D7F75" w:rsidR="00696721" w:rsidRDefault="00696721" w:rsidP="00696721">
      <w:pPr>
        <w:pStyle w:val="ListParagraph"/>
        <w:numPr>
          <w:ilvl w:val="0"/>
          <w:numId w:val="2"/>
        </w:numPr>
      </w:pPr>
      <w:r>
        <w:t xml:space="preserve">For us to know whether the statute standard can substitute ordinary care standard, the victim must actually be the person whom the statue is designed to protect, and the harm must be the kind of harm that the statute is meant to protect people from. </w:t>
      </w:r>
    </w:p>
    <w:p w14:paraId="39BDB632" w14:textId="35895055" w:rsidR="00F96674" w:rsidRDefault="00F96674" w:rsidP="00696721">
      <w:pPr>
        <w:pStyle w:val="ListParagraph"/>
        <w:numPr>
          <w:ilvl w:val="0"/>
          <w:numId w:val="2"/>
        </w:numPr>
      </w:pPr>
      <w:r>
        <w:t>Negligence per se only takes care of 2</w:t>
      </w:r>
      <w:r w:rsidRPr="00F96674">
        <w:rPr>
          <w:vertAlign w:val="superscript"/>
        </w:rPr>
        <w:t>nd</w:t>
      </w:r>
      <w:r>
        <w:t xml:space="preserve"> requirement, breach, other elements like causation and harm still need to be considered separately.</w:t>
      </w:r>
    </w:p>
    <w:p w14:paraId="4DDFE8CE" w14:textId="77777777" w:rsidR="00052378" w:rsidRDefault="00052378" w:rsidP="002A5486"/>
    <w:p w14:paraId="321349C8" w14:textId="48DE9DF5" w:rsidR="002A5486" w:rsidRPr="00C43A0B" w:rsidRDefault="002A5486" w:rsidP="00A35535">
      <w:pPr>
        <w:tabs>
          <w:tab w:val="left" w:pos="4172"/>
        </w:tabs>
        <w:rPr>
          <w:b/>
          <w:bCs/>
        </w:rPr>
      </w:pPr>
      <w:proofErr w:type="spellStart"/>
      <w:r w:rsidRPr="00C43A0B">
        <w:rPr>
          <w:b/>
          <w:bCs/>
        </w:rPr>
        <w:t>Telda</w:t>
      </w:r>
      <w:proofErr w:type="spellEnd"/>
      <w:r w:rsidRPr="00C43A0B">
        <w:rPr>
          <w:b/>
          <w:bCs/>
        </w:rPr>
        <w:t xml:space="preserve"> v. Ellman</w:t>
      </w:r>
      <w:r w:rsidR="00A35535">
        <w:rPr>
          <w:b/>
          <w:bCs/>
        </w:rPr>
        <w:tab/>
      </w:r>
    </w:p>
    <w:p w14:paraId="291C195D" w14:textId="140BC1B6" w:rsidR="00052378" w:rsidRDefault="00C43A0B" w:rsidP="00052378">
      <w:r>
        <w:t xml:space="preserve">Situations where we can excuse the behavior of the person’s violation of the statute, if their conduct actually results in safer situations than if they complied with the statute. </w:t>
      </w:r>
    </w:p>
    <w:p w14:paraId="52538B82" w14:textId="6D9109D3" w:rsidR="00C43A0B" w:rsidRPr="009E7DB3" w:rsidRDefault="00C43A0B" w:rsidP="00052378">
      <w:r w:rsidRPr="00C43A0B">
        <w:rPr>
          <w:b/>
          <w:bCs/>
        </w:rPr>
        <w:t>Facts:</w:t>
      </w:r>
      <w:r w:rsidRPr="00C43A0B">
        <w:t xml:space="preserve"> </w:t>
      </w:r>
      <w:r>
        <w:t>T</w:t>
      </w:r>
      <w:r w:rsidRPr="00C43A0B">
        <w:t>wo people were walking down the road on the right side</w:t>
      </w:r>
      <w:r>
        <w:t>, collecting junk</w:t>
      </w:r>
      <w:r w:rsidRPr="00C43A0B">
        <w:t>. A statute specified that you should walk on the left side of the road so you can see cars coming. However, at that time of day, there was more traffic on the left side of the road. Driver hits pedestrians. When pedestrians bring suit, drivers argue that they were contributorily negligent.</w:t>
      </w:r>
    </w:p>
    <w:p w14:paraId="6289AF0D" w14:textId="77777777" w:rsidR="00E8401A" w:rsidRDefault="00B36A40" w:rsidP="009E7DB3">
      <w:r w:rsidRPr="00B36A40">
        <w:rPr>
          <w:b/>
          <w:bCs/>
        </w:rPr>
        <w:t>Holding</w:t>
      </w:r>
      <w:r>
        <w:t xml:space="preserve">: Court excuses this </w:t>
      </w:r>
      <w:r w:rsidR="00E8401A">
        <w:t>behavior and</w:t>
      </w:r>
      <w:r>
        <w:t xml:space="preserve"> holds that the PLs weren’t contributorily negligent. Notes/Khosla: May seem to go against Martin, but consistent with lawmaking idea: you should not interpret something </w:t>
      </w:r>
      <w:r w:rsidR="003558AD">
        <w:t xml:space="preserve">too strictly that it </w:t>
      </w:r>
      <w:r>
        <w:t>defeat</w:t>
      </w:r>
      <w:r w:rsidR="003558AD">
        <w:t>s</w:t>
      </w:r>
      <w:r>
        <w:t xml:space="preserve"> its purpose. PLs may have been walking on what the statute says is the wrong side, but the point of the statute was to make walking on roads safer, which the PLs did by avoiding traffic on the other side. </w:t>
      </w:r>
    </w:p>
    <w:p w14:paraId="1E7EC8E0" w14:textId="52B1F664" w:rsidR="009E7DB3" w:rsidRDefault="00E8401A" w:rsidP="00E8401A">
      <w:pPr>
        <w:pStyle w:val="ListParagraph"/>
        <w:numPr>
          <w:ilvl w:val="0"/>
          <w:numId w:val="2"/>
        </w:numPr>
      </w:pPr>
      <w:r w:rsidRPr="00E8401A">
        <w:t>Statutes set minimum standards, not upper boundary of reasonableness. You may be driving under the speed limit, but if there’s extremely limited visibility, you could still be driving too fast.</w:t>
      </w:r>
    </w:p>
    <w:p w14:paraId="3AF9A12C" w14:textId="77777777" w:rsidR="00E8401A" w:rsidRDefault="00E8401A" w:rsidP="00E8401A"/>
    <w:p w14:paraId="0AD10CEC" w14:textId="22D38F85" w:rsidR="00CE54E2" w:rsidRDefault="00CE54E2" w:rsidP="009E7DB3">
      <w:r>
        <w:t xml:space="preserve"> </w:t>
      </w:r>
    </w:p>
    <w:p w14:paraId="0AF599FE" w14:textId="77777777" w:rsidR="00F35989" w:rsidRDefault="00F35989" w:rsidP="00EE5D98"/>
    <w:sectPr w:rsidR="00F359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8F79C7" w14:textId="77777777" w:rsidR="00DF1A4C" w:rsidRDefault="00DF1A4C" w:rsidP="00A86B33">
      <w:r>
        <w:separator/>
      </w:r>
    </w:p>
  </w:endnote>
  <w:endnote w:type="continuationSeparator" w:id="0">
    <w:p w14:paraId="545F4A1C" w14:textId="77777777" w:rsidR="00DF1A4C" w:rsidRDefault="00DF1A4C" w:rsidP="00A86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7CD2DA" w14:textId="77777777" w:rsidR="00DF1A4C" w:rsidRDefault="00DF1A4C" w:rsidP="00A86B33">
      <w:r>
        <w:separator/>
      </w:r>
    </w:p>
  </w:footnote>
  <w:footnote w:type="continuationSeparator" w:id="0">
    <w:p w14:paraId="64A4D84E" w14:textId="77777777" w:rsidR="00DF1A4C" w:rsidRDefault="00DF1A4C" w:rsidP="00A86B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890DF1"/>
    <w:multiLevelType w:val="hybridMultilevel"/>
    <w:tmpl w:val="DB305862"/>
    <w:lvl w:ilvl="0" w:tplc="ADAAF2E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8D03F3"/>
    <w:multiLevelType w:val="hybridMultilevel"/>
    <w:tmpl w:val="D0667254"/>
    <w:lvl w:ilvl="0" w:tplc="4A44728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4891142">
    <w:abstractNumId w:val="1"/>
  </w:num>
  <w:num w:numId="2" w16cid:durableId="1087578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177"/>
    <w:rsid w:val="00014B34"/>
    <w:rsid w:val="00052378"/>
    <w:rsid w:val="000D1177"/>
    <w:rsid w:val="000E23B4"/>
    <w:rsid w:val="001164F0"/>
    <w:rsid w:val="00127161"/>
    <w:rsid w:val="00147D87"/>
    <w:rsid w:val="00163781"/>
    <w:rsid w:val="00236D89"/>
    <w:rsid w:val="0025090D"/>
    <w:rsid w:val="0025489A"/>
    <w:rsid w:val="00257456"/>
    <w:rsid w:val="00262073"/>
    <w:rsid w:val="002A5486"/>
    <w:rsid w:val="00307F1F"/>
    <w:rsid w:val="003558AD"/>
    <w:rsid w:val="00356893"/>
    <w:rsid w:val="00432634"/>
    <w:rsid w:val="004B140C"/>
    <w:rsid w:val="004C4950"/>
    <w:rsid w:val="004F4B54"/>
    <w:rsid w:val="00505226"/>
    <w:rsid w:val="00543D9A"/>
    <w:rsid w:val="00680C7F"/>
    <w:rsid w:val="00690783"/>
    <w:rsid w:val="00696721"/>
    <w:rsid w:val="0069777C"/>
    <w:rsid w:val="00705C9C"/>
    <w:rsid w:val="007313E3"/>
    <w:rsid w:val="00746BF2"/>
    <w:rsid w:val="007E6F56"/>
    <w:rsid w:val="00831387"/>
    <w:rsid w:val="00870DDE"/>
    <w:rsid w:val="008A73A5"/>
    <w:rsid w:val="008E27A1"/>
    <w:rsid w:val="009A5699"/>
    <w:rsid w:val="009C619D"/>
    <w:rsid w:val="009D1BA4"/>
    <w:rsid w:val="009E7DB3"/>
    <w:rsid w:val="00A35535"/>
    <w:rsid w:val="00A82D50"/>
    <w:rsid w:val="00A86B33"/>
    <w:rsid w:val="00A9086F"/>
    <w:rsid w:val="00B36A40"/>
    <w:rsid w:val="00B4183A"/>
    <w:rsid w:val="00BE3F0A"/>
    <w:rsid w:val="00C43A0B"/>
    <w:rsid w:val="00CE54E2"/>
    <w:rsid w:val="00D41098"/>
    <w:rsid w:val="00D80497"/>
    <w:rsid w:val="00D900A0"/>
    <w:rsid w:val="00DF0830"/>
    <w:rsid w:val="00DF1A4C"/>
    <w:rsid w:val="00E0236A"/>
    <w:rsid w:val="00E322F3"/>
    <w:rsid w:val="00E8401A"/>
    <w:rsid w:val="00EE5D98"/>
    <w:rsid w:val="00F30174"/>
    <w:rsid w:val="00F35989"/>
    <w:rsid w:val="00F96674"/>
    <w:rsid w:val="00FC4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F83548"/>
  <w15:chartTrackingRefBased/>
  <w15:docId w15:val="{895F8919-E46E-4149-8352-2A538D19A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1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11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1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1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1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1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1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1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1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1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11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1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1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1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177"/>
    <w:rPr>
      <w:rFonts w:eastAsiaTheme="majorEastAsia" w:cstheme="majorBidi"/>
      <w:color w:val="272727" w:themeColor="text1" w:themeTint="D8"/>
    </w:rPr>
  </w:style>
  <w:style w:type="paragraph" w:styleId="Title">
    <w:name w:val="Title"/>
    <w:basedOn w:val="Normal"/>
    <w:next w:val="Normal"/>
    <w:link w:val="TitleChar"/>
    <w:uiPriority w:val="10"/>
    <w:qFormat/>
    <w:rsid w:val="000D11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1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1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1177"/>
    <w:rPr>
      <w:i/>
      <w:iCs/>
      <w:color w:val="404040" w:themeColor="text1" w:themeTint="BF"/>
    </w:rPr>
  </w:style>
  <w:style w:type="paragraph" w:styleId="ListParagraph">
    <w:name w:val="List Paragraph"/>
    <w:basedOn w:val="Normal"/>
    <w:uiPriority w:val="34"/>
    <w:qFormat/>
    <w:rsid w:val="000D1177"/>
    <w:pPr>
      <w:ind w:left="720"/>
      <w:contextualSpacing/>
    </w:pPr>
  </w:style>
  <w:style w:type="character" w:styleId="IntenseEmphasis">
    <w:name w:val="Intense Emphasis"/>
    <w:basedOn w:val="DefaultParagraphFont"/>
    <w:uiPriority w:val="21"/>
    <w:qFormat/>
    <w:rsid w:val="000D1177"/>
    <w:rPr>
      <w:i/>
      <w:iCs/>
      <w:color w:val="2F5496" w:themeColor="accent1" w:themeShade="BF"/>
    </w:rPr>
  </w:style>
  <w:style w:type="paragraph" w:styleId="IntenseQuote">
    <w:name w:val="Intense Quote"/>
    <w:basedOn w:val="Normal"/>
    <w:next w:val="Normal"/>
    <w:link w:val="IntenseQuoteChar"/>
    <w:uiPriority w:val="30"/>
    <w:qFormat/>
    <w:rsid w:val="000D1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177"/>
    <w:rPr>
      <w:i/>
      <w:iCs/>
      <w:color w:val="2F5496" w:themeColor="accent1" w:themeShade="BF"/>
    </w:rPr>
  </w:style>
  <w:style w:type="character" w:styleId="IntenseReference">
    <w:name w:val="Intense Reference"/>
    <w:basedOn w:val="DefaultParagraphFont"/>
    <w:uiPriority w:val="32"/>
    <w:qFormat/>
    <w:rsid w:val="000D1177"/>
    <w:rPr>
      <w:b/>
      <w:bCs/>
      <w:smallCaps/>
      <w:color w:val="2F5496" w:themeColor="accent1" w:themeShade="BF"/>
      <w:spacing w:val="5"/>
    </w:rPr>
  </w:style>
  <w:style w:type="paragraph" w:styleId="Header">
    <w:name w:val="header"/>
    <w:basedOn w:val="Normal"/>
    <w:link w:val="HeaderChar"/>
    <w:uiPriority w:val="99"/>
    <w:unhideWhenUsed/>
    <w:rsid w:val="00A86B33"/>
    <w:pPr>
      <w:tabs>
        <w:tab w:val="center" w:pos="4680"/>
        <w:tab w:val="right" w:pos="9360"/>
      </w:tabs>
    </w:pPr>
  </w:style>
  <w:style w:type="character" w:customStyle="1" w:styleId="HeaderChar">
    <w:name w:val="Header Char"/>
    <w:basedOn w:val="DefaultParagraphFont"/>
    <w:link w:val="Header"/>
    <w:uiPriority w:val="99"/>
    <w:rsid w:val="00A86B33"/>
  </w:style>
  <w:style w:type="paragraph" w:styleId="Footer">
    <w:name w:val="footer"/>
    <w:basedOn w:val="Normal"/>
    <w:link w:val="FooterChar"/>
    <w:uiPriority w:val="99"/>
    <w:unhideWhenUsed/>
    <w:rsid w:val="00A86B33"/>
    <w:pPr>
      <w:tabs>
        <w:tab w:val="center" w:pos="4680"/>
        <w:tab w:val="right" w:pos="9360"/>
      </w:tabs>
    </w:pPr>
  </w:style>
  <w:style w:type="character" w:customStyle="1" w:styleId="FooterChar">
    <w:name w:val="Footer Char"/>
    <w:basedOn w:val="DefaultParagraphFont"/>
    <w:link w:val="Footer"/>
    <w:uiPriority w:val="99"/>
    <w:rsid w:val="00A86B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867</Words>
  <Characters>4947</Characters>
  <Application>Microsoft Office Word</Application>
  <DocSecurity>0</DocSecurity>
  <Lines>41</Lines>
  <Paragraphs>11</Paragraphs>
  <ScaleCrop>false</ScaleCrop>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Nok Larry Lo</dc:creator>
  <cp:keywords/>
  <dc:description/>
  <cp:lastModifiedBy>Chun Nok Larry Lo</cp:lastModifiedBy>
  <cp:revision>331</cp:revision>
  <dcterms:created xsi:type="dcterms:W3CDTF">2024-09-17T12:42:00Z</dcterms:created>
  <dcterms:modified xsi:type="dcterms:W3CDTF">2024-09-24T12:37:00Z</dcterms:modified>
</cp:coreProperties>
</file>