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59DFFA" w14:textId="1E2BCA06" w:rsidR="00505226" w:rsidRPr="003F5EB9" w:rsidRDefault="00EE277B">
      <w:pPr>
        <w:rPr>
          <w:b/>
          <w:bCs/>
          <w:color w:val="000000" w:themeColor="text1"/>
        </w:rPr>
      </w:pPr>
      <w:r w:rsidRPr="003F5EB9">
        <w:rPr>
          <w:b/>
          <w:bCs/>
          <w:color w:val="000000" w:themeColor="text1"/>
        </w:rPr>
        <w:t>Reynolds v. Hicks</w:t>
      </w:r>
    </w:p>
    <w:p w14:paraId="47724514" w14:textId="1D539049" w:rsidR="00A851A5" w:rsidRPr="003F5EB9" w:rsidRDefault="00A851A5">
      <w:pPr>
        <w:rPr>
          <w:color w:val="000000" w:themeColor="text1"/>
        </w:rPr>
      </w:pPr>
      <w:r w:rsidRPr="003F5EB9">
        <w:rPr>
          <w:b/>
          <w:bCs/>
          <w:color w:val="000000" w:themeColor="text1"/>
        </w:rPr>
        <w:t>Facts:</w:t>
      </w:r>
      <w:r w:rsidRPr="003F5EB9">
        <w:rPr>
          <w:color w:val="000000" w:themeColor="text1"/>
        </w:rPr>
        <w:t xml:space="preserve"> </w:t>
      </w:r>
      <w:r w:rsidR="003F5EB9" w:rsidRPr="003F5EB9">
        <w:rPr>
          <w:color w:val="000000" w:themeColor="text1"/>
        </w:rPr>
        <w:t>Hicks’ w</w:t>
      </w:r>
      <w:r w:rsidR="00EE277B" w:rsidRPr="003F5EB9">
        <w:rPr>
          <w:color w:val="000000" w:themeColor="text1"/>
        </w:rPr>
        <w:t xml:space="preserve">edding day, </w:t>
      </w:r>
      <w:r w:rsidR="003F5EB9" w:rsidRPr="003F5EB9">
        <w:rPr>
          <w:color w:val="000000" w:themeColor="text1"/>
        </w:rPr>
        <w:t xml:space="preserve">a </w:t>
      </w:r>
      <w:r w:rsidR="00EE277B" w:rsidRPr="003F5EB9">
        <w:rPr>
          <w:color w:val="000000" w:themeColor="text1"/>
        </w:rPr>
        <w:t xml:space="preserve">lot of people at the reception. </w:t>
      </w:r>
      <w:r w:rsidR="003F5EB9" w:rsidRPr="003F5EB9">
        <w:rPr>
          <w:color w:val="000000" w:themeColor="text1"/>
        </w:rPr>
        <w:t>17-year-old nephew of the couple drank</w:t>
      </w:r>
      <w:r w:rsidR="00EE277B" w:rsidRPr="003F5EB9">
        <w:rPr>
          <w:color w:val="000000" w:themeColor="text1"/>
        </w:rPr>
        <w:t xml:space="preserve"> and got drunk, but not visibly. An hour later, he drove and was involved in a car accident with Reynolds. Both were legally driving drunk, above the legal limit. Reynolds suffered serious injuries. Sued the Hicks family, for being negligent and serving the nephew alcohol. </w:t>
      </w:r>
    </w:p>
    <w:p w14:paraId="40786917" w14:textId="328A106C" w:rsidR="003F5EB9" w:rsidRPr="003F5EB9" w:rsidRDefault="003F5EB9">
      <w:pPr>
        <w:rPr>
          <w:color w:val="000000" w:themeColor="text1"/>
        </w:rPr>
      </w:pPr>
      <w:r w:rsidRPr="003F5EB9">
        <w:rPr>
          <w:b/>
          <w:bCs/>
          <w:color w:val="000000" w:themeColor="text1"/>
        </w:rPr>
        <w:t>Issue</w:t>
      </w:r>
      <w:r w:rsidRPr="003F5EB9">
        <w:rPr>
          <w:color w:val="000000" w:themeColor="text1"/>
        </w:rPr>
        <w:t xml:space="preserve">: Whether social hosts who give alcohol to a minor owe a duty of care to third persons that </w:t>
      </w:r>
      <w:r w:rsidRPr="003F5EB9">
        <w:rPr>
          <w:color w:val="000000" w:themeColor="text1"/>
        </w:rPr>
        <w:t xml:space="preserve">the </w:t>
      </w:r>
      <w:r w:rsidRPr="003F5EB9">
        <w:rPr>
          <w:color w:val="000000" w:themeColor="text1"/>
        </w:rPr>
        <w:t xml:space="preserve">minor </w:t>
      </w:r>
      <w:proofErr w:type="spellStart"/>
      <w:r w:rsidRPr="003F5EB9">
        <w:rPr>
          <w:color w:val="000000" w:themeColor="text1"/>
        </w:rPr>
        <w:t>injur</w:t>
      </w:r>
      <w:r>
        <w:rPr>
          <w:color w:val="000000" w:themeColor="text1"/>
        </w:rPr>
        <w:t>e</w:t>
      </w:r>
      <w:r w:rsidRPr="003F5EB9">
        <w:rPr>
          <w:color w:val="000000" w:themeColor="text1"/>
        </w:rPr>
        <w:t>s</w:t>
      </w:r>
      <w:proofErr w:type="spellEnd"/>
      <w:r w:rsidRPr="003F5EB9">
        <w:rPr>
          <w:color w:val="000000" w:themeColor="text1"/>
        </w:rPr>
        <w:t xml:space="preserve">? </w:t>
      </w:r>
    </w:p>
    <w:p w14:paraId="60C3C487" w14:textId="51576069" w:rsidR="003F5EB9" w:rsidRPr="003F5EB9" w:rsidRDefault="00A851A5">
      <w:pPr>
        <w:rPr>
          <w:color w:val="000000" w:themeColor="text1"/>
        </w:rPr>
      </w:pPr>
      <w:r w:rsidRPr="003F5EB9">
        <w:rPr>
          <w:b/>
          <w:bCs/>
          <w:color w:val="000000" w:themeColor="text1"/>
        </w:rPr>
        <w:t>Holding/Reasoning:</w:t>
      </w:r>
      <w:r w:rsidRPr="003F5EB9">
        <w:rPr>
          <w:color w:val="000000" w:themeColor="text1"/>
        </w:rPr>
        <w:t xml:space="preserve"> </w:t>
      </w:r>
      <w:r w:rsidR="003F5EB9" w:rsidRPr="003F5EB9">
        <w:rPr>
          <w:color w:val="000000" w:themeColor="text1"/>
        </w:rPr>
        <w:t xml:space="preserve">No, statute notwithstanding. </w:t>
      </w:r>
      <w:r w:rsidRPr="003F5EB9">
        <w:rPr>
          <w:color w:val="000000" w:themeColor="text1"/>
        </w:rPr>
        <w:t>Social hosts aren’t able to handle the responsibilities of monitoring/manage their guests, practically. Commercial hosts are different.</w:t>
      </w:r>
      <w:r w:rsidR="003F5EB9" w:rsidRPr="003F5EB9">
        <w:rPr>
          <w:color w:val="000000" w:themeColor="text1"/>
        </w:rPr>
        <w:t xml:space="preserve"> </w:t>
      </w:r>
      <w:r w:rsidRPr="003F5EB9">
        <w:rPr>
          <w:color w:val="000000" w:themeColor="text1"/>
        </w:rPr>
        <w:t>Also, social hosts are a much more sweeping category, and likely can’t guide behavior.</w:t>
      </w:r>
      <w:r w:rsidR="003F5EB9" w:rsidRPr="003F5EB9">
        <w:rPr>
          <w:color w:val="000000" w:themeColor="text1"/>
        </w:rPr>
        <w:t xml:space="preserve"> </w:t>
      </w:r>
      <w:r w:rsidRPr="003F5EB9">
        <w:rPr>
          <w:color w:val="000000" w:themeColor="text1"/>
        </w:rPr>
        <w:t xml:space="preserve">Commercial hosts are a smaller group. </w:t>
      </w:r>
    </w:p>
    <w:p w14:paraId="2233B9F1" w14:textId="6E5C9B8D" w:rsidR="002F49DD" w:rsidRPr="003F5EB9" w:rsidRDefault="003F5EB9">
      <w:pPr>
        <w:rPr>
          <w:color w:val="000000" w:themeColor="text1"/>
        </w:rPr>
      </w:pPr>
      <w:r w:rsidRPr="003F5EB9">
        <w:rPr>
          <w:b/>
          <w:bCs/>
          <w:color w:val="000000" w:themeColor="text1"/>
        </w:rPr>
        <w:t>Khosla:</w:t>
      </w:r>
      <w:r w:rsidRPr="003F5EB9">
        <w:rPr>
          <w:color w:val="000000" w:themeColor="text1"/>
        </w:rPr>
        <w:t xml:space="preserve"> </w:t>
      </w:r>
      <w:r w:rsidR="002F49DD" w:rsidRPr="003F5EB9">
        <w:rPr>
          <w:color w:val="000000" w:themeColor="text1"/>
        </w:rPr>
        <w:t>2 separate things going on in the opinion:</w:t>
      </w:r>
    </w:p>
    <w:p w14:paraId="200E7CC4" w14:textId="33EAD202" w:rsidR="002F49DD" w:rsidRPr="003F5EB9" w:rsidRDefault="002F49DD" w:rsidP="002F49DD">
      <w:pPr>
        <w:pStyle w:val="ListParagraph"/>
        <w:numPr>
          <w:ilvl w:val="0"/>
          <w:numId w:val="1"/>
        </w:numPr>
        <w:rPr>
          <w:color w:val="000000" w:themeColor="text1"/>
        </w:rPr>
      </w:pPr>
      <w:r w:rsidRPr="003F5EB9">
        <w:rPr>
          <w:color w:val="000000" w:themeColor="text1"/>
        </w:rPr>
        <w:t>Use and interpretation of the statute</w:t>
      </w:r>
      <w:r w:rsidR="001F45F9" w:rsidRPr="003F5EB9">
        <w:rPr>
          <w:color w:val="000000" w:themeColor="text1"/>
        </w:rPr>
        <w:t xml:space="preserve"> prohibiting giving alcohol to minors</w:t>
      </w:r>
      <w:r w:rsidRPr="003F5EB9">
        <w:rPr>
          <w:color w:val="000000" w:themeColor="text1"/>
        </w:rPr>
        <w:t xml:space="preserve"> (pg. 179-181)</w:t>
      </w:r>
    </w:p>
    <w:p w14:paraId="376F7433" w14:textId="178508BA" w:rsidR="008442D2" w:rsidRPr="003F5EB9" w:rsidRDefault="008442D2" w:rsidP="008442D2">
      <w:pPr>
        <w:pStyle w:val="ListParagraph"/>
        <w:numPr>
          <w:ilvl w:val="1"/>
          <w:numId w:val="1"/>
        </w:numPr>
        <w:rPr>
          <w:color w:val="000000" w:themeColor="text1"/>
        </w:rPr>
      </w:pPr>
      <w:r w:rsidRPr="003F5EB9">
        <w:rPr>
          <w:color w:val="000000" w:themeColor="text1"/>
        </w:rPr>
        <w:t>Court focuses on the parental exemption and concludes that this shows that the statute was not designed to protect 3</w:t>
      </w:r>
      <w:r w:rsidRPr="003F5EB9">
        <w:rPr>
          <w:color w:val="000000" w:themeColor="text1"/>
          <w:vertAlign w:val="superscript"/>
        </w:rPr>
        <w:t>rd</w:t>
      </w:r>
      <w:r w:rsidRPr="003F5EB9">
        <w:rPr>
          <w:color w:val="000000" w:themeColor="text1"/>
        </w:rPr>
        <w:t xml:space="preserve"> parties injured by intoxicated minors. </w:t>
      </w:r>
    </w:p>
    <w:p w14:paraId="275D917D" w14:textId="0A35B00A" w:rsidR="008442D2" w:rsidRPr="003F5EB9" w:rsidRDefault="008442D2" w:rsidP="008442D2">
      <w:pPr>
        <w:pStyle w:val="ListParagraph"/>
        <w:numPr>
          <w:ilvl w:val="2"/>
          <w:numId w:val="1"/>
        </w:numPr>
        <w:rPr>
          <w:color w:val="000000" w:themeColor="text1"/>
        </w:rPr>
      </w:pPr>
      <w:r w:rsidRPr="003F5EB9">
        <w:rPr>
          <w:color w:val="000000" w:themeColor="text1"/>
        </w:rPr>
        <w:t xml:space="preserve">Khosla doesn’t seem to think it’s very persuasive. </w:t>
      </w:r>
    </w:p>
    <w:p w14:paraId="0089CA5E" w14:textId="2F8D3D40" w:rsidR="008442D2" w:rsidRPr="003F5EB9" w:rsidRDefault="008442D2" w:rsidP="008442D2">
      <w:pPr>
        <w:pStyle w:val="ListParagraph"/>
        <w:numPr>
          <w:ilvl w:val="1"/>
          <w:numId w:val="1"/>
        </w:numPr>
        <w:rPr>
          <w:color w:val="000000" w:themeColor="text1"/>
        </w:rPr>
      </w:pPr>
      <w:r w:rsidRPr="003F5EB9">
        <w:rPr>
          <w:color w:val="000000" w:themeColor="text1"/>
        </w:rPr>
        <w:t>Legislature wanted to minimize injuries to minors</w:t>
      </w:r>
    </w:p>
    <w:p w14:paraId="323DBCEE" w14:textId="2B4CC800" w:rsidR="0068000D" w:rsidRPr="003F5EB9" w:rsidRDefault="008442D2" w:rsidP="0068000D">
      <w:pPr>
        <w:pStyle w:val="ListParagraph"/>
        <w:numPr>
          <w:ilvl w:val="0"/>
          <w:numId w:val="1"/>
        </w:numPr>
        <w:rPr>
          <w:color w:val="000000" w:themeColor="text1"/>
        </w:rPr>
      </w:pPr>
      <w:r w:rsidRPr="003F5EB9">
        <w:rPr>
          <w:color w:val="000000" w:themeColor="text1"/>
        </w:rPr>
        <w:t>Crux seems to be the difficulty of imposing duty on social hosts. (pg. 181) Unrealistic to have them monitor their alcohol consumption on their wedding day and has far-reaching implications</w:t>
      </w:r>
      <w:r w:rsidR="0068000D" w:rsidRPr="003F5EB9">
        <w:rPr>
          <w:color w:val="000000" w:themeColor="text1"/>
        </w:rPr>
        <w:t>.</w:t>
      </w:r>
    </w:p>
    <w:p w14:paraId="3C8C2E17" w14:textId="302C472E" w:rsidR="0068000D" w:rsidRPr="003F5EB9" w:rsidRDefault="0068000D" w:rsidP="0068000D">
      <w:pPr>
        <w:rPr>
          <w:color w:val="000000" w:themeColor="text1"/>
        </w:rPr>
      </w:pPr>
      <w:r w:rsidRPr="003F5EB9">
        <w:rPr>
          <w:b/>
          <w:bCs/>
          <w:color w:val="000000" w:themeColor="text1"/>
        </w:rPr>
        <w:t>Dissent:</w:t>
      </w:r>
      <w:r w:rsidRPr="003F5EB9">
        <w:rPr>
          <w:color w:val="000000" w:themeColor="text1"/>
        </w:rPr>
        <w:t xml:space="preserve"> Both</w:t>
      </w:r>
      <w:r w:rsidR="003F5EB9" w:rsidRPr="003F5EB9">
        <w:rPr>
          <w:color w:val="000000" w:themeColor="text1"/>
        </w:rPr>
        <w:t xml:space="preserve"> </w:t>
      </w:r>
      <w:r w:rsidRPr="003F5EB9">
        <w:rPr>
          <w:color w:val="000000" w:themeColor="text1"/>
        </w:rPr>
        <w:t>suppliers, social and commercial hosts are committing an identical crime, so shouldn’t excuse one</w:t>
      </w:r>
      <w:r w:rsidR="00FC75EB" w:rsidRPr="003F5EB9">
        <w:rPr>
          <w:color w:val="000000" w:themeColor="text1"/>
        </w:rPr>
        <w:t xml:space="preserve"> of the two</w:t>
      </w:r>
      <w:r w:rsidRPr="003F5EB9">
        <w:rPr>
          <w:color w:val="000000" w:themeColor="text1"/>
        </w:rPr>
        <w:t xml:space="preserve">. </w:t>
      </w:r>
    </w:p>
    <w:p w14:paraId="186CA26D" w14:textId="77777777" w:rsidR="00C679CF" w:rsidRDefault="00C679CF" w:rsidP="0068000D"/>
    <w:p w14:paraId="19047C7B" w14:textId="3A1B7F04" w:rsidR="00EA0833" w:rsidRPr="00DA4517" w:rsidRDefault="00DA4517" w:rsidP="0068000D">
      <w:pPr>
        <w:rPr>
          <w:b/>
          <w:bCs/>
          <w:color w:val="000000" w:themeColor="text1"/>
        </w:rPr>
      </w:pPr>
      <w:r w:rsidRPr="00DA4517">
        <w:rPr>
          <w:b/>
          <w:bCs/>
          <w:color w:val="000000" w:themeColor="text1"/>
        </w:rPr>
        <w:t>Carter v. Kinney</w:t>
      </w:r>
    </w:p>
    <w:p w14:paraId="2C1354AB" w14:textId="0A8EF1EE" w:rsidR="00DA4517" w:rsidRDefault="00DA4517" w:rsidP="00DA4517">
      <w:r w:rsidRPr="00DA4517">
        <w:rPr>
          <w:b/>
          <w:bCs/>
        </w:rPr>
        <w:t>Facts:</w:t>
      </w:r>
      <w:r>
        <w:t xml:space="preserve"> Bible study group hosted by P comes to the study group for the first time and then slips in</w:t>
      </w:r>
    </w:p>
    <w:p w14:paraId="362DE7C3" w14:textId="4AA78BA3" w:rsidR="00DA4517" w:rsidRDefault="00DA4517" w:rsidP="00DA4517">
      <w:r>
        <w:t>the driveway. It had snowed the day before and the DF had shoveled but there was still some ice. Factual dispute as to whether they’d continue to be friends or if they were even friends yet.</w:t>
      </w:r>
    </w:p>
    <w:p w14:paraId="1A20EF72" w14:textId="77777777" w:rsidR="00DA4517" w:rsidRDefault="00DA4517" w:rsidP="00DA4517">
      <w:r w:rsidRPr="00DA4517">
        <w:rPr>
          <w:b/>
          <w:bCs/>
        </w:rPr>
        <w:t>Issue:</w:t>
      </w:r>
      <w:r>
        <w:t xml:space="preserve"> Carter says he is an invitee; Kinney says he’s a licensee.</w:t>
      </w:r>
    </w:p>
    <w:p w14:paraId="7C8EA674" w14:textId="77777777" w:rsidR="00DA4517" w:rsidRDefault="00DA4517" w:rsidP="00DA4517">
      <w:r w:rsidRPr="00DA4517">
        <w:rPr>
          <w:b/>
          <w:bCs/>
        </w:rPr>
        <w:t>PH:</w:t>
      </w:r>
      <w:r>
        <w:t xml:space="preserve"> Trial Court: Sustains summary judgment ruling that he was a licensee.</w:t>
      </w:r>
    </w:p>
    <w:p w14:paraId="07949945" w14:textId="77777777" w:rsidR="00DA4517" w:rsidRDefault="00DA4517" w:rsidP="00DA4517">
      <w:r w:rsidRPr="00DA4517">
        <w:rPr>
          <w:b/>
          <w:bCs/>
        </w:rPr>
        <w:t>Holding/Reasoning:</w:t>
      </w:r>
      <w:r>
        <w:t xml:space="preserve"> Here, PL Carter was a social guest, which the court determines is a licensee</w:t>
      </w:r>
    </w:p>
    <w:p w14:paraId="6AC8998C" w14:textId="77777777" w:rsidR="00DA4517" w:rsidRDefault="00DA4517" w:rsidP="00DA4517">
      <w:r>
        <w:t xml:space="preserve">because there is no material benefit to the </w:t>
      </w:r>
      <w:proofErr w:type="spellStart"/>
      <w:r>
        <w:t>Kinneys</w:t>
      </w:r>
      <w:proofErr w:type="spellEnd"/>
      <w:r>
        <w:t xml:space="preserve">, the </w:t>
      </w:r>
      <w:proofErr w:type="spellStart"/>
      <w:r>
        <w:t>Kinneys</w:t>
      </w:r>
      <w:proofErr w:type="spellEnd"/>
      <w:r>
        <w:t xml:space="preserve"> had not opened premises to</w:t>
      </w:r>
    </w:p>
    <w:p w14:paraId="32EC2EA9" w14:textId="45A97776" w:rsidR="00DA4517" w:rsidRDefault="00DA4517" w:rsidP="00DA4517">
      <w:r>
        <w:t xml:space="preserve">public in such a manner to imply a warranty, and </w:t>
      </w:r>
      <w:proofErr w:type="spellStart"/>
      <w:r>
        <w:t>Kinneys</w:t>
      </w:r>
      <w:proofErr w:type="spellEnd"/>
      <w:r>
        <w:t xml:space="preserve"> had not taken steps to encourage general public to attend. Therefore there is no expectation that the property has been made safe beyond the dangers of which the owner is aware. Court thinks that the future relationship/possible friendship is insignificant because it doesn’t change the status of the P.</w:t>
      </w:r>
    </w:p>
    <w:p w14:paraId="29C6D42D" w14:textId="4F0C9208" w:rsidR="00DA4517" w:rsidRDefault="00DA4517" w:rsidP="00DA4517">
      <w:pPr>
        <w:pStyle w:val="ListParagraph"/>
        <w:numPr>
          <w:ilvl w:val="0"/>
          <w:numId w:val="1"/>
        </w:numPr>
      </w:pPr>
      <w:r w:rsidRPr="00DA4517">
        <w:rPr>
          <w:b/>
          <w:bCs/>
        </w:rPr>
        <w:t>Trespasser</w:t>
      </w:r>
      <w:r>
        <w:t xml:space="preserve"> (no permission to enter): Generally owed no duty of care, but cannot set traps</w:t>
      </w:r>
      <w:r w:rsidR="008712EA">
        <w:t>, cannot intentionally harm</w:t>
      </w:r>
    </w:p>
    <w:p w14:paraId="3257DD84" w14:textId="6EFA3B35" w:rsidR="00DA4517" w:rsidRDefault="00DA4517" w:rsidP="00DA4517">
      <w:pPr>
        <w:pStyle w:val="ListParagraph"/>
        <w:numPr>
          <w:ilvl w:val="0"/>
          <w:numId w:val="1"/>
        </w:numPr>
      </w:pPr>
      <w:r w:rsidRPr="00DA4517">
        <w:rPr>
          <w:b/>
          <w:bCs/>
        </w:rPr>
        <w:t>Licensee</w:t>
      </w:r>
      <w:r>
        <w:t xml:space="preserve"> (permission to enter; social </w:t>
      </w:r>
      <w:proofErr w:type="gramStart"/>
      <w:r>
        <w:t>guest)(</w:t>
      </w:r>
      <w:proofErr w:type="gramEnd"/>
      <w:r>
        <w:t>any visitor not there for def business purpose, unless premises opened for public invitation): Duty to be made safe from dangers of which the owner is aware or should be aware, and which they would not reasonably expect the licensee to discover themselves.</w:t>
      </w:r>
    </w:p>
    <w:p w14:paraId="26C5DFCC" w14:textId="798FA040" w:rsidR="00DA4517" w:rsidRDefault="00DA4517" w:rsidP="00DA4517">
      <w:pPr>
        <w:pStyle w:val="ListParagraph"/>
        <w:numPr>
          <w:ilvl w:val="0"/>
          <w:numId w:val="1"/>
        </w:numPr>
      </w:pPr>
      <w:r w:rsidRPr="00DA4517">
        <w:rPr>
          <w:b/>
          <w:bCs/>
        </w:rPr>
        <w:t>Invitee</w:t>
      </w:r>
      <w:r>
        <w:t xml:space="preserve"> (owner has interest in the visitor/owner’s purpose means he stands to benefit somehow; reason to think land made to receive): Duty from owner to exercise </w:t>
      </w:r>
      <w:r>
        <w:lastRenderedPageBreak/>
        <w:t>reasonable care to protect them against both known dangers and those that would be revealed by inspection</w:t>
      </w:r>
    </w:p>
    <w:p w14:paraId="23317958" w14:textId="3EE0E0E4" w:rsidR="00072A9A" w:rsidRDefault="001A73A4" w:rsidP="00072A9A">
      <w:pPr>
        <w:pStyle w:val="ListParagraph"/>
        <w:numPr>
          <w:ilvl w:val="1"/>
          <w:numId w:val="1"/>
        </w:numPr>
      </w:pPr>
      <w:r>
        <w:rPr>
          <w:b/>
          <w:bCs/>
        </w:rPr>
        <w:t xml:space="preserve">Khosla: </w:t>
      </w:r>
      <w:r w:rsidRPr="001A73A4">
        <w:t>What makes a Licensee an invitee</w:t>
      </w:r>
      <w:r>
        <w:t>?</w:t>
      </w:r>
      <w:r>
        <w:rPr>
          <w:b/>
          <w:bCs/>
        </w:rPr>
        <w:t xml:space="preserve"> </w:t>
      </w:r>
      <w:r>
        <w:t>Depends on possessor’s intention on offering the invitation. (the benefit)</w:t>
      </w:r>
      <w:r w:rsidR="00072A9A">
        <w:t xml:space="preserve"> Licensee presence not linked to being a material benefit. </w:t>
      </w:r>
    </w:p>
    <w:p w14:paraId="10275D6B" w14:textId="77777777" w:rsidR="00DA4517" w:rsidRPr="00DA4517" w:rsidRDefault="00DA4517" w:rsidP="00DA4517">
      <w:pPr>
        <w:rPr>
          <w:b/>
          <w:bCs/>
        </w:rPr>
      </w:pPr>
      <w:r w:rsidRPr="00DA4517">
        <w:rPr>
          <w:b/>
          <w:bCs/>
        </w:rPr>
        <w:t>Notes:</w:t>
      </w:r>
    </w:p>
    <w:p w14:paraId="4827EEE6" w14:textId="37ECAB22" w:rsidR="00DA4517" w:rsidRDefault="00DA4517" w:rsidP="00DA4517">
      <w:pPr>
        <w:pStyle w:val="ListParagraph"/>
        <w:numPr>
          <w:ilvl w:val="0"/>
          <w:numId w:val="1"/>
        </w:numPr>
      </w:pPr>
      <w:r>
        <w:t>The court seems to be saying that a licensee is any visitor who is not there for business purposes, unless the property has been specifically opened to the public such that there is a wider class of invitees</w:t>
      </w:r>
    </w:p>
    <w:p w14:paraId="3608F7DD" w14:textId="71E117B9" w:rsidR="00DA4517" w:rsidRDefault="00DA4517" w:rsidP="00DA4517">
      <w:pPr>
        <w:pStyle w:val="ListParagraph"/>
        <w:numPr>
          <w:ilvl w:val="0"/>
          <w:numId w:val="1"/>
        </w:numPr>
      </w:pPr>
      <w:r>
        <w:t xml:space="preserve">We might have a contrasting fact pattern if the </w:t>
      </w:r>
      <w:proofErr w:type="spellStart"/>
      <w:r>
        <w:t>Kinneys</w:t>
      </w:r>
      <w:proofErr w:type="spellEnd"/>
      <w:r>
        <w:t xml:space="preserve"> had ordered a cake, for example, and the delivery person slipped when delivering</w:t>
      </w:r>
    </w:p>
    <w:p w14:paraId="1705868F" w14:textId="7C2F9A95" w:rsidR="00DA4517" w:rsidRDefault="00DA4517" w:rsidP="00DA4517">
      <w:pPr>
        <w:pStyle w:val="ListParagraph"/>
        <w:numPr>
          <w:ilvl w:val="0"/>
          <w:numId w:val="1"/>
        </w:numPr>
      </w:pPr>
      <w:r>
        <w:t>If Kinney had been an invitee, would have survived summary judgment stage. At that point, would have gone to jury to determine whether it was reasonable not to tell Carter about the ice.</w:t>
      </w:r>
    </w:p>
    <w:p w14:paraId="03BAFC92" w14:textId="53E1FA08" w:rsidR="00DA4517" w:rsidRDefault="00DA4517" w:rsidP="00DA4517">
      <w:pPr>
        <w:pStyle w:val="ListParagraph"/>
        <w:numPr>
          <w:ilvl w:val="0"/>
          <w:numId w:val="1"/>
        </w:numPr>
      </w:pPr>
      <w:r w:rsidRPr="00DA4517">
        <w:rPr>
          <w:b/>
          <w:bCs/>
        </w:rPr>
        <w:t>Khosla</w:t>
      </w:r>
      <w:r>
        <w:t>: Invitee liability is very close to strict liability. It’s saying that you need to make sure things are objectively reasonably safe and that you inform people of anything relevant. Implicit warranty place is safe. Contrast this to the duty owed to licensees of duty to warn about dangers known and that should have been known (which is essentially a reasonable duty of care).</w:t>
      </w:r>
    </w:p>
    <w:p w14:paraId="032A7DD4" w14:textId="2D4D127F" w:rsidR="00C679CF" w:rsidRDefault="00DA4517" w:rsidP="00DA4517">
      <w:pPr>
        <w:pStyle w:val="ListParagraph"/>
        <w:numPr>
          <w:ilvl w:val="0"/>
          <w:numId w:val="1"/>
        </w:numPr>
      </w:pPr>
      <w:r>
        <w:t>Another way to approach this categorization scheme would be through privity: the idea here is that a person’s home should only be as safe as they want it to be, unless you invite someone for your own benefit (invitee</w:t>
      </w:r>
      <w:proofErr w:type="gramStart"/>
      <w:r>
        <w:t>)</w:t>
      </w:r>
      <w:proofErr w:type="gramEnd"/>
      <w:r>
        <w:t xml:space="preserve"> or you have a concealed danger that someone wouldn’t discover (licensee).</w:t>
      </w:r>
    </w:p>
    <w:p w14:paraId="184D2190" w14:textId="77777777" w:rsidR="000B5237" w:rsidRDefault="000B5237" w:rsidP="000B5237"/>
    <w:p w14:paraId="69F876C0" w14:textId="162E6D97" w:rsidR="000B5237" w:rsidRPr="006C3974" w:rsidRDefault="006C3974" w:rsidP="000B5237">
      <w:pPr>
        <w:rPr>
          <w:b/>
          <w:bCs/>
        </w:rPr>
      </w:pPr>
      <w:r w:rsidRPr="006C3974">
        <w:rPr>
          <w:b/>
          <w:bCs/>
        </w:rPr>
        <w:t>Rowland v. Christian</w:t>
      </w:r>
    </w:p>
    <w:p w14:paraId="7C2E0721" w14:textId="77777777" w:rsidR="006054CA" w:rsidRPr="006054CA" w:rsidRDefault="006054CA" w:rsidP="006054CA">
      <w:r w:rsidRPr="006054CA">
        <w:rPr>
          <w:b/>
          <w:bCs/>
        </w:rPr>
        <w:t>Facts:</w:t>
      </w:r>
      <w:r w:rsidRPr="006054CA">
        <w:t xml:space="preserve"> PL comes by DF apartment, uses sink and injures hand on sharp faucet, alleges that DF</w:t>
      </w:r>
      <w:r w:rsidRPr="006054CA">
        <w:br/>
        <w:t>owner knew of danger posed by the faucet and was negligent in failing to fix it.</w:t>
      </w:r>
    </w:p>
    <w:p w14:paraId="11D982A1" w14:textId="77777777" w:rsidR="006054CA" w:rsidRDefault="006054CA" w:rsidP="006054CA">
      <w:r>
        <w:rPr>
          <w:b/>
          <w:bCs/>
        </w:rPr>
        <w:t>PH</w:t>
      </w:r>
      <w:r w:rsidRPr="006054CA">
        <w:rPr>
          <w:b/>
          <w:bCs/>
        </w:rPr>
        <w:t>:</w:t>
      </w:r>
      <w:r w:rsidRPr="006054CA">
        <w:t xml:space="preserve"> Lower court states that possessor only owes social guest the duty to keep safe from</w:t>
      </w:r>
      <w:r w:rsidRPr="006054CA">
        <w:br/>
        <w:t>concealed dangers of which they are aware or should be aware, which this was not.</w:t>
      </w:r>
      <w:r w:rsidRPr="006054CA">
        <w:br/>
      </w:r>
      <w:r w:rsidRPr="006054CA">
        <w:rPr>
          <w:b/>
          <w:bCs/>
        </w:rPr>
        <w:t>Issue</w:t>
      </w:r>
      <w:r w:rsidRPr="006054CA">
        <w:t>: Does a landlord have a duty of reasonable care to entrants regardless of traditional</w:t>
      </w:r>
      <w:r w:rsidRPr="006054CA">
        <w:br/>
      </w:r>
      <w:r>
        <w:t>classification?</w:t>
      </w:r>
      <w:r w:rsidRPr="006054CA">
        <w:br/>
      </w:r>
      <w:r w:rsidRPr="006054CA">
        <w:rPr>
          <w:b/>
          <w:bCs/>
        </w:rPr>
        <w:t>Holding/reasoning</w:t>
      </w:r>
      <w:r w:rsidRPr="006054CA">
        <w:t>: Lays out history of category development, and then identifies 4 reasons that</w:t>
      </w:r>
      <w:r>
        <w:t xml:space="preserve"> </w:t>
      </w:r>
      <w:r w:rsidRPr="006054CA">
        <w:t>the categories should be considered obsolete: 1) these categories do not sufficiently protect</w:t>
      </w:r>
      <w:r>
        <w:t xml:space="preserve"> </w:t>
      </w:r>
      <w:r w:rsidRPr="006054CA">
        <w:t>people from injury, 2) application is arbitrary and confusing, 3) classification involves a legacy</w:t>
      </w:r>
      <w:r>
        <w:t xml:space="preserve"> </w:t>
      </w:r>
      <w:r w:rsidRPr="006054CA">
        <w:t>of feudalism, and 4) these categories suggest there are moral/normative considerations at work</w:t>
      </w:r>
      <w:r>
        <w:t xml:space="preserve"> </w:t>
      </w:r>
      <w:r w:rsidRPr="006054CA">
        <w:t>that are not captured in current law (life is not less worthy of protection because you come onto</w:t>
      </w:r>
      <w:r>
        <w:t xml:space="preserve"> </w:t>
      </w:r>
      <w:r w:rsidRPr="006054CA">
        <w:t>a</w:t>
      </w:r>
      <w:r>
        <w:t xml:space="preserve"> </w:t>
      </w:r>
      <w:r w:rsidRPr="006054CA">
        <w:t>piece of property outside of a business purpose). Holds that possessors have a duty of ordinary</w:t>
      </w:r>
      <w:r>
        <w:t xml:space="preserve"> </w:t>
      </w:r>
      <w:r w:rsidRPr="006054CA">
        <w:t>care to anyone who enters a property.</w:t>
      </w:r>
      <w:r w:rsidRPr="006054CA">
        <w:br/>
      </w:r>
      <w:r w:rsidRPr="006054CA">
        <w:rPr>
          <w:b/>
          <w:bCs/>
        </w:rPr>
        <w:t>Notes:</w:t>
      </w:r>
    </w:p>
    <w:p w14:paraId="32C8F7C0" w14:textId="77777777" w:rsidR="006054CA" w:rsidRDefault="006054CA" w:rsidP="006054CA">
      <w:pPr>
        <w:pStyle w:val="ListParagraph"/>
        <w:numPr>
          <w:ilvl w:val="0"/>
          <w:numId w:val="1"/>
        </w:numPr>
      </w:pPr>
      <w:r>
        <w:t>S</w:t>
      </w:r>
      <w:r w:rsidRPr="006054CA">
        <w:t xml:space="preserve">hifts power away from judge to </w:t>
      </w:r>
      <w:proofErr w:type="gramStart"/>
      <w:r w:rsidRPr="006054CA">
        <w:t>jury, and</w:t>
      </w:r>
      <w:proofErr w:type="gramEnd"/>
      <w:r w:rsidRPr="006054CA">
        <w:t xml:space="preserve"> means that claims that would have usually</w:t>
      </w:r>
      <w:r w:rsidRPr="006054CA">
        <w:br/>
        <w:t>been dismissed at the SJ stage will now go to the jury. Jury will be determining if the</w:t>
      </w:r>
      <w:r w:rsidRPr="006054CA">
        <w:br/>
        <w:t>possessor exercised ordinary prudence with respect to the premises. This extends to</w:t>
      </w:r>
      <w:r w:rsidRPr="006054CA">
        <w:br/>
        <w:t>everyone, and the investigation is very fact specific.</w:t>
      </w:r>
      <w:r w:rsidRPr="006054CA">
        <w:br/>
      </w:r>
    </w:p>
    <w:p w14:paraId="2E4222A2" w14:textId="3A377958" w:rsidR="006054CA" w:rsidRDefault="006054CA" w:rsidP="006054CA">
      <w:pPr>
        <w:pStyle w:val="ListParagraph"/>
        <w:numPr>
          <w:ilvl w:val="0"/>
          <w:numId w:val="1"/>
        </w:numPr>
      </w:pPr>
      <w:r w:rsidRPr="006054CA">
        <w:lastRenderedPageBreak/>
        <w:t>Reasonable care will depend entirely on the specific circumstances of the case</w:t>
      </w:r>
    </w:p>
    <w:p w14:paraId="7A83E7EF" w14:textId="257B3AD8" w:rsidR="006054CA" w:rsidRDefault="006054CA" w:rsidP="006054CA">
      <w:pPr>
        <w:pStyle w:val="ListParagraph"/>
        <w:numPr>
          <w:ilvl w:val="0"/>
          <w:numId w:val="1"/>
        </w:numPr>
      </w:pPr>
      <w:r w:rsidRPr="006054CA">
        <w:t>Fallout from Rowland: most states have done away with formalist distinction, but many</w:t>
      </w:r>
      <w:r>
        <w:t xml:space="preserve"> </w:t>
      </w:r>
      <w:r w:rsidRPr="006054CA">
        <w:t>states still distinguish between welcomed guests and trespassers.</w:t>
      </w:r>
    </w:p>
    <w:p w14:paraId="4686C2B4" w14:textId="06F83131" w:rsidR="006054CA" w:rsidRDefault="006054CA" w:rsidP="006054CA">
      <w:pPr>
        <w:pStyle w:val="ListParagraph"/>
        <w:numPr>
          <w:ilvl w:val="1"/>
          <w:numId w:val="1"/>
        </w:numPr>
      </w:pPr>
      <w:r w:rsidRPr="006054CA">
        <w:t>Some criticize collapsing trespassers into the entirety of categories</w:t>
      </w:r>
    </w:p>
    <w:p w14:paraId="0CD48057" w14:textId="1163031E" w:rsidR="006054CA" w:rsidRPr="006054CA" w:rsidRDefault="006054CA" w:rsidP="006054CA">
      <w:pPr>
        <w:pStyle w:val="ListParagraph"/>
        <w:numPr>
          <w:ilvl w:val="0"/>
          <w:numId w:val="1"/>
        </w:numPr>
      </w:pPr>
      <w:r w:rsidRPr="006054CA">
        <w:t>Some courts now find the classifications unacceptable, following Rowland v. Christian,</w:t>
      </w:r>
      <w:r>
        <w:t xml:space="preserve"> </w:t>
      </w:r>
      <w:r w:rsidRPr="006054CA">
        <w:t>and have begun evaluating scope of duty based on foreseeability of harm, closeness of</w:t>
      </w:r>
      <w:r>
        <w:t xml:space="preserve"> </w:t>
      </w:r>
      <w:r w:rsidRPr="006054CA">
        <w:t>connection between defendant’s conduct and plaintiff’s harm, and moral blame</w:t>
      </w:r>
      <w:r>
        <w:t xml:space="preserve"> </w:t>
      </w:r>
      <w:r w:rsidRPr="006054CA">
        <w:t>attached</w:t>
      </w:r>
      <w:r>
        <w:t xml:space="preserve"> </w:t>
      </w:r>
      <w:r w:rsidRPr="006054CA">
        <w:t xml:space="preserve">to plaintiff’s conduct. Entrant status could be </w:t>
      </w:r>
      <w:proofErr w:type="gramStart"/>
      <w:r w:rsidRPr="006054CA">
        <w:t>taken into account</w:t>
      </w:r>
      <w:proofErr w:type="gramEnd"/>
      <w:r w:rsidRPr="006054CA">
        <w:t xml:space="preserve"> but ceased to be</w:t>
      </w:r>
      <w:r>
        <w:t xml:space="preserve"> </w:t>
      </w:r>
      <w:r w:rsidRPr="006054CA">
        <w:t>determinative. Some states have done away with trespasser status altogether, others have</w:t>
      </w:r>
      <w:r>
        <w:t xml:space="preserve"> </w:t>
      </w:r>
      <w:r w:rsidRPr="006054CA">
        <w:t>kept it and collapsed invitees/licensees, and about half have kept all three classifications</w:t>
      </w:r>
      <w:r>
        <w:t>.</w:t>
      </w:r>
    </w:p>
    <w:p w14:paraId="3A6D5AE1" w14:textId="77777777" w:rsidR="006C3974" w:rsidRDefault="006C3974" w:rsidP="000B5237"/>
    <w:sectPr w:rsidR="006C39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CB4748"/>
    <w:multiLevelType w:val="hybridMultilevel"/>
    <w:tmpl w:val="04022452"/>
    <w:lvl w:ilvl="0" w:tplc="CC0C9EEA">
      <w:start w:val="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580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BC6"/>
    <w:rsid w:val="00072A9A"/>
    <w:rsid w:val="000B5237"/>
    <w:rsid w:val="000D0419"/>
    <w:rsid w:val="001A73A4"/>
    <w:rsid w:val="001F45F9"/>
    <w:rsid w:val="00270A8A"/>
    <w:rsid w:val="002A456C"/>
    <w:rsid w:val="002F49DD"/>
    <w:rsid w:val="003F5EB9"/>
    <w:rsid w:val="00410DD8"/>
    <w:rsid w:val="00415358"/>
    <w:rsid w:val="004F4B54"/>
    <w:rsid w:val="00505226"/>
    <w:rsid w:val="006054CA"/>
    <w:rsid w:val="0068000D"/>
    <w:rsid w:val="006C3974"/>
    <w:rsid w:val="007211CC"/>
    <w:rsid w:val="008442D2"/>
    <w:rsid w:val="00853C9D"/>
    <w:rsid w:val="008712EA"/>
    <w:rsid w:val="009D1BA4"/>
    <w:rsid w:val="00A341DC"/>
    <w:rsid w:val="00A851A5"/>
    <w:rsid w:val="00AF1D6E"/>
    <w:rsid w:val="00B67BE4"/>
    <w:rsid w:val="00C679CF"/>
    <w:rsid w:val="00D8341C"/>
    <w:rsid w:val="00DA4517"/>
    <w:rsid w:val="00E25BC6"/>
    <w:rsid w:val="00EA0833"/>
    <w:rsid w:val="00EE277B"/>
    <w:rsid w:val="00F8056B"/>
    <w:rsid w:val="00FC7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92DBB"/>
  <w15:chartTrackingRefBased/>
  <w15:docId w15:val="{9C372BA3-EBC1-DF41-B094-E18CC4183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B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B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B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B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B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B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B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B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B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B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B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B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B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B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BC6"/>
    <w:rPr>
      <w:rFonts w:eastAsiaTheme="majorEastAsia" w:cstheme="majorBidi"/>
      <w:color w:val="272727" w:themeColor="text1" w:themeTint="D8"/>
    </w:rPr>
  </w:style>
  <w:style w:type="paragraph" w:styleId="Title">
    <w:name w:val="Title"/>
    <w:basedOn w:val="Normal"/>
    <w:next w:val="Normal"/>
    <w:link w:val="TitleChar"/>
    <w:uiPriority w:val="10"/>
    <w:qFormat/>
    <w:rsid w:val="00E25B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BC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BC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5BC6"/>
    <w:rPr>
      <w:i/>
      <w:iCs/>
      <w:color w:val="404040" w:themeColor="text1" w:themeTint="BF"/>
    </w:rPr>
  </w:style>
  <w:style w:type="paragraph" w:styleId="ListParagraph">
    <w:name w:val="List Paragraph"/>
    <w:basedOn w:val="Normal"/>
    <w:uiPriority w:val="34"/>
    <w:qFormat/>
    <w:rsid w:val="00E25BC6"/>
    <w:pPr>
      <w:ind w:left="720"/>
      <w:contextualSpacing/>
    </w:pPr>
  </w:style>
  <w:style w:type="character" w:styleId="IntenseEmphasis">
    <w:name w:val="Intense Emphasis"/>
    <w:basedOn w:val="DefaultParagraphFont"/>
    <w:uiPriority w:val="21"/>
    <w:qFormat/>
    <w:rsid w:val="00E25BC6"/>
    <w:rPr>
      <w:i/>
      <w:iCs/>
      <w:color w:val="2F5496" w:themeColor="accent1" w:themeShade="BF"/>
    </w:rPr>
  </w:style>
  <w:style w:type="paragraph" w:styleId="IntenseQuote">
    <w:name w:val="Intense Quote"/>
    <w:basedOn w:val="Normal"/>
    <w:next w:val="Normal"/>
    <w:link w:val="IntenseQuoteChar"/>
    <w:uiPriority w:val="30"/>
    <w:qFormat/>
    <w:rsid w:val="00E25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BC6"/>
    <w:rPr>
      <w:i/>
      <w:iCs/>
      <w:color w:val="2F5496" w:themeColor="accent1" w:themeShade="BF"/>
    </w:rPr>
  </w:style>
  <w:style w:type="character" w:styleId="IntenseReference">
    <w:name w:val="Intense Reference"/>
    <w:basedOn w:val="DefaultParagraphFont"/>
    <w:uiPriority w:val="32"/>
    <w:qFormat/>
    <w:rsid w:val="00E25B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0233703">
      <w:bodyDiv w:val="1"/>
      <w:marLeft w:val="0"/>
      <w:marRight w:val="0"/>
      <w:marTop w:val="0"/>
      <w:marBottom w:val="0"/>
      <w:divBdr>
        <w:top w:val="none" w:sz="0" w:space="0" w:color="auto"/>
        <w:left w:val="none" w:sz="0" w:space="0" w:color="auto"/>
        <w:bottom w:val="none" w:sz="0" w:space="0" w:color="auto"/>
        <w:right w:val="none" w:sz="0" w:space="0" w:color="auto"/>
      </w:divBdr>
      <w:divsChild>
        <w:div w:id="284848357">
          <w:marLeft w:val="0"/>
          <w:marRight w:val="0"/>
          <w:marTop w:val="100"/>
          <w:marBottom w:val="100"/>
          <w:divBdr>
            <w:top w:val="none" w:sz="0" w:space="0" w:color="auto"/>
            <w:left w:val="none" w:sz="0" w:space="0" w:color="auto"/>
            <w:bottom w:val="none" w:sz="0" w:space="0" w:color="auto"/>
            <w:right w:val="none" w:sz="0" w:space="0" w:color="auto"/>
          </w:divBdr>
          <w:divsChild>
            <w:div w:id="1909807507">
              <w:marLeft w:val="0"/>
              <w:marRight w:val="0"/>
              <w:marTop w:val="750"/>
              <w:marBottom w:val="750"/>
              <w:divBdr>
                <w:top w:val="none" w:sz="0" w:space="0" w:color="auto"/>
                <w:left w:val="none" w:sz="0" w:space="0" w:color="auto"/>
                <w:bottom w:val="none" w:sz="0" w:space="0" w:color="auto"/>
                <w:right w:val="none" w:sz="0" w:space="0" w:color="auto"/>
              </w:divBdr>
              <w:divsChild>
                <w:div w:id="862475656">
                  <w:marLeft w:val="0"/>
                  <w:marRight w:val="0"/>
                  <w:marTop w:val="0"/>
                  <w:marBottom w:val="0"/>
                  <w:divBdr>
                    <w:top w:val="none" w:sz="0" w:space="0" w:color="auto"/>
                    <w:left w:val="none" w:sz="0" w:space="0" w:color="auto"/>
                    <w:bottom w:val="none" w:sz="0" w:space="0" w:color="auto"/>
                    <w:right w:val="none" w:sz="0" w:space="0" w:color="auto"/>
                  </w:divBdr>
                  <w:divsChild>
                    <w:div w:id="2146460720">
                      <w:marLeft w:val="0"/>
                      <w:marRight w:val="0"/>
                      <w:marTop w:val="0"/>
                      <w:marBottom w:val="0"/>
                      <w:divBdr>
                        <w:top w:val="none" w:sz="0" w:space="0" w:color="auto"/>
                        <w:left w:val="none" w:sz="0" w:space="0" w:color="auto"/>
                        <w:bottom w:val="none" w:sz="0" w:space="0" w:color="auto"/>
                        <w:right w:val="none" w:sz="0" w:space="0" w:color="auto"/>
                      </w:divBdr>
                      <w:divsChild>
                        <w:div w:id="146619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834199">
          <w:marLeft w:val="0"/>
          <w:marRight w:val="0"/>
          <w:marTop w:val="100"/>
          <w:marBottom w:val="100"/>
          <w:divBdr>
            <w:top w:val="dashed" w:sz="6" w:space="0" w:color="A8A8A8"/>
            <w:left w:val="none" w:sz="0" w:space="0" w:color="auto"/>
            <w:bottom w:val="none" w:sz="0" w:space="0" w:color="auto"/>
            <w:right w:val="none" w:sz="0" w:space="0" w:color="auto"/>
          </w:divBdr>
          <w:divsChild>
            <w:div w:id="1721203774">
              <w:marLeft w:val="0"/>
              <w:marRight w:val="0"/>
              <w:marTop w:val="750"/>
              <w:marBottom w:val="750"/>
              <w:divBdr>
                <w:top w:val="none" w:sz="0" w:space="0" w:color="auto"/>
                <w:left w:val="none" w:sz="0" w:space="0" w:color="auto"/>
                <w:bottom w:val="none" w:sz="0" w:space="0" w:color="auto"/>
                <w:right w:val="none" w:sz="0" w:space="0" w:color="auto"/>
              </w:divBdr>
              <w:divsChild>
                <w:div w:id="29032938">
                  <w:marLeft w:val="0"/>
                  <w:marRight w:val="0"/>
                  <w:marTop w:val="0"/>
                  <w:marBottom w:val="0"/>
                  <w:divBdr>
                    <w:top w:val="none" w:sz="0" w:space="0" w:color="auto"/>
                    <w:left w:val="none" w:sz="0" w:space="0" w:color="auto"/>
                    <w:bottom w:val="none" w:sz="0" w:space="0" w:color="auto"/>
                    <w:right w:val="none" w:sz="0" w:space="0" w:color="auto"/>
                  </w:divBdr>
                  <w:divsChild>
                    <w:div w:id="1714188066">
                      <w:marLeft w:val="0"/>
                      <w:marRight w:val="0"/>
                      <w:marTop w:val="0"/>
                      <w:marBottom w:val="0"/>
                      <w:divBdr>
                        <w:top w:val="none" w:sz="0" w:space="0" w:color="auto"/>
                        <w:left w:val="none" w:sz="0" w:space="0" w:color="auto"/>
                        <w:bottom w:val="none" w:sz="0" w:space="0" w:color="auto"/>
                        <w:right w:val="none" w:sz="0" w:space="0" w:color="auto"/>
                      </w:divBdr>
                      <w:divsChild>
                        <w:div w:id="49541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693526">
      <w:bodyDiv w:val="1"/>
      <w:marLeft w:val="0"/>
      <w:marRight w:val="0"/>
      <w:marTop w:val="0"/>
      <w:marBottom w:val="0"/>
      <w:divBdr>
        <w:top w:val="none" w:sz="0" w:space="0" w:color="auto"/>
        <w:left w:val="none" w:sz="0" w:space="0" w:color="auto"/>
        <w:bottom w:val="none" w:sz="0" w:space="0" w:color="auto"/>
        <w:right w:val="none" w:sz="0" w:space="0" w:color="auto"/>
      </w:divBdr>
    </w:div>
    <w:div w:id="1179007985">
      <w:bodyDiv w:val="1"/>
      <w:marLeft w:val="0"/>
      <w:marRight w:val="0"/>
      <w:marTop w:val="0"/>
      <w:marBottom w:val="0"/>
      <w:divBdr>
        <w:top w:val="none" w:sz="0" w:space="0" w:color="auto"/>
        <w:left w:val="none" w:sz="0" w:space="0" w:color="auto"/>
        <w:bottom w:val="none" w:sz="0" w:space="0" w:color="auto"/>
        <w:right w:val="none" w:sz="0" w:space="0" w:color="auto"/>
      </w:divBdr>
      <w:divsChild>
        <w:div w:id="1937790927">
          <w:marLeft w:val="0"/>
          <w:marRight w:val="0"/>
          <w:marTop w:val="100"/>
          <w:marBottom w:val="100"/>
          <w:divBdr>
            <w:top w:val="none" w:sz="0" w:space="0" w:color="auto"/>
            <w:left w:val="none" w:sz="0" w:space="0" w:color="auto"/>
            <w:bottom w:val="none" w:sz="0" w:space="0" w:color="auto"/>
            <w:right w:val="none" w:sz="0" w:space="0" w:color="auto"/>
          </w:divBdr>
          <w:divsChild>
            <w:div w:id="1921207578">
              <w:marLeft w:val="0"/>
              <w:marRight w:val="0"/>
              <w:marTop w:val="750"/>
              <w:marBottom w:val="750"/>
              <w:divBdr>
                <w:top w:val="none" w:sz="0" w:space="0" w:color="auto"/>
                <w:left w:val="none" w:sz="0" w:space="0" w:color="auto"/>
                <w:bottom w:val="none" w:sz="0" w:space="0" w:color="auto"/>
                <w:right w:val="none" w:sz="0" w:space="0" w:color="auto"/>
              </w:divBdr>
              <w:divsChild>
                <w:div w:id="30500454">
                  <w:marLeft w:val="0"/>
                  <w:marRight w:val="0"/>
                  <w:marTop w:val="0"/>
                  <w:marBottom w:val="0"/>
                  <w:divBdr>
                    <w:top w:val="none" w:sz="0" w:space="0" w:color="auto"/>
                    <w:left w:val="none" w:sz="0" w:space="0" w:color="auto"/>
                    <w:bottom w:val="none" w:sz="0" w:space="0" w:color="auto"/>
                    <w:right w:val="none" w:sz="0" w:space="0" w:color="auto"/>
                  </w:divBdr>
                  <w:divsChild>
                    <w:div w:id="1112749273">
                      <w:marLeft w:val="0"/>
                      <w:marRight w:val="0"/>
                      <w:marTop w:val="0"/>
                      <w:marBottom w:val="0"/>
                      <w:divBdr>
                        <w:top w:val="none" w:sz="0" w:space="0" w:color="auto"/>
                        <w:left w:val="none" w:sz="0" w:space="0" w:color="auto"/>
                        <w:bottom w:val="none" w:sz="0" w:space="0" w:color="auto"/>
                        <w:right w:val="none" w:sz="0" w:space="0" w:color="auto"/>
                      </w:divBdr>
                      <w:divsChild>
                        <w:div w:id="17378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35919">
          <w:marLeft w:val="0"/>
          <w:marRight w:val="0"/>
          <w:marTop w:val="100"/>
          <w:marBottom w:val="100"/>
          <w:divBdr>
            <w:top w:val="dashed" w:sz="6" w:space="0" w:color="A8A8A8"/>
            <w:left w:val="none" w:sz="0" w:space="0" w:color="auto"/>
            <w:bottom w:val="none" w:sz="0" w:space="0" w:color="auto"/>
            <w:right w:val="none" w:sz="0" w:space="0" w:color="auto"/>
          </w:divBdr>
          <w:divsChild>
            <w:div w:id="1444837857">
              <w:marLeft w:val="0"/>
              <w:marRight w:val="0"/>
              <w:marTop w:val="750"/>
              <w:marBottom w:val="750"/>
              <w:divBdr>
                <w:top w:val="none" w:sz="0" w:space="0" w:color="auto"/>
                <w:left w:val="none" w:sz="0" w:space="0" w:color="auto"/>
                <w:bottom w:val="none" w:sz="0" w:space="0" w:color="auto"/>
                <w:right w:val="none" w:sz="0" w:space="0" w:color="auto"/>
              </w:divBdr>
              <w:divsChild>
                <w:div w:id="443304687">
                  <w:marLeft w:val="0"/>
                  <w:marRight w:val="0"/>
                  <w:marTop w:val="0"/>
                  <w:marBottom w:val="0"/>
                  <w:divBdr>
                    <w:top w:val="none" w:sz="0" w:space="0" w:color="auto"/>
                    <w:left w:val="none" w:sz="0" w:space="0" w:color="auto"/>
                    <w:bottom w:val="none" w:sz="0" w:space="0" w:color="auto"/>
                    <w:right w:val="none" w:sz="0" w:space="0" w:color="auto"/>
                  </w:divBdr>
                  <w:divsChild>
                    <w:div w:id="1684480293">
                      <w:marLeft w:val="0"/>
                      <w:marRight w:val="0"/>
                      <w:marTop w:val="0"/>
                      <w:marBottom w:val="0"/>
                      <w:divBdr>
                        <w:top w:val="none" w:sz="0" w:space="0" w:color="auto"/>
                        <w:left w:val="none" w:sz="0" w:space="0" w:color="auto"/>
                        <w:bottom w:val="none" w:sz="0" w:space="0" w:color="auto"/>
                        <w:right w:val="none" w:sz="0" w:space="0" w:color="auto"/>
                      </w:divBdr>
                      <w:divsChild>
                        <w:div w:id="103245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 Nok Larry Lo</dc:creator>
  <cp:keywords/>
  <dc:description/>
  <cp:lastModifiedBy>Chun Nok Larry Lo</cp:lastModifiedBy>
  <cp:revision>162</cp:revision>
  <dcterms:created xsi:type="dcterms:W3CDTF">2024-10-01T12:43:00Z</dcterms:created>
  <dcterms:modified xsi:type="dcterms:W3CDTF">2024-10-03T23:49:00Z</dcterms:modified>
</cp:coreProperties>
</file>