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WRITING SAMPLE COVER SHEET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Submitted By: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Moshe S. Klein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Proposal: GIVE (Guardianship's Initiative for Visits by EMS)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September 2025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Context &amp; Capacity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 began drafting this policy proposal during my tenure as the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Judicial Secretary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Hon. Rachel E. Freier (Supreme Court, Kings County). Upon commencing law school, I retained my affiliation with the Chambers to bring this initiative to completion. This document represents the final version submitted to the Pilot Program Working Group in September 2025.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 Description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proposal outlines "GIVE," a pilot program harnessing the expertise and availability of volunteer EMS personnel to conduct court-mandated wellness checks on incapacitated persons under Mental Hygiene Law Article 81. While the official proposal lists Justice Freier as the submitting authority, I served as the lead editorial and primary drafter. My work included researching statutory authority, designing the operational framework, and drafting liability protocols.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Note on Truncation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full proposal exceeds 15 pages and includes extensive appendices. For the purpose of this writing sample, I have excerpted the document to focus on the legal and operational analysis.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Included: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Sections 1–6 (Summary, Background, Solution, Legal Framework, Operational Framework, Liability) and Appendix D (Working Group Leadership).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Omitted: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Sections 7–10 (Financials, Evaluation Metrics, Implementation Plan) and administrative appendices.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