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32CB8" w14:textId="77777777" w:rsidR="00D44921" w:rsidRPr="0083317B" w:rsidRDefault="00D44921" w:rsidP="00D44921">
      <w:pPr>
        <w:rPr>
          <w:rFonts w:asciiTheme="minorHAnsi" w:hAnsiTheme="minorHAnsi" w:cstheme="minorHAnsi"/>
        </w:rPr>
      </w:pPr>
      <w:r w:rsidRPr="0083317B">
        <w:rPr>
          <w:rFonts w:asciiTheme="minorHAnsi" w:hAnsiTheme="minorHAnsi" w:cstheme="minorHAnsi"/>
          <w:i/>
          <w:iCs/>
        </w:rPr>
        <w:t>CITY OF GRANTS PASS v. JOHNSON</w:t>
      </w:r>
      <w:r w:rsidRPr="0083317B">
        <w:rPr>
          <w:rFonts w:asciiTheme="minorHAnsi" w:hAnsiTheme="minorHAnsi" w:cstheme="minorHAnsi"/>
        </w:rPr>
        <w:t>—Decided June 28, 2024</w:t>
      </w:r>
    </w:p>
    <w:p w14:paraId="35475D5F" w14:textId="77777777" w:rsidR="00D44921" w:rsidRPr="0083317B" w:rsidRDefault="00D44921" w:rsidP="00D44921">
      <w:pPr>
        <w:rPr>
          <w:rFonts w:asciiTheme="minorHAnsi" w:hAnsiTheme="minorHAnsi" w:cstheme="minorHAnsi"/>
        </w:rPr>
      </w:pPr>
    </w:p>
    <w:p w14:paraId="0DD5C6C7" w14:textId="77777777" w:rsidR="00D44921" w:rsidRPr="0083317B" w:rsidRDefault="00D44921" w:rsidP="00D44921">
      <w:pPr>
        <w:rPr>
          <w:rFonts w:asciiTheme="minorHAnsi" w:hAnsiTheme="minorHAnsi" w:cstheme="minorHAnsi"/>
        </w:rPr>
      </w:pPr>
      <w:r w:rsidRPr="0083317B">
        <w:rPr>
          <w:rFonts w:asciiTheme="minorHAnsi" w:hAnsiTheme="minorHAnsi" w:cstheme="minorHAnsi"/>
        </w:rPr>
        <w:t xml:space="preserve">JUSTICE GORSUCH delivered the opinion of the Court. </w:t>
      </w:r>
    </w:p>
    <w:p w14:paraId="5D377BC9" w14:textId="77777777" w:rsidR="00D44921" w:rsidRPr="0083317B" w:rsidRDefault="00D44921" w:rsidP="00D44921">
      <w:pPr>
        <w:rPr>
          <w:rFonts w:asciiTheme="minorHAnsi" w:hAnsiTheme="minorHAnsi" w:cstheme="minorHAnsi"/>
        </w:rPr>
      </w:pPr>
    </w:p>
    <w:p w14:paraId="3494B067"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Many cities across the American West face a homelessness crisis. . . .</w:t>
      </w:r>
    </w:p>
    <w:p w14:paraId="474025DA" w14:textId="77777777" w:rsidR="00D44921" w:rsidRPr="0083317B" w:rsidRDefault="00D44921" w:rsidP="00D44921">
      <w:pPr>
        <w:ind w:firstLine="720"/>
        <w:jc w:val="center"/>
        <w:rPr>
          <w:rFonts w:asciiTheme="minorHAnsi" w:hAnsiTheme="minorHAnsi" w:cstheme="minorHAnsi"/>
        </w:rPr>
      </w:pPr>
      <w:r w:rsidRPr="0083317B">
        <w:rPr>
          <w:rFonts w:asciiTheme="minorHAnsi" w:hAnsiTheme="minorHAnsi" w:cstheme="minorHAnsi"/>
        </w:rPr>
        <w:t>I A</w:t>
      </w:r>
    </w:p>
    <w:p w14:paraId="02F8EC26"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 . According to the federal government, homelessness in this country has reached its highest levels since the government began reporting data on the subject in 2007. . . .</w:t>
      </w:r>
    </w:p>
    <w:p w14:paraId="22881A04" w14:textId="77777777" w:rsidR="00D44921" w:rsidRPr="0083317B" w:rsidRDefault="00D44921" w:rsidP="00D44921">
      <w:pPr>
        <w:ind w:firstLine="720"/>
        <w:rPr>
          <w:rFonts w:asciiTheme="minorHAnsi" w:hAnsiTheme="minorHAnsi" w:cstheme="minorHAnsi"/>
        </w:rPr>
      </w:pPr>
    </w:p>
    <w:p w14:paraId="5A5AC560"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As the number of homeless individuals has grown, the number of homeless encampments across the country has increased as well, “in numbers not seen in almost a century.” Ibid. The unsheltered may coalesce in these encampments for a range of reasons. Some value the “freedom” encampment living provides compared with submitting to the rules shelters impose. [Citations omitted here and below.] Others report that encampments offer a “sense of community.” And still others may seek them out for “dependable access to illegal drugs.” . . . As the number and size of these encampments have grown, so have the challenges they can pose for the homeless and others. We are told, for example, that the “exponential increase in . . . encampments in recent years has resulted in an increase in crimes both against the homeless and by the homeless.” . . . </w:t>
      </w:r>
    </w:p>
    <w:p w14:paraId="6752CE03" w14:textId="77777777" w:rsidR="00D44921" w:rsidRPr="0083317B" w:rsidRDefault="00D44921" w:rsidP="00D44921">
      <w:pPr>
        <w:ind w:firstLine="720"/>
        <w:rPr>
          <w:rFonts w:asciiTheme="minorHAnsi" w:hAnsiTheme="minorHAnsi" w:cstheme="minorHAnsi"/>
        </w:rPr>
      </w:pPr>
    </w:p>
    <w:p w14:paraId="6EB636A2"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 . The . . . unsheltered sometimes reject offers of assistance [for reasons that are] many and complex. . . .</w:t>
      </w:r>
    </w:p>
    <w:p w14:paraId="5F5AD41E" w14:textId="77777777" w:rsidR="00D44921" w:rsidRPr="0083317B" w:rsidRDefault="00D44921" w:rsidP="00D44921">
      <w:pPr>
        <w:ind w:firstLine="720"/>
        <w:rPr>
          <w:rFonts w:asciiTheme="minorHAnsi" w:hAnsiTheme="minorHAnsi" w:cstheme="minorHAnsi"/>
        </w:rPr>
      </w:pPr>
    </w:p>
    <w:p w14:paraId="3A887910"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Rather than focus on a single policy to meet the challenges associated with homelessness, many States and cities have pursued a range of policies and programs [including ] expanding shelter and affordable housing opportunities, .  . reinvest[ing] in mental-health and substance-abuse treatment programs . . . train[ing] employees in outreach tactics [and] pair[ing] these efforts with the enforcement of laws that restrict camping in public places, like parks, streets, and sidewalks. . . . By one count, “a majority of cities have laws restricting camping in public spaces,” and nearly forty percent “have one or more laws prohibiting camping citywide.”. . . . </w:t>
      </w:r>
    </w:p>
    <w:p w14:paraId="20991F73" w14:textId="77777777" w:rsidR="00D44921" w:rsidRPr="0083317B" w:rsidRDefault="00D44921" w:rsidP="00D44921">
      <w:pPr>
        <w:ind w:firstLine="720"/>
        <w:jc w:val="center"/>
        <w:rPr>
          <w:rFonts w:asciiTheme="minorHAnsi" w:hAnsiTheme="minorHAnsi" w:cstheme="minorHAnsi"/>
        </w:rPr>
      </w:pPr>
    </w:p>
    <w:p w14:paraId="2D5840F1"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Five years ago, the U. S. Court of Appeals for the Ninth Circuit took one of those tools off the table. In Martin v. Boise, 920 F. 3d 584 (2019), that court considered a public-camping ordinance in Boise, Idaho, that made it a misdemeanor to use “streets, sidewalks, parks, or public places” for “camping.” Id., at 603 (internal quotation marks omitted). According to the Ninth Circuit, the Eighth Amendment’s Cruel and Unusual Punishments Clause barred Boise from enforcing its public-camping ordinance against homeless individuals who lacked “access to alternative shelter.” Id., at 615. That “access” was lacking, the court said, whenever “‘there is a greater number of homeless individuals in a jurisdiction than the number of available beds in shelters.’” Id., at 617 (alterations omitted). . . .</w:t>
      </w:r>
    </w:p>
    <w:p w14:paraId="2DC01FF0" w14:textId="77777777" w:rsidR="00D44921" w:rsidRPr="0083317B" w:rsidRDefault="00D44921" w:rsidP="00D44921">
      <w:pPr>
        <w:ind w:firstLine="720"/>
        <w:rPr>
          <w:rFonts w:asciiTheme="minorHAnsi" w:hAnsiTheme="minorHAnsi" w:cstheme="minorHAnsi"/>
        </w:rPr>
      </w:pPr>
    </w:p>
    <w:p w14:paraId="3E96117B"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No other circuit has followed Martin’s lead with respect to public-camping laws. . . . </w:t>
      </w:r>
    </w:p>
    <w:p w14:paraId="1E29669D" w14:textId="77777777" w:rsidR="00D44921" w:rsidRPr="0083317B" w:rsidRDefault="00D44921" w:rsidP="00D44921">
      <w:pPr>
        <w:ind w:firstLine="720"/>
        <w:rPr>
          <w:rFonts w:asciiTheme="minorHAnsi" w:hAnsiTheme="minorHAnsi" w:cstheme="minorHAnsi"/>
        </w:rPr>
      </w:pPr>
    </w:p>
    <w:p w14:paraId="35526117"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Many cities . . . report that, rather than help alleviate the homelessness crisis, </w:t>
      </w:r>
      <w:r w:rsidRPr="0083317B">
        <w:rPr>
          <w:rFonts w:asciiTheme="minorHAnsi" w:hAnsiTheme="minorHAnsi" w:cstheme="minorHAnsi"/>
          <w:i/>
          <w:iCs/>
        </w:rPr>
        <w:t>Martin</w:t>
      </w:r>
      <w:r w:rsidRPr="0083317B">
        <w:rPr>
          <w:rFonts w:asciiTheme="minorHAnsi" w:hAnsiTheme="minorHAnsi" w:cstheme="minorHAnsi"/>
        </w:rPr>
        <w:t xml:space="preserve"> injunctions have inadvertently contributed to it. The numbers of “[u]nsheltered homelessness,” they represent, have “increased dramatically in the Ninth Circuit since </w:t>
      </w:r>
      <w:r w:rsidRPr="0083317B">
        <w:rPr>
          <w:rFonts w:asciiTheme="minorHAnsi" w:hAnsiTheme="minorHAnsi" w:cstheme="minorHAnsi"/>
          <w:i/>
          <w:iCs/>
        </w:rPr>
        <w:t>Martin</w:t>
      </w:r>
      <w:r w:rsidRPr="0083317B">
        <w:rPr>
          <w:rFonts w:asciiTheme="minorHAnsi" w:hAnsiTheme="minorHAnsi" w:cstheme="minorHAnsi"/>
        </w:rPr>
        <w:t xml:space="preserve">.” And, they say, </w:t>
      </w:r>
      <w:r w:rsidRPr="0083317B">
        <w:rPr>
          <w:rFonts w:asciiTheme="minorHAnsi" w:hAnsiTheme="minorHAnsi" w:cstheme="minorHAnsi"/>
          <w:i/>
          <w:iCs/>
        </w:rPr>
        <w:t>Martin</w:t>
      </w:r>
      <w:r w:rsidRPr="0083317B">
        <w:rPr>
          <w:rFonts w:asciiTheme="minorHAnsi" w:hAnsiTheme="minorHAnsi" w:cstheme="minorHAnsi"/>
        </w:rPr>
        <w:t xml:space="preserve"> injunctions have contributed to this trend by “weaken[ing]” the ability of public officials “to persuade persons experiencing homelessness to accept shelter beds and [other] services.” . . . </w:t>
      </w:r>
    </w:p>
    <w:p w14:paraId="346370D8" w14:textId="77777777" w:rsidR="00D44921" w:rsidRPr="0083317B" w:rsidRDefault="00D44921" w:rsidP="00D44921">
      <w:pPr>
        <w:ind w:firstLine="720"/>
        <w:jc w:val="center"/>
        <w:rPr>
          <w:rFonts w:asciiTheme="minorHAnsi" w:hAnsiTheme="minorHAnsi" w:cstheme="minorHAnsi"/>
        </w:rPr>
      </w:pPr>
    </w:p>
    <w:p w14:paraId="65ECDEDD"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Like many American cities, Grants Pass has laws restricting camping in public spaces. Three are relevant here. The first prohibits sleeping “on public sidewalks, streets, or alleyways.” The second prohibits “[c]amping” on public property. Camping is defined as “set[ting] up . . . or remain[ing] in or at a campsite,” and a “[c]ampsite” is defined as “any place where bedding, sleeping bag[s], or other material used for bedding purposes, or any stove or fire is placed . . . for the purpose of maintaining a temporary place to live.” The third prohibits “[c]amping” and “[o]vernight parking” in the city’s parks. Penalties for violating these ordinances escalate stepwise. An initial violation may trigger a fine. Those who receive multiple citations may be subject to an order barring them from city parks for 30 days. And, in turn, violations of those orders can constitute criminal trespass, punishable by a maximum of 30 days in prison and a $1,250 fine. . . . </w:t>
      </w:r>
    </w:p>
    <w:p w14:paraId="4B2EC0AA" w14:textId="77777777" w:rsidR="00D44921" w:rsidRPr="0083317B" w:rsidRDefault="00D44921" w:rsidP="00D44921">
      <w:pPr>
        <w:ind w:firstLine="720"/>
        <w:rPr>
          <w:rFonts w:asciiTheme="minorHAnsi" w:hAnsiTheme="minorHAnsi" w:cstheme="minorHAnsi"/>
        </w:rPr>
      </w:pPr>
    </w:p>
    <w:p w14:paraId="5BA227AD"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[S]hortly after the panel decision in </w:t>
      </w:r>
      <w:r w:rsidRPr="0083317B">
        <w:rPr>
          <w:rFonts w:asciiTheme="minorHAnsi" w:hAnsiTheme="minorHAnsi" w:cstheme="minorHAnsi"/>
          <w:i/>
          <w:iCs/>
        </w:rPr>
        <w:t>Martin</w:t>
      </w:r>
      <w:r w:rsidRPr="0083317B">
        <w:rPr>
          <w:rFonts w:asciiTheme="minorHAnsi" w:hAnsiTheme="minorHAnsi" w:cstheme="minorHAnsi"/>
        </w:rPr>
        <w:t>, two homeless individuals, Gloria Johnson and John Logan, filed suit challenging the city’s public-camping laws claim[ing], among other things, that the city’s ordinances violated the Eighth Amendment’s Cruel and Unusual Punishments Clause. . . .</w:t>
      </w:r>
    </w:p>
    <w:p w14:paraId="76D90397" w14:textId="77777777" w:rsidR="00D44921" w:rsidRPr="0083317B" w:rsidRDefault="00D44921" w:rsidP="00D44921">
      <w:pPr>
        <w:ind w:firstLine="720"/>
        <w:rPr>
          <w:rFonts w:asciiTheme="minorHAnsi" w:hAnsiTheme="minorHAnsi" w:cstheme="minorHAnsi"/>
        </w:rPr>
      </w:pPr>
    </w:p>
    <w:p w14:paraId="7E6BBFB2"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The district court  . . . found [that] everyone without shelter in Grants Pass was “involuntarily homeless” because the city’s total homeless population outnumbered its “‘practically available’” shelter beds. . . . </w:t>
      </w:r>
    </w:p>
    <w:p w14:paraId="06A61C02" w14:textId="77777777" w:rsidR="00D44921" w:rsidRPr="0083317B" w:rsidRDefault="00D44921" w:rsidP="00D44921">
      <w:pPr>
        <w:ind w:firstLine="720"/>
        <w:rPr>
          <w:rFonts w:asciiTheme="minorHAnsi" w:hAnsiTheme="minorHAnsi" w:cstheme="minorHAnsi"/>
        </w:rPr>
      </w:pPr>
    </w:p>
    <w:p w14:paraId="2D8D3472"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A divided panel of the Ninth Circuit affirmed in relevant part. 72 F. 4th, at 874–896. . . . </w:t>
      </w:r>
    </w:p>
    <w:p w14:paraId="1D21CA57" w14:textId="77777777" w:rsidR="00D44921" w:rsidRPr="0083317B" w:rsidRDefault="00D44921" w:rsidP="00D44921">
      <w:pPr>
        <w:ind w:firstLine="720"/>
        <w:jc w:val="center"/>
        <w:rPr>
          <w:rFonts w:asciiTheme="minorHAnsi" w:hAnsiTheme="minorHAnsi" w:cstheme="minorHAnsi"/>
        </w:rPr>
      </w:pPr>
      <w:r w:rsidRPr="0083317B">
        <w:rPr>
          <w:rFonts w:asciiTheme="minorHAnsi" w:hAnsiTheme="minorHAnsi" w:cstheme="minorHAnsi"/>
        </w:rPr>
        <w:t>.</w:t>
      </w:r>
    </w:p>
    <w:p w14:paraId="345C25AD" w14:textId="77777777" w:rsidR="00D44921" w:rsidRPr="0083317B" w:rsidRDefault="00D44921" w:rsidP="00D44921">
      <w:pPr>
        <w:ind w:firstLine="720"/>
        <w:rPr>
          <w:rFonts w:asciiTheme="minorHAnsi" w:hAnsiTheme="minorHAnsi" w:cstheme="minorHAnsi"/>
          <w:highlight w:val="lightGray"/>
        </w:rPr>
      </w:pPr>
      <w:r w:rsidRPr="0083317B">
        <w:rPr>
          <w:rFonts w:asciiTheme="minorHAnsi" w:hAnsiTheme="minorHAnsi" w:cstheme="minorHAnsi"/>
          <w:highlight w:val="lightGray"/>
        </w:rPr>
        <w:t>[T]he Eighth Amendment’s prohibition against “cruel and unusual punishments” . . . [is] directed at the method or kind of punishment” a government may “impos[e] for the violation of criminal statutes.” Powell v. Texas, 392 U. S. 514, 531–532 (1968) (plurality opinion).</w:t>
      </w:r>
    </w:p>
    <w:p w14:paraId="4E1E2EEB" w14:textId="77777777" w:rsidR="00D44921" w:rsidRPr="0083317B" w:rsidRDefault="00D44921" w:rsidP="00D44921">
      <w:pPr>
        <w:ind w:firstLine="720"/>
        <w:rPr>
          <w:rFonts w:asciiTheme="minorHAnsi" w:hAnsiTheme="minorHAnsi" w:cstheme="minorHAnsi"/>
          <w:highlight w:val="lightGray"/>
        </w:rPr>
      </w:pPr>
    </w:p>
    <w:p w14:paraId="76FADBBD"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highlight w:val="lightGray"/>
        </w:rPr>
        <w:t xml:space="preserve">. . . In the 18th century, English law still “formally tolerated” certain barbaric punishments like “disemboweling, quartering, public dissection, and burning alive,” even though those practices had by then “fallen into disuse.” Bucklew v. Precythe, 587 U. S. 119, 130 (2019) (citing 4 W. Blackstone, Commentaries on the Laws of England 370 (1769) (Blackstone)). The Cruel and Unusual Punishments Clause was adopted to ensure that the new Nation would never resort to any of those punishments or others like them. Punishments like those were “cruel” because they were calculated to “‘superad[d]’” </w:t>
      </w:r>
      <w:r w:rsidRPr="0083317B">
        <w:rPr>
          <w:rFonts w:asciiTheme="minorHAnsi" w:hAnsiTheme="minorHAnsi" w:cstheme="minorHAnsi"/>
          <w:highlight w:val="lightGray"/>
        </w:rPr>
        <w:lastRenderedPageBreak/>
        <w:t xml:space="preserve">“‘terror, pain, or disgrace.’” 587 U. S., at 130 (quoting 4 Blackstone 370). And they were “unusual” because, by the time of the Amendment’s adoption, they had “long fallen out of use.” 587 U. S., at 130. . . . </w:t>
      </w:r>
      <w:r w:rsidRPr="0083317B">
        <w:rPr>
          <w:rFonts w:asciiTheme="minorHAnsi" w:hAnsiTheme="minorHAnsi" w:cstheme="minorHAnsi"/>
          <w:i/>
          <w:iCs/>
          <w:highlight w:val="lightGray"/>
        </w:rPr>
        <w:t xml:space="preserve"> [NOTE: This passage seems innocuous but has important implications for the meaning of the Eighth Amendment that are addressed in Justice Thomas’ concurring opinion below</w:t>
      </w:r>
      <w:r w:rsidRPr="0083317B">
        <w:rPr>
          <w:rFonts w:asciiTheme="minorHAnsi" w:hAnsiTheme="minorHAnsi" w:cstheme="minorHAnsi"/>
          <w:highlight w:val="lightGray"/>
        </w:rPr>
        <w:t xml:space="preserve">. </w:t>
      </w:r>
      <w:r w:rsidRPr="0083317B">
        <w:rPr>
          <w:rFonts w:asciiTheme="minorHAnsi" w:hAnsiTheme="minorHAnsi" w:cstheme="minorHAnsi"/>
          <w:i/>
          <w:iCs/>
          <w:highlight w:val="lightGray"/>
        </w:rPr>
        <w:t>We</w:t>
      </w:r>
      <w:r w:rsidRPr="0083317B">
        <w:rPr>
          <w:rFonts w:asciiTheme="minorHAnsi" w:hAnsiTheme="minorHAnsi" w:cstheme="minorHAnsi"/>
          <w:highlight w:val="lightGray"/>
        </w:rPr>
        <w:t xml:space="preserve"> </w:t>
      </w:r>
      <w:r w:rsidRPr="0083317B">
        <w:rPr>
          <w:rFonts w:asciiTheme="minorHAnsi" w:hAnsiTheme="minorHAnsi" w:cstheme="minorHAnsi"/>
          <w:i/>
          <w:iCs/>
          <w:highlight w:val="lightGray"/>
        </w:rPr>
        <w:t>will discuss the issue later in the semester in connection with the death penalty.]</w:t>
      </w:r>
      <w:r w:rsidRPr="0083317B">
        <w:rPr>
          <w:rFonts w:asciiTheme="minorHAnsi" w:hAnsiTheme="minorHAnsi" w:cstheme="minorHAnsi"/>
        </w:rPr>
        <w:t xml:space="preserve"> </w:t>
      </w:r>
    </w:p>
    <w:p w14:paraId="10CCD0DB" w14:textId="77777777" w:rsidR="00D44921" w:rsidRPr="0083317B" w:rsidRDefault="00D44921" w:rsidP="00D44921">
      <w:pPr>
        <w:ind w:firstLine="720"/>
        <w:rPr>
          <w:rFonts w:asciiTheme="minorHAnsi" w:hAnsiTheme="minorHAnsi" w:cstheme="minorHAnsi"/>
        </w:rPr>
      </w:pPr>
    </w:p>
    <w:p w14:paraId="1C752A51"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All that would seem to make the Eighth Amendment a poor foundation on which to rest the kind of decree the plaintiffs seek in this case and the Ninth Circuit has endorsed since </w:t>
      </w:r>
      <w:r w:rsidRPr="0083317B">
        <w:rPr>
          <w:rFonts w:asciiTheme="minorHAnsi" w:hAnsiTheme="minorHAnsi" w:cstheme="minorHAnsi"/>
          <w:i/>
          <w:iCs/>
        </w:rPr>
        <w:t>Martin</w:t>
      </w:r>
      <w:r w:rsidRPr="0083317B">
        <w:rPr>
          <w:rFonts w:asciiTheme="minorHAnsi" w:hAnsiTheme="minorHAnsi" w:cstheme="minorHAnsi"/>
        </w:rPr>
        <w:t xml:space="preserve">. The Cruel and Unusual Punishments Clause focuses on the question what “method or kind of punishment” a government may impose after a criminal conviction, not on the question whether a government may criminalize particular behavior in the first place or how it may go about securing a conviction for that offense. . . . Nor, focusing on the criminal punishments Grant Pass imposes [fines, orders banning camping in public, and 30 days in jail and a larger fine for repeat offenders who violate such a ban] can we say they qualify as cruel and unusual. . . . punishment’”. . . . </w:t>
      </w:r>
    </w:p>
    <w:p w14:paraId="55E52736" w14:textId="77777777" w:rsidR="00D44921" w:rsidRPr="0083317B" w:rsidRDefault="00D44921" w:rsidP="00D44921">
      <w:pPr>
        <w:rPr>
          <w:rFonts w:asciiTheme="minorHAnsi" w:hAnsiTheme="minorHAnsi" w:cstheme="minorHAnsi"/>
        </w:rPr>
      </w:pPr>
    </w:p>
    <w:p w14:paraId="531E2EE3"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In Robinson v. California, 370 U. S. 660 (1962), the plaintiffs and the dissent observe, this Court addressed a challenge to a criminal conviction under a California statute providing that “‘[n]o person shall . . . be addicted to the use of narcotics.’”. In response to that challenge, the Court invoked the Cruel and Unusual Punishments Clause to hold that California could not enforce its law making “the ‘status’ of narcotic addiction a criminal offense.” The Court recognized that “imprisonment for ninety days is not, in the abstract, a punishment which is either cruel or unusual.” But, the Court reasoned, when punishing “‘status,’” “[e]ven one day in prison would be . . . cruel and unusual.” </w:t>
      </w:r>
    </w:p>
    <w:p w14:paraId="47F9A65D" w14:textId="77777777" w:rsidR="00D44921" w:rsidRPr="0083317B" w:rsidRDefault="00D44921" w:rsidP="00D44921">
      <w:pPr>
        <w:ind w:firstLine="720"/>
        <w:rPr>
          <w:rFonts w:asciiTheme="minorHAnsi" w:hAnsiTheme="minorHAnsi" w:cstheme="minorHAnsi"/>
        </w:rPr>
      </w:pPr>
    </w:p>
    <w:p w14:paraId="4F7006D7"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In doing so, the Court stressed the limits of its decision. It would have ruled differently, the Court said, if California had sought to convict the defendant for, say, the knowing or intentional “use of narcotics, for their purchase, sale, or possession, or for antisocial or disorderly behavior resulting from their administration.” . . . The only problem, as the Court saw it, was that California’s law . . . made the mere status of being an addict a crime. . . . .</w:t>
      </w:r>
    </w:p>
    <w:p w14:paraId="17C343C5" w14:textId="77777777" w:rsidR="00D44921" w:rsidRPr="0083317B" w:rsidRDefault="00D44921" w:rsidP="00D44921">
      <w:pPr>
        <w:ind w:firstLine="720"/>
        <w:rPr>
          <w:rFonts w:asciiTheme="minorHAnsi" w:hAnsiTheme="minorHAnsi" w:cstheme="minorHAnsi"/>
        </w:rPr>
      </w:pPr>
    </w:p>
    <w:p w14:paraId="390B91FE"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 . . . [T]he Court . . . read[] the Cruel and Unusual Punishments Clause to impose a limit not just on what punishments may follow a criminal conviction but what a State may criminalize to begin with. . . . In dissent, Justice White lamented that the majority had embraced an “application of ‘cruel and unusual punishment’ so novel that” it could not possibly be “ascribe[d] to the Framers of the Constitution.” 370 U. S., at 689. Nor, in the 62 years since </w:t>
      </w:r>
      <w:r w:rsidRPr="0083317B">
        <w:rPr>
          <w:rFonts w:asciiTheme="minorHAnsi" w:hAnsiTheme="minorHAnsi" w:cstheme="minorHAnsi"/>
          <w:i/>
          <w:iCs/>
        </w:rPr>
        <w:t>Robinson</w:t>
      </w:r>
      <w:r w:rsidRPr="0083317B">
        <w:rPr>
          <w:rFonts w:asciiTheme="minorHAnsi" w:hAnsiTheme="minorHAnsi" w:cstheme="minorHAnsi"/>
        </w:rPr>
        <w:t>, has this Court once invoked it as authority to decline the enforcement of any criminal law, leaving the Eighth Amendment instead to perform its traditional function of addressing the punishments that follow a criminal conviction.</w:t>
      </w:r>
    </w:p>
    <w:p w14:paraId="0BEC844F" w14:textId="77777777" w:rsidR="00D44921" w:rsidRPr="0083317B" w:rsidRDefault="00D44921" w:rsidP="00D44921">
      <w:pPr>
        <w:ind w:firstLine="720"/>
        <w:rPr>
          <w:rFonts w:asciiTheme="minorHAnsi" w:hAnsiTheme="minorHAnsi" w:cstheme="minorHAnsi"/>
        </w:rPr>
      </w:pPr>
    </w:p>
    <w:p w14:paraId="0B9C85AC"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Still, no one has asked us to reconsider </w:t>
      </w:r>
      <w:r w:rsidRPr="0083317B">
        <w:rPr>
          <w:rFonts w:asciiTheme="minorHAnsi" w:hAnsiTheme="minorHAnsi" w:cstheme="minorHAnsi"/>
          <w:i/>
          <w:iCs/>
        </w:rPr>
        <w:t>Robinson</w:t>
      </w:r>
      <w:r w:rsidRPr="0083317B">
        <w:rPr>
          <w:rFonts w:asciiTheme="minorHAnsi" w:hAnsiTheme="minorHAnsi" w:cstheme="minorHAnsi"/>
        </w:rPr>
        <w:t xml:space="preserve">. Nor do we see any need to do so today. Whatever its persuasive force as an interpretation of the Eighth Amendment, it </w:t>
      </w:r>
      <w:r w:rsidRPr="0083317B">
        <w:rPr>
          <w:rFonts w:asciiTheme="minorHAnsi" w:hAnsiTheme="minorHAnsi" w:cstheme="minorHAnsi"/>
        </w:rPr>
        <w:lastRenderedPageBreak/>
        <w:t xml:space="preserve">cannot sustain the Ninth Circuit’s course since </w:t>
      </w:r>
      <w:r w:rsidRPr="0083317B">
        <w:rPr>
          <w:rFonts w:asciiTheme="minorHAnsi" w:hAnsiTheme="minorHAnsi" w:cstheme="minorHAnsi"/>
          <w:i/>
          <w:iCs/>
        </w:rPr>
        <w:t>Martin</w:t>
      </w:r>
      <w:r w:rsidRPr="0083317B">
        <w:rPr>
          <w:rFonts w:asciiTheme="minorHAnsi" w:hAnsiTheme="minorHAnsi" w:cstheme="minorHAnsi"/>
        </w:rPr>
        <w:t xml:space="preserve">. In </w:t>
      </w:r>
      <w:r w:rsidRPr="0083317B">
        <w:rPr>
          <w:rFonts w:asciiTheme="minorHAnsi" w:hAnsiTheme="minorHAnsi" w:cstheme="minorHAnsi"/>
          <w:i/>
          <w:iCs/>
        </w:rPr>
        <w:t>Robinson</w:t>
      </w:r>
      <w:r w:rsidRPr="0083317B">
        <w:rPr>
          <w:rFonts w:asciiTheme="minorHAnsi" w:hAnsiTheme="minorHAnsi" w:cstheme="minorHAnsi"/>
        </w:rPr>
        <w:t xml:space="preserve">, the Court expressly recognized the “broad power” States enjoy over the substance of their criminal laws, stressing that they may criminalize knowing or intentional drug use even by those suffering from addiction. 370 U. S., at 664, 666. The Court held only that a State may not criminalize the “‘status’” of being an addict. . . . </w:t>
      </w:r>
    </w:p>
    <w:p w14:paraId="0EC0C917" w14:textId="77777777" w:rsidR="00D44921" w:rsidRPr="0083317B" w:rsidRDefault="00D44921" w:rsidP="00D44921">
      <w:pPr>
        <w:ind w:firstLine="720"/>
        <w:rPr>
          <w:rFonts w:asciiTheme="minorHAnsi" w:hAnsiTheme="minorHAnsi" w:cstheme="minorHAnsi"/>
        </w:rPr>
      </w:pPr>
    </w:p>
    <w:p w14:paraId="14EF3446"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Public camping ordinances like those before us are nothing like the law at issue in Robinson. Rather than criminalize mere status, Grants Pass forbids actions like “occupy[ing] a campsite” on public property “for the purpose of maintaining a temporary place to live.” Grants Pass Municipal Code §§5.61.030, 5.61.010; App. to Pet. for Cert. 221a–222a. Under the city’s laws, it makes no difference whether the charged defendant is homeless, a backpacker on vacation passing through town, or a student who abandons his dorm room to camp out in protest on the lawn of a municipal building. . . . </w:t>
      </w:r>
    </w:p>
    <w:p w14:paraId="37B52EC2" w14:textId="77777777" w:rsidR="00D44921" w:rsidRPr="0083317B" w:rsidRDefault="00D44921" w:rsidP="00D44921">
      <w:pPr>
        <w:ind w:firstLine="720"/>
        <w:rPr>
          <w:rFonts w:asciiTheme="minorHAnsi" w:hAnsiTheme="minorHAnsi" w:cstheme="minorHAnsi"/>
        </w:rPr>
      </w:pPr>
    </w:p>
    <w:p w14:paraId="3CCF8D56"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If </w:t>
      </w:r>
      <w:r w:rsidRPr="0083317B">
        <w:rPr>
          <w:rFonts w:asciiTheme="minorHAnsi" w:hAnsiTheme="minorHAnsi" w:cstheme="minorHAnsi"/>
          <w:i/>
          <w:iCs/>
        </w:rPr>
        <w:t>Robinson</w:t>
      </w:r>
      <w:r w:rsidRPr="0083317B">
        <w:rPr>
          <w:rFonts w:asciiTheme="minorHAnsi" w:hAnsiTheme="minorHAnsi" w:cstheme="minorHAnsi"/>
        </w:rPr>
        <w:t xml:space="preserve"> does not control this case, the plaintiffs and the dissent argue, we should extend it so that it does. Perhaps a person does not violate ordinances like Grants Pass’s simply by being homeless but only by engaging in certain acts with certain mental states. Still, the plaintiffs and the dissent insist, laws like these seek to regulate actions that are in some sense “involuntary,” for some homeless persons cannot help but do what the law forbids. And, the plaintiffs and the dissent continue, we should extend </w:t>
      </w:r>
      <w:r w:rsidRPr="0083317B">
        <w:rPr>
          <w:rFonts w:asciiTheme="minorHAnsi" w:hAnsiTheme="minorHAnsi" w:cstheme="minorHAnsi"/>
          <w:i/>
          <w:iCs/>
        </w:rPr>
        <w:t>Robinson</w:t>
      </w:r>
      <w:r w:rsidRPr="0083317B">
        <w:rPr>
          <w:rFonts w:asciiTheme="minorHAnsi" w:hAnsiTheme="minorHAnsi" w:cstheme="minorHAnsi"/>
        </w:rPr>
        <w:t xml:space="preserve"> to prohibit the enforcement of laws that operate this way— laws that don’t proscribe status as such but that proscribe acts, even acts undertaken with some required mental state, the defendant cannot help but undertake. To rule otherwise, the argument goes, would “‘effectively’” allow cities to punish a person because of his status. . . . </w:t>
      </w:r>
    </w:p>
    <w:p w14:paraId="016DF350" w14:textId="77777777" w:rsidR="00D44921" w:rsidRPr="0083317B" w:rsidRDefault="00D44921" w:rsidP="00D44921">
      <w:pPr>
        <w:ind w:firstLine="720"/>
        <w:rPr>
          <w:rFonts w:asciiTheme="minorHAnsi" w:hAnsiTheme="minorHAnsi" w:cstheme="minorHAnsi"/>
        </w:rPr>
      </w:pPr>
    </w:p>
    <w:p w14:paraId="721BFA15"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The problem is, this Court has already rejected that view. In Powell v. Texas, 392 U. S. 514 (1968), the Court confronted a defendant who had been convicted under a Texas statute making it a crime to “‘get drunk or be found in a state of intoxication in any public place.’” Id., at 517 (plurality opinion). Like the plaintiffs here, Mr. Powell argued that his drunkenness was an “‘involuntary’” byproduct of his status as an alcoholic. Yes, the statute required proof of an act (becoming drunk or intoxicated and then proceeding into public), and perhaps some associated mental state (for presumably the defendant knew he was drinking and maybe even knew he made his way to a public place). Still, Mr. Powell contended, Texas’s law effectively criminalized his status as an alcoholic because he could not help but doing as he did. Justice Fortas embraced that view, but only in dissent: He would have extended Robinson to cover conduct that flows from any “condition [the defendant] is powerless to change.” 392 U. S., at 567 (Fortas, J., dissenting).</w:t>
      </w:r>
    </w:p>
    <w:p w14:paraId="3655F669" w14:textId="77777777" w:rsidR="00D44921" w:rsidRPr="0083317B" w:rsidRDefault="00D44921" w:rsidP="00D44921">
      <w:pPr>
        <w:ind w:firstLine="720"/>
        <w:rPr>
          <w:rFonts w:asciiTheme="minorHAnsi" w:hAnsiTheme="minorHAnsi" w:cstheme="minorHAnsi"/>
        </w:rPr>
      </w:pPr>
    </w:p>
    <w:p w14:paraId="1ADAE60D" w14:textId="77777777" w:rsidR="00D44921" w:rsidRPr="0083317B" w:rsidRDefault="00D44921" w:rsidP="00D44921">
      <w:pPr>
        <w:ind w:firstLine="720"/>
        <w:rPr>
          <w:rFonts w:asciiTheme="minorHAnsi" w:hAnsiTheme="minorHAnsi" w:cstheme="minorHAnsi"/>
          <w:i/>
          <w:iCs/>
        </w:rPr>
      </w:pPr>
      <w:r w:rsidRPr="0083317B">
        <w:rPr>
          <w:rFonts w:asciiTheme="minorHAnsi" w:hAnsiTheme="minorHAnsi" w:cstheme="minorHAnsi"/>
        </w:rPr>
        <w:t xml:space="preserve">The Court did not agree. Writing for a plurality, Justice Marshall observed that </w:t>
      </w:r>
      <w:r w:rsidRPr="0083317B">
        <w:rPr>
          <w:rFonts w:asciiTheme="minorHAnsi" w:hAnsiTheme="minorHAnsi" w:cstheme="minorHAnsi"/>
          <w:i/>
          <w:iCs/>
        </w:rPr>
        <w:t>Robinson</w:t>
      </w:r>
      <w:r w:rsidRPr="0083317B">
        <w:rPr>
          <w:rFonts w:asciiTheme="minorHAnsi" w:hAnsiTheme="minorHAnsi" w:cstheme="minorHAnsi"/>
        </w:rPr>
        <w:t xml:space="preserve"> had authorized “a very small” intrusion by courts “into the substantive criminal law” “under the aegis of the Cruel and Unusual Punishment[s] Clause.” That small intrusion, Justice Marshall said, prevents States only from enforcing laws that criminalize “a mere status.” It does nothing to curtail a State’s authority to secure a conviction when “the accused has committed some act . . . society has an interest in preventing.” That </w:t>
      </w:r>
      <w:r w:rsidRPr="0083317B">
        <w:rPr>
          <w:rFonts w:asciiTheme="minorHAnsi" w:hAnsiTheme="minorHAnsi" w:cstheme="minorHAnsi"/>
        </w:rPr>
        <w:lastRenderedPageBreak/>
        <w:t>remains true, Justice Marshall continued, regardless whether the defendant’s act “in some sense” might be described as “‘involuntary’ or ‘occasioned by’” a particular status. . . . .</w:t>
      </w:r>
      <w:r w:rsidRPr="0083317B">
        <w:rPr>
          <w:rStyle w:val="FootnoteReference"/>
          <w:rFonts w:asciiTheme="minorHAnsi" w:hAnsiTheme="minorHAnsi" w:cstheme="minorHAnsi"/>
        </w:rPr>
        <w:footnoteReference w:id="1"/>
      </w:r>
      <w:r w:rsidRPr="0083317B">
        <w:rPr>
          <w:rFonts w:asciiTheme="minorHAnsi" w:hAnsiTheme="minorHAnsi" w:cstheme="minorHAnsi"/>
        </w:rPr>
        <w:t xml:space="preserve"> </w:t>
      </w:r>
      <w:r w:rsidRPr="0083317B">
        <w:rPr>
          <w:rFonts w:asciiTheme="minorHAnsi" w:hAnsiTheme="minorHAnsi" w:cstheme="minorHAnsi"/>
          <w:i/>
          <w:iCs/>
        </w:rPr>
        <w:t>[NOTE: This footnote is important; please read it.]</w:t>
      </w:r>
    </w:p>
    <w:p w14:paraId="5AB83446"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This case is no different from </w:t>
      </w:r>
      <w:r w:rsidRPr="0083317B">
        <w:rPr>
          <w:rFonts w:asciiTheme="minorHAnsi" w:hAnsiTheme="minorHAnsi" w:cstheme="minorHAnsi"/>
          <w:i/>
          <w:iCs/>
        </w:rPr>
        <w:t>Powell</w:t>
      </w:r>
      <w:r w:rsidRPr="0083317B">
        <w:rPr>
          <w:rFonts w:asciiTheme="minorHAnsi" w:hAnsiTheme="minorHAnsi" w:cstheme="minorHAnsi"/>
        </w:rPr>
        <w:t xml:space="preserve">. Just as there, the plaintiffs here seek to expand </w:t>
      </w:r>
      <w:r w:rsidRPr="0083317B">
        <w:rPr>
          <w:rFonts w:asciiTheme="minorHAnsi" w:hAnsiTheme="minorHAnsi" w:cstheme="minorHAnsi"/>
          <w:i/>
          <w:iCs/>
        </w:rPr>
        <w:t>Robinson’s</w:t>
      </w:r>
      <w:r w:rsidRPr="0083317B">
        <w:rPr>
          <w:rFonts w:asciiTheme="minorHAnsi" w:hAnsiTheme="minorHAnsi" w:cstheme="minorHAnsi"/>
        </w:rPr>
        <w:t xml:space="preserve"> “small” intrusion “into the substantive criminal law.” . . . . And, just as in </w:t>
      </w:r>
      <w:r w:rsidRPr="0083317B">
        <w:rPr>
          <w:rFonts w:asciiTheme="minorHAnsi" w:hAnsiTheme="minorHAnsi" w:cstheme="minorHAnsi"/>
          <w:i/>
          <w:iCs/>
        </w:rPr>
        <w:t>Powell</w:t>
      </w:r>
      <w:r w:rsidRPr="0083317B">
        <w:rPr>
          <w:rFonts w:asciiTheme="minorHAnsi" w:hAnsiTheme="minorHAnsi" w:cstheme="minorHAnsi"/>
        </w:rPr>
        <w:t xml:space="preserve">, we discern nothing in the Eighth Amendment that might provide us with lawful authority to extend </w:t>
      </w:r>
      <w:r w:rsidRPr="0083317B">
        <w:rPr>
          <w:rFonts w:asciiTheme="minorHAnsi" w:hAnsiTheme="minorHAnsi" w:cstheme="minorHAnsi"/>
          <w:i/>
          <w:iCs/>
        </w:rPr>
        <w:t>Robinson</w:t>
      </w:r>
      <w:r w:rsidRPr="0083317B">
        <w:rPr>
          <w:rFonts w:asciiTheme="minorHAnsi" w:hAnsiTheme="minorHAnsi" w:cstheme="minorHAnsi"/>
        </w:rPr>
        <w:t xml:space="preserve"> beyond its narrow holding.</w:t>
      </w:r>
    </w:p>
    <w:p w14:paraId="67BA3A11" w14:textId="77777777" w:rsidR="00D44921" w:rsidRPr="0083317B" w:rsidRDefault="00D44921" w:rsidP="00D44921">
      <w:pPr>
        <w:ind w:firstLine="720"/>
        <w:rPr>
          <w:rFonts w:asciiTheme="minorHAnsi" w:hAnsiTheme="minorHAnsi" w:cstheme="minorHAnsi"/>
        </w:rPr>
      </w:pPr>
    </w:p>
    <w:p w14:paraId="6E5299CE"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To be sure, and once more, a variety of other legal doctrines and constitutional provisions work to protect those in our criminal justice system from a conviction [including the possibility in certain circumstances of “a ‘necessity’ defense” or “[i]nsanity, diminished capacity, and duress defense”]. . . . </w:t>
      </w:r>
    </w:p>
    <w:p w14:paraId="71E368CC" w14:textId="77777777" w:rsidR="00D44921" w:rsidRPr="0083317B" w:rsidRDefault="00D44921" w:rsidP="00D44921">
      <w:pPr>
        <w:ind w:firstLine="720"/>
        <w:rPr>
          <w:rFonts w:asciiTheme="minorHAnsi" w:hAnsiTheme="minorHAnsi" w:cstheme="minorHAnsi"/>
        </w:rPr>
      </w:pPr>
    </w:p>
    <w:p w14:paraId="3C3848C7"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The judgment below is reversed, and the case is remanded for further proceedings consistent with this opinion.</w:t>
      </w:r>
    </w:p>
    <w:p w14:paraId="564CDF12" w14:textId="77777777" w:rsidR="00D44921" w:rsidRPr="0083317B" w:rsidRDefault="00D44921" w:rsidP="00D44921">
      <w:pPr>
        <w:ind w:firstLine="720"/>
        <w:rPr>
          <w:rFonts w:asciiTheme="minorHAnsi" w:hAnsiTheme="minorHAnsi" w:cstheme="minorHAnsi"/>
        </w:rPr>
      </w:pPr>
    </w:p>
    <w:p w14:paraId="5E169B24" w14:textId="77777777" w:rsidR="00D44921" w:rsidRPr="0083317B" w:rsidRDefault="00D44921" w:rsidP="00D44921">
      <w:pPr>
        <w:ind w:firstLine="720"/>
        <w:rPr>
          <w:rFonts w:asciiTheme="minorHAnsi" w:hAnsiTheme="minorHAnsi" w:cstheme="minorHAnsi"/>
          <w:highlight w:val="lightGray"/>
        </w:rPr>
      </w:pPr>
      <w:r w:rsidRPr="0083317B">
        <w:rPr>
          <w:rFonts w:asciiTheme="minorHAnsi" w:hAnsiTheme="minorHAnsi" w:cstheme="minorHAnsi"/>
          <w:highlight w:val="lightGray"/>
        </w:rPr>
        <w:t>JUSTICE THOMAS, concurring. I join the Court’s opinion in full . . . [but] write separately to make [an] additional observation[] . . . .</w:t>
      </w:r>
    </w:p>
    <w:p w14:paraId="244A999C" w14:textId="77777777" w:rsidR="00D44921" w:rsidRPr="0083317B" w:rsidRDefault="00D44921" w:rsidP="00D44921">
      <w:pPr>
        <w:ind w:firstLine="720"/>
        <w:rPr>
          <w:rFonts w:asciiTheme="minorHAnsi" w:hAnsiTheme="minorHAnsi" w:cstheme="minorHAnsi"/>
          <w:highlight w:val="lightGray"/>
        </w:rPr>
      </w:pPr>
    </w:p>
    <w:p w14:paraId="5CF3ADDE" w14:textId="77777777" w:rsidR="00D44921" w:rsidRPr="0083317B" w:rsidRDefault="00D44921" w:rsidP="00D44921">
      <w:pPr>
        <w:ind w:firstLine="720"/>
        <w:rPr>
          <w:rFonts w:asciiTheme="minorHAnsi" w:hAnsiTheme="minorHAnsi" w:cstheme="minorHAnsi"/>
          <w:i/>
          <w:iCs/>
        </w:rPr>
      </w:pPr>
      <w:r w:rsidRPr="0083317B">
        <w:rPr>
          <w:rFonts w:asciiTheme="minorHAnsi" w:hAnsiTheme="minorHAnsi" w:cstheme="minorHAnsi"/>
          <w:highlight w:val="lightGray"/>
        </w:rPr>
        <w:t xml:space="preserve">[T]he precedent that the respondents primarily rely upon, Robinson v. California, 370 U. S. 660 (1962), was wrongly decided. . . . The </w:t>
      </w:r>
      <w:r w:rsidRPr="0083317B">
        <w:rPr>
          <w:rFonts w:asciiTheme="minorHAnsi" w:hAnsiTheme="minorHAnsi" w:cstheme="minorHAnsi"/>
          <w:i/>
          <w:iCs/>
          <w:highlight w:val="lightGray"/>
        </w:rPr>
        <w:t>Robinson</w:t>
      </w:r>
      <w:r w:rsidRPr="0083317B">
        <w:rPr>
          <w:rFonts w:asciiTheme="minorHAnsi" w:hAnsiTheme="minorHAnsi" w:cstheme="minorHAnsi"/>
          <w:highlight w:val="lightGray"/>
        </w:rPr>
        <w:t xml:space="preserve"> Court observed that “in the light of contemporary human knowledge, a law which made a criminal offense of . . . a disease [such as narcotics addiction] would doubtless be universally thought to be an infliction of cruel and unusual punishment in violation of the Eighth and Fourteenth Amendments.” Modern public opinion is not an appropriate metric for interpreting the Cruel and Unusual Punishments Clause— or any provision of the Constitution for that matter.” </w:t>
      </w:r>
      <w:r w:rsidRPr="0083317B">
        <w:rPr>
          <w:rFonts w:asciiTheme="minorHAnsi" w:hAnsiTheme="minorHAnsi" w:cstheme="minorHAnsi"/>
          <w:i/>
          <w:iCs/>
          <w:highlight w:val="lightGray"/>
        </w:rPr>
        <w:t>[NOTE: If adopted, this argument would invalidate over 100 Supreme Court decisions interpreting the Eighth Amendment to evaluate the constitutionality of punishments based on the “evolving standards of decency that mark the progress of a maturing society.” Trop v. Dulles, 356 U. S. 86, 101 (1958) (plurality opinion). We will discuss this challenge to the longstanding interpretation of the Eighth Amendment when we discuss the death penalty later in the class.]</w:t>
      </w:r>
      <w:r w:rsidRPr="0083317B">
        <w:rPr>
          <w:rFonts w:asciiTheme="minorHAnsi" w:hAnsiTheme="minorHAnsi" w:cstheme="minorHAnsi"/>
          <w:i/>
          <w:iCs/>
        </w:rPr>
        <w:t xml:space="preserve"> </w:t>
      </w:r>
    </w:p>
    <w:p w14:paraId="0B620055" w14:textId="77777777" w:rsidR="00D44921" w:rsidRPr="0083317B" w:rsidRDefault="00D44921" w:rsidP="00D44921">
      <w:pPr>
        <w:ind w:firstLine="720"/>
        <w:rPr>
          <w:rFonts w:asciiTheme="minorHAnsi" w:hAnsiTheme="minorHAnsi" w:cstheme="minorHAnsi"/>
          <w:i/>
          <w:iCs/>
        </w:rPr>
      </w:pPr>
    </w:p>
    <w:p w14:paraId="49B378D2"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JUSTICE SOTOMAYOR, with whom JUSTICE KAGAN and JUSTICE JACKSON join, dissenting. </w:t>
      </w:r>
    </w:p>
    <w:p w14:paraId="052EF61F" w14:textId="77777777" w:rsidR="00D44921" w:rsidRPr="0083317B" w:rsidRDefault="00D44921" w:rsidP="00D44921">
      <w:pPr>
        <w:ind w:firstLine="720"/>
        <w:rPr>
          <w:rFonts w:asciiTheme="minorHAnsi" w:hAnsiTheme="minorHAnsi" w:cstheme="minorHAnsi"/>
        </w:rPr>
      </w:pPr>
    </w:p>
    <w:p w14:paraId="75A4B0F7"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Sleep is a biological necessity, not a crime. For some people, sleeping outside is their only option. The City of Grants Pass jails and fines those people for sleeping anywhere in public at any time, including in their cars, if they use as little as a blanket to keep warm </w:t>
      </w:r>
      <w:r w:rsidRPr="0083317B">
        <w:rPr>
          <w:rFonts w:asciiTheme="minorHAnsi" w:hAnsiTheme="minorHAnsi" w:cstheme="minorHAnsi"/>
        </w:rPr>
        <w:lastRenderedPageBreak/>
        <w:t xml:space="preserve">or a rolled-up shirt as a pillow. For people with no access to shelter, that punishes them for being homeless. That is unconscionable and unconstitutional. Punishing people for their status is “cruel and unusual” under the Eighth Amendment. See Robinson v. California, 370 U. S. 660 (1962). . . . </w:t>
      </w:r>
    </w:p>
    <w:p w14:paraId="4A25EC4A" w14:textId="77777777" w:rsidR="00D44921" w:rsidRPr="0083317B" w:rsidRDefault="00D44921" w:rsidP="00D44921">
      <w:pPr>
        <w:ind w:firstLine="720"/>
        <w:rPr>
          <w:rFonts w:asciiTheme="minorHAnsi" w:hAnsiTheme="minorHAnsi" w:cstheme="minorHAnsi"/>
        </w:rPr>
      </w:pPr>
    </w:p>
    <w:p w14:paraId="2BE6B6C4"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The majority . . . spars with a strawman in its discussion of </w:t>
      </w:r>
      <w:r w:rsidRPr="0083317B">
        <w:rPr>
          <w:rFonts w:asciiTheme="minorHAnsi" w:hAnsiTheme="minorHAnsi" w:cstheme="minorHAnsi"/>
          <w:i/>
          <w:iCs/>
        </w:rPr>
        <w:t>Powell v. Texas</w:t>
      </w:r>
      <w:r w:rsidRPr="0083317B">
        <w:rPr>
          <w:rFonts w:asciiTheme="minorHAnsi" w:hAnsiTheme="minorHAnsi" w:cstheme="minorHAnsi"/>
        </w:rPr>
        <w:t xml:space="preserve">. The Court in </w:t>
      </w:r>
      <w:r w:rsidRPr="0083317B">
        <w:rPr>
          <w:rFonts w:asciiTheme="minorHAnsi" w:hAnsiTheme="minorHAnsi" w:cstheme="minorHAnsi"/>
          <w:i/>
          <w:iCs/>
        </w:rPr>
        <w:t>Powell</w:t>
      </w:r>
      <w:r w:rsidRPr="0083317B">
        <w:rPr>
          <w:rFonts w:asciiTheme="minorHAnsi" w:hAnsiTheme="minorHAnsi" w:cstheme="minorHAnsi"/>
        </w:rPr>
        <w:t xml:space="preserve"> considered the distinction between status and conduct but could not agree on a controlling rationale. Four Justices concluded that </w:t>
      </w:r>
      <w:r w:rsidRPr="0083317B">
        <w:rPr>
          <w:rFonts w:asciiTheme="minorHAnsi" w:hAnsiTheme="minorHAnsi" w:cstheme="minorHAnsi"/>
          <w:i/>
          <w:iCs/>
        </w:rPr>
        <w:t>Robinson</w:t>
      </w:r>
      <w:r w:rsidRPr="0083317B">
        <w:rPr>
          <w:rFonts w:asciiTheme="minorHAnsi" w:hAnsiTheme="minorHAnsi" w:cstheme="minorHAnsi"/>
        </w:rPr>
        <w:t xml:space="preserve"> covered any “condition [the defendant] is powerless to change,” 392 U. S., at 567 (Fortas, J., dissenting), and four Justices rejected that view. Justice White, casting the decisive fifth vote, left the question open because the defendant had “made no showing that he was unable to stay off the streets on the night in question.” Id., at 554 (opinion concurring in judgment). So, in his view, it was “unnecessary to pursue at this point the further definition of the circumstances or the state of intoxication which might bar conviction of a chronic alcoholic for being drunk in a public place.” Id., at 553.</w:t>
      </w:r>
    </w:p>
    <w:p w14:paraId="4CFE358C" w14:textId="77777777" w:rsidR="00D44921" w:rsidRPr="0083317B" w:rsidRDefault="00D44921" w:rsidP="00D44921">
      <w:pPr>
        <w:ind w:firstLine="720"/>
        <w:rPr>
          <w:rFonts w:asciiTheme="minorHAnsi" w:hAnsiTheme="minorHAnsi" w:cstheme="minorHAnsi"/>
        </w:rPr>
      </w:pPr>
    </w:p>
    <w:p w14:paraId="4F592C7A" w14:textId="77777777" w:rsidR="00D44921" w:rsidRPr="0083317B" w:rsidRDefault="00D44921" w:rsidP="00D44921">
      <w:pPr>
        <w:ind w:firstLine="720"/>
        <w:rPr>
          <w:rFonts w:asciiTheme="minorHAnsi" w:hAnsiTheme="minorHAnsi" w:cstheme="minorHAnsi"/>
        </w:rPr>
      </w:pPr>
      <w:r w:rsidRPr="0083317B">
        <w:rPr>
          <w:rFonts w:asciiTheme="minorHAnsi" w:hAnsiTheme="minorHAnsi" w:cstheme="minorHAnsi"/>
        </w:rPr>
        <w:t xml:space="preserve">This case similarly called for a straightforward application of </w:t>
      </w:r>
      <w:r w:rsidRPr="0083317B">
        <w:rPr>
          <w:rFonts w:asciiTheme="minorHAnsi" w:hAnsiTheme="minorHAnsi" w:cstheme="minorHAnsi"/>
          <w:i/>
          <w:iCs/>
        </w:rPr>
        <w:t>Robinson</w:t>
      </w:r>
      <w:r w:rsidRPr="0083317B">
        <w:rPr>
          <w:rFonts w:asciiTheme="minorHAnsi" w:hAnsiTheme="minorHAnsi" w:cstheme="minorHAnsi"/>
        </w:rPr>
        <w:t xml:space="preserve">. The majority finds it telling that this dissent “barely mentions” Justice Marshall’s opinion in </w:t>
      </w:r>
      <w:r w:rsidRPr="0083317B">
        <w:rPr>
          <w:rFonts w:asciiTheme="minorHAnsi" w:hAnsiTheme="minorHAnsi" w:cstheme="minorHAnsi"/>
          <w:i/>
          <w:iCs/>
        </w:rPr>
        <w:t>Powell</w:t>
      </w:r>
      <w:r w:rsidRPr="0083317B">
        <w:rPr>
          <w:rFonts w:asciiTheme="minorHAnsi" w:hAnsiTheme="minorHAnsi" w:cstheme="minorHAnsi"/>
        </w:rPr>
        <w:t xml:space="preserve">. The majority completely misses the point. Even Justice Marshall’s plurality opinion in </w:t>
      </w:r>
      <w:r w:rsidRPr="0083317B">
        <w:rPr>
          <w:rFonts w:asciiTheme="minorHAnsi" w:hAnsiTheme="minorHAnsi" w:cstheme="minorHAnsi"/>
          <w:i/>
          <w:iCs/>
        </w:rPr>
        <w:t>Powell</w:t>
      </w:r>
      <w:r w:rsidRPr="0083317B">
        <w:rPr>
          <w:rFonts w:asciiTheme="minorHAnsi" w:hAnsiTheme="minorHAnsi" w:cstheme="minorHAnsi"/>
        </w:rPr>
        <w:t xml:space="preserve"> agreed that </w:t>
      </w:r>
      <w:r w:rsidRPr="0083317B">
        <w:rPr>
          <w:rFonts w:asciiTheme="minorHAnsi" w:hAnsiTheme="minorHAnsi" w:cstheme="minorHAnsi"/>
          <w:i/>
          <w:iCs/>
        </w:rPr>
        <w:t>Robinson</w:t>
      </w:r>
      <w:r w:rsidRPr="0083317B">
        <w:rPr>
          <w:rFonts w:asciiTheme="minorHAnsi" w:hAnsiTheme="minorHAnsi" w:cstheme="minorHAnsi"/>
        </w:rPr>
        <w:t xml:space="preserve"> prohibited enforcing laws criminalizing “a mere status.” 392 U. S., at 532. The </w:t>
      </w:r>
      <w:r w:rsidRPr="0083317B">
        <w:rPr>
          <w:rFonts w:asciiTheme="minorHAnsi" w:hAnsiTheme="minorHAnsi" w:cstheme="minorHAnsi"/>
          <w:i/>
          <w:iCs/>
        </w:rPr>
        <w:t>Powell</w:t>
      </w:r>
      <w:r w:rsidRPr="0083317B">
        <w:rPr>
          <w:rFonts w:asciiTheme="minorHAnsi" w:hAnsiTheme="minorHAnsi" w:cstheme="minorHAnsi"/>
        </w:rPr>
        <w:t xml:space="preserve"> Court considered a statute that criminalized voluntary conduct (getting drunk) that could be rendered involuntary by a status (alcoholism) [but, as Justice White noted, there was insufficient proof of such involuntariness in </w:t>
      </w:r>
      <w:r w:rsidRPr="0083317B">
        <w:rPr>
          <w:rFonts w:asciiTheme="minorHAnsi" w:hAnsiTheme="minorHAnsi" w:cstheme="minorHAnsi"/>
          <w:i/>
          <w:iCs/>
        </w:rPr>
        <w:t>Powell</w:t>
      </w:r>
      <w:r w:rsidRPr="0083317B">
        <w:rPr>
          <w:rFonts w:asciiTheme="minorHAnsi" w:hAnsiTheme="minorHAnsi" w:cstheme="minorHAnsi"/>
        </w:rPr>
        <w:t xml:space="preserve">]; here, the Ordinances criminalize conduct (sleeping outside) that defines a particular status (homelessness). So unlike the debate in </w:t>
      </w:r>
      <w:r w:rsidRPr="0083317B">
        <w:rPr>
          <w:rFonts w:asciiTheme="minorHAnsi" w:hAnsiTheme="minorHAnsi" w:cstheme="minorHAnsi"/>
          <w:i/>
          <w:iCs/>
        </w:rPr>
        <w:t>Powell</w:t>
      </w:r>
      <w:r w:rsidRPr="0083317B">
        <w:rPr>
          <w:rFonts w:asciiTheme="minorHAnsi" w:hAnsiTheme="minorHAnsi" w:cstheme="minorHAnsi"/>
        </w:rPr>
        <w:t xml:space="preserve">, this case does not turn on whether the criminalized actions are “‘involuntary’ or ‘occasioned by’” a particular status. Id., at 533 (Marshall, J., dissenting). . . [T]hese Ordinances criminalize status and are thus unconstitutional under any of the opinions in </w:t>
      </w:r>
      <w:r w:rsidRPr="0083317B">
        <w:rPr>
          <w:rFonts w:asciiTheme="minorHAnsi" w:hAnsiTheme="minorHAnsi" w:cstheme="minorHAnsi"/>
          <w:i/>
          <w:iCs/>
        </w:rPr>
        <w:t>Powell</w:t>
      </w:r>
      <w:r w:rsidRPr="0083317B">
        <w:rPr>
          <w:rFonts w:asciiTheme="minorHAnsi" w:hAnsiTheme="minorHAnsi" w:cstheme="minorHAnsi"/>
        </w:rPr>
        <w:t xml:space="preserve">. . . . </w:t>
      </w:r>
    </w:p>
    <w:p w14:paraId="2B0C1E63" w14:textId="77777777" w:rsidR="00D44921" w:rsidRPr="0083317B" w:rsidRDefault="00D44921" w:rsidP="00D44921">
      <w:pPr>
        <w:ind w:firstLine="720"/>
        <w:rPr>
          <w:rFonts w:asciiTheme="minorHAnsi" w:hAnsiTheme="minorHAnsi" w:cstheme="minorHAnsi"/>
        </w:rPr>
      </w:pPr>
    </w:p>
    <w:p w14:paraId="453A3030" w14:textId="0AF67C2F" w:rsidR="00EA1FC3" w:rsidRDefault="00D44921" w:rsidP="00D44921">
      <w:r w:rsidRPr="0083317B">
        <w:rPr>
          <w:rFonts w:asciiTheme="minorHAnsi" w:hAnsiTheme="minorHAnsi" w:cstheme="minorHAnsi"/>
        </w:rPr>
        <w:t>This Court . . . has a role to play in faithfully enforcing the Constitution to prohibit punishing the very existence of those without shelter. I remain hopeful that someday in the near future, this Court will play its role in safeguarding constitutional liberties for the most vulnerable among us. Because the Court today abdicates that role, I respectfully dissent.</w:t>
      </w:r>
    </w:p>
    <w:sectPr w:rsidR="00EA1F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D98A89" w14:textId="77777777" w:rsidR="00DE3C24" w:rsidRDefault="00DE3C24" w:rsidP="00D44921">
      <w:r>
        <w:separator/>
      </w:r>
    </w:p>
  </w:endnote>
  <w:endnote w:type="continuationSeparator" w:id="0">
    <w:p w14:paraId="655129BB" w14:textId="77777777" w:rsidR="00DE3C24" w:rsidRDefault="00DE3C24" w:rsidP="00D44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4D57D2" w14:textId="77777777" w:rsidR="00DE3C24" w:rsidRDefault="00DE3C24" w:rsidP="00D44921">
      <w:r>
        <w:separator/>
      </w:r>
    </w:p>
  </w:footnote>
  <w:footnote w:type="continuationSeparator" w:id="0">
    <w:p w14:paraId="1B79AF15" w14:textId="77777777" w:rsidR="00DE3C24" w:rsidRDefault="00DE3C24" w:rsidP="00D44921">
      <w:r>
        <w:continuationSeparator/>
      </w:r>
    </w:p>
  </w:footnote>
  <w:footnote w:id="1">
    <w:p w14:paraId="2D06BDBD" w14:textId="77777777" w:rsidR="00D44921" w:rsidRPr="00496128" w:rsidRDefault="00D44921" w:rsidP="00D44921">
      <w:pPr>
        <w:pStyle w:val="FootnoteText"/>
        <w:rPr>
          <w:rFonts w:ascii="Times New Roman" w:hAnsi="Times New Roman"/>
          <w:sz w:val="18"/>
          <w:szCs w:val="18"/>
        </w:rPr>
      </w:pPr>
      <w:r w:rsidRPr="00496128">
        <w:rPr>
          <w:rStyle w:val="FootnoteReference"/>
          <w:rFonts w:ascii="Times New Roman" w:hAnsi="Times New Roman"/>
          <w:sz w:val="18"/>
          <w:szCs w:val="18"/>
        </w:rPr>
        <w:footnoteRef/>
      </w:r>
      <w:r w:rsidRPr="00496128">
        <w:rPr>
          <w:rFonts w:ascii="Times New Roman" w:hAnsi="Times New Roman"/>
          <w:sz w:val="18"/>
          <w:szCs w:val="18"/>
        </w:rPr>
        <w:t xml:space="preserve"> Justice White, who cast the fifth vote upholding the conviction, concurred in the result. Writing only for himself, Justice White expressed some sympathy for Justice Fortas’s theory, but ultimately deemed that “novel construction” of the Eighth Amendment “unnecessary to pursue” because the defendant hadn’t proven that his alcoholism made him “unable to stay off the streets on the night in question.” 392 U. S., at 552, n. 4, 553–554 (White, J., concurring in result). [The Court declines to follow White’s opinion, choosing to “rely on” Justice Marshall’s 4-person plurality opinion.]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9"/>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921"/>
    <w:rsid w:val="0054284F"/>
    <w:rsid w:val="0076665F"/>
    <w:rsid w:val="00D006A2"/>
    <w:rsid w:val="00D20C1F"/>
    <w:rsid w:val="00D44921"/>
    <w:rsid w:val="00DE3C24"/>
    <w:rsid w:val="00EA1F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A952D"/>
  <w15:chartTrackingRefBased/>
  <w15:docId w15:val="{4E870F39-2164-42C5-98E8-DEB6D9E3A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921"/>
    <w:pPr>
      <w:widowControl w:val="0"/>
      <w:autoSpaceDE w:val="0"/>
      <w:autoSpaceDN w:val="0"/>
      <w:adjustRightInd w:val="0"/>
      <w:spacing w:after="0" w:line="240" w:lineRule="auto"/>
    </w:pPr>
    <w:rPr>
      <w:rFonts w:ascii="Times New Roman" w:eastAsia="SimSun" w:hAnsi="Times New Roman" w:cs="Times New Roman"/>
      <w:kern w:val="0"/>
      <w:sz w:val="24"/>
      <w:szCs w:val="24"/>
      <w:lang w:eastAsia="zh-CN"/>
      <w14:ligatures w14:val="none"/>
    </w:rPr>
  </w:style>
  <w:style w:type="paragraph" w:styleId="Heading1">
    <w:name w:val="heading 1"/>
    <w:basedOn w:val="Normal"/>
    <w:next w:val="Normal"/>
    <w:link w:val="Heading1Char"/>
    <w:uiPriority w:val="9"/>
    <w:qFormat/>
    <w:rsid w:val="00D44921"/>
    <w:pPr>
      <w:keepNext/>
      <w:keepLines/>
      <w:widowControl/>
      <w:autoSpaceDE/>
      <w:autoSpaceDN/>
      <w:adjustRightInd/>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44921"/>
    <w:pPr>
      <w:keepNext/>
      <w:keepLines/>
      <w:widowControl/>
      <w:autoSpaceDE/>
      <w:autoSpaceDN/>
      <w:adjustRightInd/>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44921"/>
    <w:pPr>
      <w:keepNext/>
      <w:keepLines/>
      <w:widowControl/>
      <w:autoSpaceDE/>
      <w:autoSpaceDN/>
      <w:adjustRightInd/>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44921"/>
    <w:pPr>
      <w:keepNext/>
      <w:keepLines/>
      <w:widowControl/>
      <w:autoSpaceDE/>
      <w:autoSpaceDN/>
      <w:adjustRightInd/>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D44921"/>
    <w:pPr>
      <w:keepNext/>
      <w:keepLines/>
      <w:widowControl/>
      <w:autoSpaceDE/>
      <w:autoSpaceDN/>
      <w:adjustRightInd/>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D44921"/>
    <w:pPr>
      <w:keepNext/>
      <w:keepLines/>
      <w:widowControl/>
      <w:autoSpaceDE/>
      <w:autoSpaceDN/>
      <w:adjustRightInd/>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D44921"/>
    <w:pPr>
      <w:keepNext/>
      <w:keepLines/>
      <w:widowControl/>
      <w:autoSpaceDE/>
      <w:autoSpaceDN/>
      <w:adjustRightInd/>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D44921"/>
    <w:pPr>
      <w:keepNext/>
      <w:keepLines/>
      <w:widowControl/>
      <w:autoSpaceDE/>
      <w:autoSpaceDN/>
      <w:adjustRightInd/>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D44921"/>
    <w:pPr>
      <w:keepNext/>
      <w:keepLines/>
      <w:widowControl/>
      <w:autoSpaceDE/>
      <w:autoSpaceDN/>
      <w:adjustRightInd/>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921"/>
    <w:rPr>
      <w:rFonts w:eastAsiaTheme="majorEastAsia" w:cstheme="majorBidi"/>
      <w:color w:val="272727" w:themeColor="text1" w:themeTint="D8"/>
    </w:rPr>
  </w:style>
  <w:style w:type="paragraph" w:styleId="Title">
    <w:name w:val="Title"/>
    <w:basedOn w:val="Normal"/>
    <w:next w:val="Normal"/>
    <w:link w:val="TitleChar"/>
    <w:uiPriority w:val="10"/>
    <w:qFormat/>
    <w:rsid w:val="00D44921"/>
    <w:pPr>
      <w:widowControl/>
      <w:autoSpaceDE/>
      <w:autoSpaceDN/>
      <w:adjustRightInd/>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44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921"/>
    <w:pPr>
      <w:widowControl/>
      <w:numPr>
        <w:ilvl w:val="1"/>
      </w:numPr>
      <w:autoSpaceDE/>
      <w:autoSpaceDN/>
      <w:adjustRightInd/>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44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921"/>
    <w:pPr>
      <w:widowControl/>
      <w:autoSpaceDE/>
      <w:autoSpaceDN/>
      <w:adjustRightInd/>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D44921"/>
    <w:rPr>
      <w:i/>
      <w:iCs/>
      <w:color w:val="404040" w:themeColor="text1" w:themeTint="BF"/>
    </w:rPr>
  </w:style>
  <w:style w:type="paragraph" w:styleId="ListParagraph">
    <w:name w:val="List Paragraph"/>
    <w:basedOn w:val="Normal"/>
    <w:uiPriority w:val="34"/>
    <w:qFormat/>
    <w:rsid w:val="00D44921"/>
    <w:pPr>
      <w:widowControl/>
      <w:autoSpaceDE/>
      <w:autoSpaceDN/>
      <w:adjustRightInd/>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D44921"/>
    <w:rPr>
      <w:i/>
      <w:iCs/>
      <w:color w:val="0F4761" w:themeColor="accent1" w:themeShade="BF"/>
    </w:rPr>
  </w:style>
  <w:style w:type="paragraph" w:styleId="IntenseQuote">
    <w:name w:val="Intense Quote"/>
    <w:basedOn w:val="Normal"/>
    <w:next w:val="Normal"/>
    <w:link w:val="IntenseQuoteChar"/>
    <w:uiPriority w:val="30"/>
    <w:qFormat/>
    <w:rsid w:val="00D44921"/>
    <w:pPr>
      <w:widowControl/>
      <w:pBdr>
        <w:top w:val="single" w:sz="4" w:space="10" w:color="0F4761" w:themeColor="accent1" w:themeShade="BF"/>
        <w:bottom w:val="single" w:sz="4" w:space="10" w:color="0F4761" w:themeColor="accent1" w:themeShade="BF"/>
      </w:pBdr>
      <w:autoSpaceDE/>
      <w:autoSpaceDN/>
      <w:adjustRightInd/>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D44921"/>
    <w:rPr>
      <w:i/>
      <w:iCs/>
      <w:color w:val="0F4761" w:themeColor="accent1" w:themeShade="BF"/>
    </w:rPr>
  </w:style>
  <w:style w:type="character" w:styleId="IntenseReference">
    <w:name w:val="Intense Reference"/>
    <w:basedOn w:val="DefaultParagraphFont"/>
    <w:uiPriority w:val="32"/>
    <w:qFormat/>
    <w:rsid w:val="00D44921"/>
    <w:rPr>
      <w:b/>
      <w:bCs/>
      <w:smallCaps/>
      <w:color w:val="0F4761" w:themeColor="accent1" w:themeShade="BF"/>
      <w:spacing w:val="5"/>
    </w:rPr>
  </w:style>
  <w:style w:type="paragraph" w:styleId="FootnoteText">
    <w:name w:val="footnote text"/>
    <w:basedOn w:val="Normal"/>
    <w:link w:val="FootnoteTextChar"/>
    <w:uiPriority w:val="99"/>
    <w:unhideWhenUsed/>
    <w:rsid w:val="00D44921"/>
    <w:pPr>
      <w:widowControl/>
      <w:autoSpaceDE/>
      <w:autoSpaceDN/>
      <w:adjustRightInd/>
    </w:pPr>
    <w:rPr>
      <w:rFonts w:ascii="Calibri" w:eastAsia="Calibri" w:hAnsi="Calibri"/>
      <w:sz w:val="20"/>
      <w:szCs w:val="20"/>
      <w:lang w:eastAsia="en-US"/>
    </w:rPr>
  </w:style>
  <w:style w:type="character" w:customStyle="1" w:styleId="FootnoteTextChar">
    <w:name w:val="Footnote Text Char"/>
    <w:basedOn w:val="DefaultParagraphFont"/>
    <w:link w:val="FootnoteText"/>
    <w:uiPriority w:val="99"/>
    <w:rsid w:val="00D44921"/>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unhideWhenUsed/>
    <w:rsid w:val="00D449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2629</Words>
  <Characters>14990</Characters>
  <Application>Microsoft Office Word</Application>
  <DocSecurity>0</DocSecurity>
  <Lines>124</Lines>
  <Paragraphs>35</Paragraphs>
  <ScaleCrop>false</ScaleCrop>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Liebman</dc:creator>
  <cp:keywords/>
  <dc:description/>
  <cp:lastModifiedBy>Bernard Harcourt</cp:lastModifiedBy>
  <cp:revision>2</cp:revision>
  <dcterms:created xsi:type="dcterms:W3CDTF">2025-01-28T15:27:00Z</dcterms:created>
  <dcterms:modified xsi:type="dcterms:W3CDTF">2025-01-28T15:27:00Z</dcterms:modified>
</cp:coreProperties>
</file>