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199.9200010299682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Civil Action No. 1:23-cv-45678-CBA</w:t>
      </w:r>
    </w:p>
    <w:p w:rsidR="00000000" w:rsidDel="00000000" w:rsidP="00000000" w:rsidRDefault="00000000" w:rsidRPr="00000000" w14:paraId="00000002">
      <w:pPr>
        <w:widowControl w:val="0"/>
        <w:spacing w:before="265.838623046875" w:line="240"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b w:val="1"/>
          <w:bCs w:val="1"/>
        </w:rPr>
        <w:drawing>
          <wp:inline distB="19050" distT="19050" distL="19050" distR="19050">
            <wp:extent cx="5943600" cy="5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0800"/>
                    </a:xfrm>
                    <a:prstGeom prst="rect"/>
                    <a:ln/>
                  </pic:spPr>
                </pic:pic>
              </a:graphicData>
            </a:graphic>
          </wp:inline>
        </w:drawing>
      </w:r>
      <w:r w:rsidDel="00000000" w:rsidR="00000000" w:rsidRPr="00000000">
        <w:rPr>
          <w:rFonts w:ascii="Times New Roman" w:cs="Times New Roman" w:eastAsia="Times New Roman" w:hAnsi="Times New Roman"/>
          <w:sz w:val="46"/>
          <w:szCs w:val="46"/>
          <w:rtl w:val="0"/>
        </w:rPr>
        <w:t xml:space="preserve">In the United States Court of Appeals </w:t>
      </w:r>
    </w:p>
    <w:p w:rsidR="00000000" w:rsidDel="00000000" w:rsidP="00000000" w:rsidRDefault="00000000" w:rsidRPr="00000000" w14:paraId="00000003">
      <w:pPr>
        <w:widowControl w:val="0"/>
        <w:spacing w:before="265.838623046875" w:line="240"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for the Second Circuit </w:t>
      </w:r>
    </w:p>
    <w:p w:rsidR="00000000" w:rsidDel="00000000" w:rsidP="00000000" w:rsidRDefault="00000000" w:rsidRPr="00000000" w14:paraId="00000004">
      <w:pPr>
        <w:widowControl w:val="0"/>
        <w:spacing w:before="237.3779296875" w:line="199.9200010299682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widowControl w:val="0"/>
        <w:spacing w:before="237.3779296875" w:line="199.9200010299682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Philip Riven</w:t>
      </w:r>
    </w:p>
    <w:p w:rsidR="00000000" w:rsidDel="00000000" w:rsidP="00000000" w:rsidRDefault="00000000" w:rsidRPr="00000000" w14:paraId="00000006">
      <w:pPr>
        <w:widowControl w:val="0"/>
        <w:spacing w:before="270.369873046875" w:line="199.9200010299682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Plaintiff-Appellant </w:t>
      </w:r>
    </w:p>
    <w:p w:rsidR="00000000" w:rsidDel="00000000" w:rsidP="00000000" w:rsidRDefault="00000000" w:rsidRPr="00000000" w14:paraId="00000007">
      <w:pPr>
        <w:widowControl w:val="0"/>
        <w:spacing w:before="271.36474609375" w:line="199.9200010299682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 </w:t>
      </w:r>
    </w:p>
    <w:p w:rsidR="00000000" w:rsidDel="00000000" w:rsidP="00000000" w:rsidRDefault="00000000" w:rsidRPr="00000000" w14:paraId="00000008">
      <w:pPr>
        <w:widowControl w:val="0"/>
        <w:spacing w:before="272.6934814453125" w:line="199.9200010299682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EchoCraft Productions</w:t>
      </w:r>
    </w:p>
    <w:p w:rsidR="00000000" w:rsidDel="00000000" w:rsidP="00000000" w:rsidRDefault="00000000" w:rsidRPr="00000000" w14:paraId="00000009">
      <w:pPr>
        <w:widowControl w:val="0"/>
        <w:spacing w:before="270.4083251953125" w:line="199.9200010299682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Defendant-Appellee </w:t>
      </w:r>
    </w:p>
    <w:p w:rsidR="00000000" w:rsidDel="00000000" w:rsidP="00000000" w:rsidRDefault="00000000" w:rsidRPr="00000000" w14:paraId="0000000A">
      <w:pPr>
        <w:widowControl w:val="0"/>
        <w:spacing w:before="266.8341064453125" w:line="199.9200010299682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9050" distT="19050" distL="19050" distR="19050">
            <wp:extent cx="9525" cy="95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before="242.3388671875" w:line="199.9200010299682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 Appeal from the United States District Court </w:t>
      </w:r>
    </w:p>
    <w:p w:rsidR="00000000" w:rsidDel="00000000" w:rsidP="00000000" w:rsidRDefault="00000000" w:rsidRPr="00000000" w14:paraId="0000000C">
      <w:pPr>
        <w:widowControl w:val="0"/>
        <w:spacing w:before="32.0880126953125" w:line="199.9200010299682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the Southern District of New York</w:t>
      </w:r>
    </w:p>
    <w:p w:rsidR="00000000" w:rsidDel="00000000" w:rsidP="00000000" w:rsidRDefault="00000000" w:rsidRPr="00000000" w14:paraId="0000000D">
      <w:pPr>
        <w:widowControl w:val="0"/>
        <w:spacing w:before="32.0880126953125" w:line="199.9200010299682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Honorable Jeremy Flom, Presiding </w:t>
      </w:r>
    </w:p>
    <w:p w:rsidR="00000000" w:rsidDel="00000000" w:rsidP="00000000" w:rsidRDefault="00000000" w:rsidRPr="00000000" w14:paraId="0000000E">
      <w:pPr>
        <w:widowControl w:val="0"/>
        <w:spacing w:before="220.1995849609375" w:line="199.92000102996826" w:lineRule="auto"/>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BRIEF FOR APPELLEE </w:t>
      </w:r>
    </w:p>
    <w:p w:rsidR="00000000" w:rsidDel="00000000" w:rsidP="00000000" w:rsidRDefault="00000000" w:rsidRPr="00000000" w14:paraId="0000000F">
      <w:pPr>
        <w:widowControl w:val="0"/>
        <w:spacing w:before="784.0081787109375" w:line="199.920001029968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Moshe Klein and Neelam Sandhu</w:t>
      </w:r>
    </w:p>
    <w:p w:rsidR="00000000" w:rsidDel="00000000" w:rsidP="00000000" w:rsidRDefault="00000000" w:rsidRPr="00000000" w14:paraId="00000010">
      <w:pPr>
        <w:widowControl w:val="0"/>
        <w:spacing w:before="32.10357666015625" w:line="199.920001029968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435 W 116th St, </w:t>
      </w:r>
    </w:p>
    <w:p w:rsidR="00000000" w:rsidDel="00000000" w:rsidP="00000000" w:rsidRDefault="00000000" w:rsidRPr="00000000" w14:paraId="00000011">
      <w:pPr>
        <w:widowControl w:val="0"/>
        <w:spacing w:before="32.10357666015625" w:line="199.920001029968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York, NY 10027</w:t>
      </w:r>
    </w:p>
    <w:p w:rsidR="00000000" w:rsidDel="00000000" w:rsidP="00000000" w:rsidRDefault="00000000" w:rsidRPr="00000000" w14:paraId="00000012">
      <w:pPr>
        <w:widowControl w:val="0"/>
        <w:spacing w:before="32.10357666015625" w:line="199.9200010299682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6"/>
          <w:szCs w:val="26"/>
          <w:rtl w:val="0"/>
        </w:rPr>
        <w:t xml:space="preserve">Counsel for Appellee</w:t>
      </w:r>
      <w:r w:rsidDel="00000000" w:rsidR="00000000" w:rsidRPr="00000000">
        <w:rPr>
          <w:rtl w:val="0"/>
        </w:rPr>
      </w:r>
    </w:p>
    <w:p w:rsidR="00000000" w:rsidDel="00000000" w:rsidP="00000000" w:rsidRDefault="00000000" w:rsidRPr="00000000" w14:paraId="00000013">
      <w:pPr>
        <w:widowControl w:val="0"/>
        <w:spacing w:before="32.10357666015625" w:line="199.9200010299682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widowControl w:val="0"/>
        <w:spacing w:before="32.10357666015625" w:line="199.9200010299682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9050" distT="19050" distL="19050" distR="19050">
            <wp:extent cx="5943600" cy="50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QUESTIONS PRESENTED</w:t>
      </w:r>
    </w:p>
    <w:p w:rsidR="00000000" w:rsidDel="00000000" w:rsidP="00000000" w:rsidRDefault="00000000" w:rsidRPr="00000000" w14:paraId="00000016">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district court properly granted summary judgment holding that EchoCraft’s song “Revere Paul Revere?” constitutes fair use under 17 U.S.C. § 107 where EchoCraft:</w:t>
      </w:r>
    </w:p>
    <w:p w:rsidR="00000000" w:rsidDel="00000000" w:rsidP="00000000" w:rsidRDefault="00000000" w:rsidRPr="00000000" w14:paraId="00000017">
      <w:pPr>
        <w:spacing w:after="40" w:before="4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Added a question mark to the title and changed key lyrics</w:t>
      </w:r>
      <w:r w:rsidDel="00000000" w:rsidR="00000000" w:rsidRPr="00000000">
        <w:rPr>
          <w:rFonts w:ascii="Times New Roman" w:cs="Times New Roman" w:eastAsia="Times New Roman" w:hAnsi="Times New Roman"/>
          <w:sz w:val="24"/>
          <w:szCs w:val="24"/>
          <w:rtl w:val="0"/>
        </w:rPr>
        <w:t xml:space="preserve"> to question Riven’s portrayal of Paul Revere;</w:t>
      </w:r>
      <w:r w:rsidDel="00000000" w:rsidR="00000000" w:rsidRPr="00000000">
        <w:rPr>
          <w:rtl w:val="0"/>
        </w:rPr>
      </w:r>
    </w:p>
    <w:p w:rsidR="00000000" w:rsidDel="00000000" w:rsidP="00000000" w:rsidRDefault="00000000" w:rsidRPr="00000000" w14:paraId="00000018">
      <w:pPr>
        <w:spacing w:after="40" w:before="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Copied seven lines verbatim to establish the narrative before questioning it</w:t>
      </w:r>
      <w:r w:rsidDel="00000000" w:rsidR="00000000" w:rsidRPr="00000000">
        <w:rPr>
          <w:rFonts w:ascii="Times New Roman" w:cs="Times New Roman" w:eastAsia="Times New Roman" w:hAnsi="Times New Roman"/>
          <w:sz w:val="24"/>
          <w:szCs w:val="24"/>
          <w:rtl w:val="0"/>
        </w:rPr>
        <w:t xml:space="preserve"> under the “conjure up” doctrine recognized for parody and criticism;</w:t>
      </w:r>
    </w:p>
    <w:p w:rsidR="00000000" w:rsidDel="00000000" w:rsidP="00000000" w:rsidRDefault="00000000" w:rsidRPr="00000000" w14:paraId="00000019">
      <w:pPr>
        <w:spacing w:after="40" w:before="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Released the song through its nonprofit educational subsidiary at below-cost pricing</w:t>
      </w:r>
      <w:r w:rsidDel="00000000" w:rsidR="00000000" w:rsidRPr="00000000">
        <w:rPr>
          <w:rFonts w:ascii="Times New Roman" w:cs="Times New Roman" w:eastAsia="Times New Roman" w:hAnsi="Times New Roman"/>
          <w:sz w:val="24"/>
          <w:szCs w:val="24"/>
          <w:rtl w:val="0"/>
        </w:rPr>
        <w:t xml:space="preserve"> for $200 per school; and</w:t>
      </w:r>
    </w:p>
    <w:p w:rsidR="00000000" w:rsidDel="00000000" w:rsidP="00000000" w:rsidRDefault="00000000" w:rsidRPr="00000000" w14:paraId="0000001A">
      <w:pPr>
        <w:spacing w:after="40" w:before="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Riven had no established licensing market</w:t>
      </w:r>
      <w:r w:rsidDel="00000000" w:rsidR="00000000" w:rsidRPr="00000000">
        <w:rPr>
          <w:rFonts w:ascii="Times New Roman" w:cs="Times New Roman" w:eastAsia="Times New Roman" w:hAnsi="Times New Roman"/>
          <w:sz w:val="24"/>
          <w:szCs w:val="24"/>
          <w:rtl w:val="0"/>
        </w:rPr>
        <w:t xml:space="preserve">—only preliminary negotiations with a single school that never resulted in a signed contract.</w:t>
      </w:r>
    </w:p>
    <w:p w:rsidR="00000000" w:rsidDel="00000000" w:rsidP="00000000" w:rsidRDefault="00000000" w:rsidRPr="00000000" w14:paraId="0000001B">
      <w:pPr>
        <w:spacing w:after="200" w:line="480" w:lineRule="auto"/>
        <w:ind w:left="0" w:firstLine="72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0" w:before="200" w:line="480" w:lineRule="auto"/>
        <w:ind w:left="0" w:firstLine="720"/>
        <w:jc w:val="center"/>
        <w:rPr>
          <w:rFonts w:ascii="Times New Roman" w:cs="Times New Roman" w:eastAsia="Times New Roman" w:hAnsi="Times New Roman"/>
          <w:b w:val="1"/>
          <w:bCs w:val="1"/>
          <w:sz w:val="28"/>
          <w:szCs w:val="28"/>
        </w:rPr>
      </w:pPr>
      <w:bookmarkStart w:colFirst="0" w:colLast="0" w:name="_hybifpshisop" w:id="0"/>
      <w:bookmarkEnd w:id="0"/>
      <w:r w:rsidDel="00000000" w:rsidR="00000000" w:rsidRPr="00000000">
        <w:rPr>
          <w:rFonts w:ascii="Times New Roman" w:cs="Times New Roman" w:eastAsia="Times New Roman" w:hAnsi="Times New Roman"/>
          <w:b w:val="1"/>
          <w:bCs w:val="1"/>
          <w:sz w:val="28"/>
          <w:szCs w:val="28"/>
          <w:rtl w:val="0"/>
        </w:rPr>
        <w:t xml:space="preserve">STATEMENT OF THE CASE</w:t>
      </w:r>
    </w:p>
    <w:p w:rsidR="00000000" w:rsidDel="00000000" w:rsidP="00000000" w:rsidRDefault="00000000" w:rsidRPr="00000000" w14:paraId="0000001D">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4"/>
          <w:szCs w:val="24"/>
        </w:rPr>
      </w:pPr>
      <w:bookmarkStart w:colFirst="0" w:colLast="0" w:name="_vkut0wlg3lwf" w:id="1"/>
      <w:bookmarkEnd w:id="1"/>
      <w:r w:rsidDel="00000000" w:rsidR="00000000" w:rsidRPr="00000000">
        <w:rPr>
          <w:rFonts w:ascii="Times New Roman" w:cs="Times New Roman" w:eastAsia="Times New Roman" w:hAnsi="Times New Roman"/>
          <w:b w:val="1"/>
          <w:bCs w:val="1"/>
          <w:color w:val="000000"/>
          <w:sz w:val="24"/>
          <w:szCs w:val="24"/>
          <w:rtl w:val="0"/>
        </w:rPr>
        <w:t xml:space="preserve">A. Factual Background</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appeal arises from two claims brought by plaintiff-appellant Philip Riven (“Riven”)  a citizen and domiciliary of New York, against his former employer, EchoCraft Productions (“EchoCraft”), a New York City–based record company with offices across the country. R. at 5. First, Riven alleges that EchoCraft terminated his employment in retaliation for an internal investigation he conducted regarding bonus disparities between departments, in violation of Title VII. </w:t>
      </w:r>
      <w:r w:rsidDel="00000000" w:rsidR="00000000" w:rsidRPr="00000000">
        <w:rPr>
          <w:rFonts w:ascii="Times New Roman" w:cs="Times New Roman" w:eastAsia="Times New Roman" w:hAnsi="Times New Roman"/>
          <w:i w:val="1"/>
          <w:i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Second, Riven alleges that Echocraft infringed his copyright in the educational song “Revere Paul Revere” by releasing a derivative work, “Revere Paul Revere?,” through Echocraft’s nonprofit educational subsidiary.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tl w:val="0"/>
        </w:rPr>
      </w:r>
    </w:p>
    <w:p w:rsidR="00000000" w:rsidDel="00000000" w:rsidP="00000000" w:rsidRDefault="00000000" w:rsidRPr="00000000" w14:paraId="0000001F">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78etbfdmxr5w" w:id="2"/>
      <w:bookmarkEnd w:id="2"/>
      <w:r w:rsidDel="00000000" w:rsidR="00000000" w:rsidRPr="00000000">
        <w:rPr>
          <w:rFonts w:ascii="Times New Roman" w:cs="Times New Roman" w:eastAsia="Times New Roman" w:hAnsi="Times New Roman"/>
          <w:b w:val="1"/>
          <w:bCs w:val="1"/>
          <w:color w:val="000000"/>
          <w:sz w:val="24"/>
          <w:szCs w:val="24"/>
          <w:rtl w:val="0"/>
        </w:rPr>
        <w:t xml:space="preserve">Riven’s Employment History and Role at EchoCraft</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was hired by EchoCraft on September 4, 2018, as a member of the company’s country songwriting team. R. at 7. In or around early 2020, EchoCraft promoted Riven to manager of the country songwriting department based on his strong performance in prior years. R. at 6. As a department manager, Riven was responsible for overseeing song production and ensuring that his team met quarterly songwriting quotas established by the company. </w:t>
      </w:r>
      <w:r w:rsidDel="00000000" w:rsidR="00000000" w:rsidRPr="00000000">
        <w:rPr>
          <w:rFonts w:ascii="Times New Roman" w:cs="Times New Roman" w:eastAsia="Times New Roman" w:hAnsi="Times New Roman"/>
          <w:i w:val="1"/>
          <w:i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For several years following his promotion, Riven received positive performance evaluations. Daphne Sniff, the head of the songwriting division at EchoCraft, rated Riven favorably in both 2021 and 2022. R. at 14. In Riven’s 2022 performance review, however, Sniff noted that although Riven demonstrated promise and had “a bright future if he keeps it up,” he sometimes spent work hours on personal projects. R. at 90.</w:t>
      </w:r>
    </w:p>
    <w:p w:rsidR="00000000" w:rsidDel="00000000" w:rsidP="00000000" w:rsidRDefault="00000000" w:rsidRPr="00000000" w14:paraId="00000021">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n7rg0yomcwer" w:id="3"/>
      <w:bookmarkEnd w:id="3"/>
      <w:r w:rsidDel="00000000" w:rsidR="00000000" w:rsidRPr="00000000">
        <w:rPr>
          <w:rFonts w:ascii="Times New Roman" w:cs="Times New Roman" w:eastAsia="Times New Roman" w:hAnsi="Times New Roman"/>
          <w:b w:val="1"/>
          <w:bCs w:val="1"/>
          <w:color w:val="000000"/>
          <w:sz w:val="24"/>
          <w:szCs w:val="24"/>
          <w:rtl w:val="0"/>
        </w:rPr>
        <w:t xml:space="preserve">Riven’s Bonus Inquiry</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December 21, 2022, EchoCraft held a company holiday party. R. at 20. During the event, Riven spoke with Jackie Moses, a colleague who managed a different department within EchoCraft.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Moses told Riven that employees in her department, who were predominantly women, received lower bonuses than employees in Riven’s department, which was predominantly male. R. at 21. On January 10, 2023, Riven raised the issue of bonus discrepancies with Sniff. </w:t>
      </w:r>
      <w:r w:rsidDel="00000000" w:rsidR="00000000" w:rsidRPr="00000000">
        <w:rPr>
          <w:rFonts w:ascii="Times New Roman" w:cs="Times New Roman" w:eastAsia="Times New Roman" w:hAnsi="Times New Roman"/>
          <w:i w:val="1"/>
          <w:i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Sniff stated that she did not believe EchoCraft’s bonus system was discriminatory but told Riven that he could “poke around” if he wished. R at 23. Sniff did not direct Riven to conduct a formal investigation, nor did she instruct him to involve Human Resources or any compliance personnel. R. at 23.</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Between January and May 2023, Riven independently interviewed approximately eighty-one EchoCraft employees across roughly twelve departments regarding their salaries, performance reviews, and bonuses. R. at 24. Riven did not file a complaint with Human Resources, the Equal Employment Opportunity Commission, or any governmental agency during this period. R. at 108. In August 2023, Riven sent Sniff an email summarizing his findings. R. at 93. In that email, Riven acknowledged that EchoCraft’s policies and benefits “really help our employees manage their work and feel valued by the company.”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Sniff responded that she took the concerns seriously but asked whether the project was “the best use of [Riven’s] time right now.” </w:t>
      </w:r>
      <w:r w:rsidDel="00000000" w:rsidR="00000000" w:rsidRPr="00000000">
        <w:rPr>
          <w:rFonts w:ascii="Times New Roman" w:cs="Times New Roman" w:eastAsia="Times New Roman" w:hAnsi="Times New Roman"/>
          <w:i w:val="1"/>
          <w:iCs w:val="1"/>
          <w:sz w:val="24"/>
          <w:szCs w:val="24"/>
          <w:rtl w:val="0"/>
        </w:rPr>
        <w:t xml:space="preserve">Id.</w:t>
      </w:r>
    </w:p>
    <w:p w:rsidR="00000000" w:rsidDel="00000000" w:rsidP="00000000" w:rsidRDefault="00000000" w:rsidRPr="00000000" w14:paraId="00000024">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dz3pgkg14g1h" w:id="4"/>
      <w:bookmarkEnd w:id="4"/>
      <w:r w:rsidDel="00000000" w:rsidR="00000000" w:rsidRPr="00000000">
        <w:rPr>
          <w:rFonts w:ascii="Times New Roman" w:cs="Times New Roman" w:eastAsia="Times New Roman" w:hAnsi="Times New Roman"/>
          <w:b w:val="1"/>
          <w:bCs w:val="1"/>
          <w:color w:val="000000"/>
          <w:sz w:val="24"/>
          <w:szCs w:val="24"/>
          <w:rtl w:val="0"/>
        </w:rPr>
        <w:t xml:space="preserve">Riven’s Performance Decline and Disciplinary History</w:t>
      </w:r>
    </w:p>
    <w:p w:rsidR="00000000" w:rsidDel="00000000" w:rsidP="00000000" w:rsidRDefault="00000000" w:rsidRPr="00000000" w14:paraId="00000025">
      <w:pPr>
        <w:spacing w:after="240" w:before="24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During the first half of 2023, Riven’s department failed to meet EchoCraft’s songwriting quotas for six consecutive months. R. at 7. As a result, on July 5, 2023, Sniff issued Riven a formal warning regarding his department’s continued underperformance.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The warning placed Riven on notice that failure to improve could result in further discipline, including termination. R. at 90. Riven’s department continued to underperform throughout the remainder of 2023. In both the third and fourth quarters of the year, the department produced fewer songs than it had in the first two quarters. R. at 93. Riven did not dispute that his department failed to meet the required quotas during this period. R. at 7. On December 21, 2023, EchoCraft terminated Riven’s employment, citing his failure to meet songwriting quotas as a contributing factor.</w:t>
      </w:r>
      <w:r w:rsidDel="00000000" w:rsidR="00000000" w:rsidRPr="00000000">
        <w:rPr>
          <w:rFonts w:ascii="Times New Roman" w:cs="Times New Roman" w:eastAsia="Times New Roman" w:hAnsi="Times New Roman"/>
          <w:i w:val="1"/>
          <w:iCs w:val="1"/>
          <w:sz w:val="24"/>
          <w:szCs w:val="24"/>
          <w:rtl w:val="0"/>
        </w:rPr>
        <w:t xml:space="preserve"> Id.</w:t>
      </w:r>
    </w:p>
    <w:p w:rsidR="00000000" w:rsidDel="00000000" w:rsidP="00000000" w:rsidRDefault="00000000" w:rsidRPr="00000000" w14:paraId="00000026">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x8b7tfnilr39" w:id="5"/>
      <w:bookmarkEnd w:id="5"/>
      <w:r w:rsidDel="00000000" w:rsidR="00000000" w:rsidRPr="00000000">
        <w:rPr>
          <w:rFonts w:ascii="Times New Roman" w:cs="Times New Roman" w:eastAsia="Times New Roman" w:hAnsi="Times New Roman"/>
          <w:b w:val="1"/>
          <w:bCs w:val="1"/>
          <w:color w:val="000000"/>
          <w:sz w:val="24"/>
          <w:szCs w:val="24"/>
          <w:rtl w:val="0"/>
        </w:rPr>
        <w:t xml:space="preserve">Comparison to Ms. Moses</w:t>
      </w:r>
    </w:p>
    <w:p w:rsidR="00000000" w:rsidDel="00000000" w:rsidP="00000000" w:rsidRDefault="00000000" w:rsidRPr="00000000" w14:paraId="00000027">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Riven alleges that his termination was retaliatory in part because Jackie Moses was not terminated despite her department also failing to meet quotas. R. at 7. The record reflects, however, that Moses had approximately eighteen more years of experience at EchoCraft than Riven. R. at 49. Additionally, Moses’s department rebounded in the second half of 2023, whereas Riven’s department did not. </w:t>
      </w:r>
      <w:r w:rsidDel="00000000" w:rsidR="00000000" w:rsidRPr="00000000">
        <w:rPr>
          <w:rFonts w:ascii="Times New Roman" w:cs="Times New Roman" w:eastAsia="Times New Roman" w:hAnsi="Times New Roman"/>
          <w:i w:val="1"/>
          <w:i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Moses did not receive a formal warning in July 2023. R. at 7.</w:t>
      </w:r>
      <w:r w:rsidDel="00000000" w:rsidR="00000000" w:rsidRPr="00000000">
        <w:rPr>
          <w:rtl w:val="0"/>
        </w:rPr>
      </w:r>
    </w:p>
    <w:p w:rsidR="00000000" w:rsidDel="00000000" w:rsidP="00000000" w:rsidRDefault="00000000" w:rsidRPr="00000000" w14:paraId="00000028">
      <w:pPr>
        <w:spacing w:after="180" w:before="180"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Riven’s Song</w:t>
      </w:r>
    </w:p>
    <w:p w:rsidR="00000000" w:rsidDel="00000000" w:rsidP="00000000" w:rsidRDefault="00000000" w:rsidRPr="00000000" w14:paraId="00000029">
      <w:pPr>
        <w:spacing w:after="180" w:before="18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wrote and copyrighted a song titled “Revere Paul Revere,” intended for educational use. R. at 98. The song presents a narrative of Paul Revere’s ride on April 18, 1775, reciting the date, the “one if by land” signal, and the route through Somerville, Arlington, and Medford.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The song’s final line states that Revere “revealed no secrets” when captured.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after="180" w:before="18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EchoCraft’s Song</w:t>
      </w:r>
      <w:r w:rsidDel="00000000" w:rsidR="00000000" w:rsidRPr="00000000">
        <w:rPr>
          <w:rtl w:val="0"/>
        </w:rPr>
      </w:r>
    </w:p>
    <w:p w:rsidR="00000000" w:rsidDel="00000000" w:rsidP="00000000" w:rsidRDefault="00000000" w:rsidRPr="00000000" w14:paraId="0000002B">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EchoCraft, through its non-profit educational division, released a song titled “Revere Paul Revere?” R. at 98–99. EchoCraft’s song copies seven of the eight lines from Riven’s song verbatim and adds six entirely new lines and one rewritten line, constituting 50% of the final work.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The added lines include: “though others helped raise that warning’s light,” “yet he was not the only rider on that road,” and “The tale often stops with him, though many stood ready. / So the ride we recall is brave, but incomplete.”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EchoCraft’s version also changed the line “He revealed no secrets, the man was not skittish” to “He revealed some secrets, the man was skittish.”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Raine, EchoCraft’s lead songwriter, testified that the purpose of the song was “a deep rumination on the problematic character of one of our country’s most celebrated figures.” R. at 70. Raine stated that Riven’s original was “all about celebrating Paul Revere, but that’s just totally wrongheaded,” R. at 71, and that EchoCraft’s version was designed to point out that the original story is “incomplete.” R. at 72.</w:t>
      </w:r>
    </w:p>
    <w:p w:rsidR="00000000" w:rsidDel="00000000" w:rsidP="00000000" w:rsidRDefault="00000000" w:rsidRPr="00000000" w14:paraId="0000002D">
      <w:pPr>
        <w:spacing w:after="180" w:before="18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Nonprofit Educational Distribution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EchoCraft released the song through its “non-profit educational division.” R. at 72. The song was licensed to schools for $200. R. at 75. Raine testified that the price was “at or below cost” and “below the cost to us to produce and distribute it, so we did not make a profit.” R. at 77. Raine stated that the division’s goal was to generate “good will,” not revenue. R. at 75.</w:t>
      </w:r>
    </w:p>
    <w:p w:rsidR="00000000" w:rsidDel="00000000" w:rsidP="00000000" w:rsidRDefault="00000000" w:rsidRPr="00000000" w14:paraId="0000002F">
      <w:pPr>
        <w:spacing w:after="180" w:before="18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Riven’s Licensing Negotiations</w:t>
      </w:r>
      <w:r w:rsidDel="00000000" w:rsidR="00000000" w:rsidRPr="00000000">
        <w:rPr>
          <w:rtl w:val="0"/>
        </w:rPr>
      </w:r>
    </w:p>
    <w:p w:rsidR="00000000" w:rsidDel="00000000" w:rsidP="00000000" w:rsidRDefault="00000000" w:rsidRPr="00000000" w14:paraId="00000030">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engaged in preliminary negotiations with Elle Toobin, the principal of Columbia Grammar &amp; Preparatory School. R. at 7. Toobin paid Riven a $500 “preliminary negotiation fee” to discuss a potential package of songs. R. at 100–101. On January 14, 2024, Toobin emailed Riven stating, “Sounds good! We’ll talk more soon.” R. at 100. No contract was ever drafted or signed. R. at 85.</w:t>
      </w:r>
    </w:p>
    <w:p w:rsidR="00000000" w:rsidDel="00000000" w:rsidP="00000000" w:rsidRDefault="00000000" w:rsidRPr="00000000" w14:paraId="00000031">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14, 2024, Toobin terminated negotiations with Riven, stating that the school had “decided to go in a different direction.” R. at 100. Toobin stated that EchoCraft’s song would “solicit a critical discussion about Revere’s legacy” and noted the “educational benefits to asking questions.” R. at 86–87.</w:t>
      </w:r>
    </w:p>
    <w:p w:rsidR="00000000" w:rsidDel="00000000" w:rsidP="00000000" w:rsidRDefault="00000000" w:rsidRPr="00000000" w14:paraId="00000032">
      <w:pPr>
        <w:spacing w:after="180" w:before="18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Following the termination of those negotiations, Riven attempted to market his song to other schools, but “no school was receptive.” R. at 31. Riven acknowledges that “commercial interest in Riven’s original composition has effectively vanished.” R. at 8.</w:t>
      </w:r>
      <w:r w:rsidDel="00000000" w:rsidR="00000000" w:rsidRPr="00000000">
        <w:rPr>
          <w:rtl w:val="0"/>
        </w:rPr>
      </w:r>
    </w:p>
    <w:p w:rsidR="00000000" w:rsidDel="00000000" w:rsidP="00000000" w:rsidRDefault="00000000" w:rsidRPr="00000000" w14:paraId="00000033">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4"/>
          <w:szCs w:val="24"/>
        </w:rPr>
      </w:pPr>
      <w:bookmarkStart w:colFirst="0" w:colLast="0" w:name="_meyu9nv3kqfc" w:id="6"/>
      <w:bookmarkEnd w:id="6"/>
      <w:r w:rsidDel="00000000" w:rsidR="00000000" w:rsidRPr="00000000">
        <w:rPr>
          <w:rFonts w:ascii="Times New Roman" w:cs="Times New Roman" w:eastAsia="Times New Roman" w:hAnsi="Times New Roman"/>
          <w:b w:val="1"/>
          <w:bCs w:val="1"/>
          <w:color w:val="000000"/>
          <w:sz w:val="24"/>
          <w:szCs w:val="24"/>
          <w:rtl w:val="0"/>
        </w:rPr>
        <w:t xml:space="preserve">B. Procedural History</w:t>
      </w:r>
    </w:p>
    <w:p w:rsidR="00000000" w:rsidDel="00000000" w:rsidP="00000000" w:rsidRDefault="00000000" w:rsidRPr="00000000" w14:paraId="00000034">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filed suit in the United States District Court for the Southern District of New York, alleging retaliation in violation of Title VII of the Civil Rights Act of 1964 and copyright infringement. R. at 5. The parties stipulated that Riven’s copyright is valid and that the only issue for the court was fair use. R. at 2. EchoCraft moved for summary judgment on both claims. R. at 50.</w:t>
      </w:r>
    </w:p>
    <w:p w:rsidR="00000000" w:rsidDel="00000000" w:rsidP="00000000" w:rsidRDefault="00000000" w:rsidRPr="00000000" w14:paraId="00000035">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discovery, the district court granted summary judgment in favor of EchoCraft, finding that its use of Riven’s song constituted fair use under 17 U.S.C. § 107.  The district court granted EchoCraft’s motion, concluding that no reasonable factfinder could determine that Riven engaged in protected activity, that EchoCraft had notice of any such activity, or that Riven’s termination was causally connected to his bonus inquiry. R. at 109–10. Riven now appeals.</w:t>
      </w:r>
    </w:p>
    <w:p w:rsidR="00000000" w:rsidDel="00000000" w:rsidP="00000000" w:rsidRDefault="00000000" w:rsidRPr="00000000" w14:paraId="00000036">
      <w:pPr>
        <w:spacing w:after="200" w:line="480" w:lineRule="auto"/>
        <w:ind w:left="0" w:firstLine="72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0" w:before="200" w:line="480" w:lineRule="auto"/>
        <w:ind w:left="0" w:firstLine="720"/>
        <w:jc w:val="center"/>
        <w:rPr>
          <w:rFonts w:ascii="Times New Roman" w:cs="Times New Roman" w:eastAsia="Times New Roman" w:hAnsi="Times New Roman"/>
          <w:b w:val="1"/>
          <w:bCs w:val="1"/>
          <w:sz w:val="28"/>
          <w:szCs w:val="28"/>
        </w:rPr>
      </w:pPr>
      <w:bookmarkStart w:colFirst="0" w:colLast="0" w:name="_v84t2whkqc6m" w:id="7"/>
      <w:bookmarkEnd w:id="7"/>
      <w:r w:rsidDel="00000000" w:rsidR="00000000" w:rsidRPr="00000000">
        <w:rPr>
          <w:rFonts w:ascii="Times New Roman" w:cs="Times New Roman" w:eastAsia="Times New Roman" w:hAnsi="Times New Roman"/>
          <w:b w:val="1"/>
          <w:bCs w:val="1"/>
          <w:sz w:val="28"/>
          <w:szCs w:val="28"/>
          <w:rtl w:val="0"/>
        </w:rPr>
        <w:t xml:space="preserve">SUMMARY OF ARGUMENT</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CLAIM I. THE DISTRICT COURT CORRECTLY GRANTED SUMMARY JUDGMENT BECAUSE RIVEN FAILED TO ESTABLISH A PRIMA FACIE CASE OF RETALIATION UNDER TITLE VII.</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ayp2onsmhuaw" w:id="8"/>
      <w:bookmarkEnd w:id="8"/>
      <w:r w:rsidDel="00000000" w:rsidR="00000000" w:rsidRPr="00000000">
        <w:rPr>
          <w:rFonts w:ascii="Times New Roman" w:cs="Times New Roman" w:eastAsia="Times New Roman" w:hAnsi="Times New Roman"/>
          <w:b w:val="1"/>
          <w:bCs w:val="1"/>
          <w:color w:val="000000"/>
          <w:sz w:val="26"/>
          <w:szCs w:val="26"/>
          <w:rtl w:val="0"/>
        </w:rPr>
        <w:t xml:space="preserve">A. Standard of Review</w:t>
      </w:r>
    </w:p>
    <w:p w:rsidR="00000000" w:rsidDel="00000000" w:rsidP="00000000" w:rsidRDefault="00000000" w:rsidRPr="00000000" w14:paraId="0000003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Court reviews a district court’s grant of summary judgment de novo, viewing the evidence in the light most favorable to the nonmoving party and drawing all reasonable inferences in that party’s favor.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Anderson v. Liberty Lobby, Inc., </w:t>
      </w:r>
      <w:r w:rsidDel="00000000" w:rsidR="00000000" w:rsidRPr="00000000">
        <w:rPr>
          <w:rFonts w:ascii="Times New Roman" w:cs="Times New Roman" w:eastAsia="Times New Roman" w:hAnsi="Times New Roman"/>
          <w:sz w:val="24"/>
          <w:szCs w:val="24"/>
          <w:rtl w:val="0"/>
        </w:rPr>
        <w:t xml:space="preserve">477 U.S. 242, 255 (1986); </w:t>
      </w:r>
      <w:r w:rsidDel="00000000" w:rsidR="00000000" w:rsidRPr="00000000">
        <w:rPr>
          <w:rFonts w:ascii="Times New Roman" w:cs="Times New Roman" w:eastAsia="Times New Roman" w:hAnsi="Times New Roman"/>
          <w:i w:val="1"/>
          <w:iCs w:val="1"/>
          <w:sz w:val="24"/>
          <w:szCs w:val="24"/>
          <w:rtl w:val="0"/>
        </w:rPr>
        <w:t xml:space="preserve">Gorzynski v. JetBlue Airways Corp.,</w:t>
      </w:r>
      <w:r w:rsidDel="00000000" w:rsidR="00000000" w:rsidRPr="00000000">
        <w:rPr>
          <w:rFonts w:ascii="Times New Roman" w:cs="Times New Roman" w:eastAsia="Times New Roman" w:hAnsi="Times New Roman"/>
          <w:sz w:val="24"/>
          <w:szCs w:val="24"/>
          <w:rtl w:val="0"/>
        </w:rPr>
        <w:t xml:space="preserve"> 596 F.3d 93, 101 (2d Cir. 2010). Summary judgment is appropriate where “there is no genuine dispute as to any material fact and the movant is entitled to judgment as a matter of law.” Fed. R. Civ. P. 56(a).</w:t>
      </w:r>
    </w:p>
    <w:p w:rsidR="00000000" w:rsidDel="00000000" w:rsidP="00000000" w:rsidRDefault="00000000" w:rsidRPr="00000000" w14:paraId="000000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district court resolved Riven’s retaliation claim on the legal insufficiency of his prima facie showing, rather than on disputed issues of credibility or intent, de novo review applies in full.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Slattery v. Swiss Reinsurance Am. Corp.,</w:t>
      </w:r>
      <w:r w:rsidDel="00000000" w:rsidR="00000000" w:rsidRPr="00000000">
        <w:rPr>
          <w:rFonts w:ascii="Times New Roman" w:cs="Times New Roman" w:eastAsia="Times New Roman" w:hAnsi="Times New Roman"/>
          <w:sz w:val="24"/>
          <w:szCs w:val="24"/>
          <w:rtl w:val="0"/>
        </w:rPr>
        <w:t xml:space="preserve"> 248 F.3d 87, 91 (2d Cir. 2001).</w:t>
      </w:r>
    </w:p>
    <w:p w:rsidR="00000000" w:rsidDel="00000000" w:rsidP="00000000" w:rsidRDefault="00000000" w:rsidRPr="00000000" w14:paraId="0000003D">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i94w1r31kply" w:id="9"/>
      <w:bookmarkEnd w:id="9"/>
      <w:r w:rsidDel="00000000" w:rsidR="00000000" w:rsidRPr="00000000">
        <w:rPr>
          <w:rFonts w:ascii="Times New Roman" w:cs="Times New Roman" w:eastAsia="Times New Roman" w:hAnsi="Times New Roman"/>
          <w:b w:val="1"/>
          <w:bCs w:val="1"/>
          <w:color w:val="000000"/>
          <w:sz w:val="26"/>
          <w:szCs w:val="26"/>
          <w:rtl w:val="0"/>
        </w:rPr>
        <w:t xml:space="preserve">B. Governing Legal Framework</w:t>
      </w:r>
    </w:p>
    <w:p w:rsidR="00000000" w:rsidDel="00000000" w:rsidP="00000000" w:rsidRDefault="00000000" w:rsidRPr="00000000" w14:paraId="000000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VII’s anti-retaliation provision makes it unlawful for an employer to discriminate against an employee because the employee has either opposed an unlawful employment practice or participated in a Title VII investigation or proceeding. 42 U.S.C. § 2000e-3(a).</w:t>
      </w:r>
    </w:p>
    <w:p w:rsidR="00000000" w:rsidDel="00000000" w:rsidP="00000000" w:rsidRDefault="00000000" w:rsidRPr="00000000" w14:paraId="0000003F">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a prima facie case of retaliation, a plaintiff must show:</w:t>
        <w:br w:type="textWrapping"/>
        <w:t xml:space="preserve"> (1) that he engaged in protected activity;</w:t>
        <w:br w:type="textWrapping"/>
        <w:t xml:space="preserve"> (2) that the employer was aware of that activity;</w:t>
        <w:br w:type="textWrapping"/>
        <w:t xml:space="preserve"> (3) that the employer took a materially adverse employment action; and</w:t>
        <w:br w:type="textWrapping"/>
        <w:t xml:space="preserve"> (4) that there was a causal connection between the protected activity and the adverse action. </w:t>
      </w:r>
    </w:p>
    <w:p w:rsidR="00000000" w:rsidDel="00000000" w:rsidP="00000000" w:rsidRDefault="00000000" w:rsidRPr="00000000" w14:paraId="00000040">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Littlejohn v. City of New York</w:t>
      </w:r>
      <w:r w:rsidDel="00000000" w:rsidR="00000000" w:rsidRPr="00000000">
        <w:rPr>
          <w:rFonts w:ascii="Times New Roman" w:cs="Times New Roman" w:eastAsia="Times New Roman" w:hAnsi="Times New Roman"/>
          <w:sz w:val="24"/>
          <w:szCs w:val="24"/>
          <w:rtl w:val="0"/>
        </w:rPr>
        <w:t xml:space="preserve">, 795 F.3d 297, 315–16 (2d Cir. 2015); </w:t>
      </w:r>
      <w:r w:rsidDel="00000000" w:rsidR="00000000" w:rsidRPr="00000000">
        <w:rPr>
          <w:rFonts w:ascii="Times New Roman" w:cs="Times New Roman" w:eastAsia="Times New Roman" w:hAnsi="Times New Roman"/>
          <w:i w:val="1"/>
          <w:iCs w:val="1"/>
          <w:sz w:val="24"/>
          <w:szCs w:val="24"/>
          <w:rtl w:val="0"/>
        </w:rPr>
        <w:t xml:space="preserve">Kelly v. Howard I. Shapiro &amp; Assocs. Consulting Eng’rs, P.C.</w:t>
      </w:r>
      <w:r w:rsidDel="00000000" w:rsidR="00000000" w:rsidRPr="00000000">
        <w:rPr>
          <w:rFonts w:ascii="Times New Roman" w:cs="Times New Roman" w:eastAsia="Times New Roman" w:hAnsi="Times New Roman"/>
          <w:sz w:val="24"/>
          <w:szCs w:val="24"/>
          <w:rtl w:val="0"/>
        </w:rPr>
        <w:t xml:space="preserve">, 716 F.3d 10, 14 (2d Cir. 2013).</w:t>
      </w:r>
    </w:p>
    <w:p w:rsidR="00000000" w:rsidDel="00000000" w:rsidP="00000000" w:rsidRDefault="00000000" w:rsidRPr="00000000" w14:paraId="0000004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do not dispute that EchoCraft terminated Riven and that termination constitutes a materially adverse employment action. The only contested elements, therefore, are whether Riven engaged in protected activity within the meaning of Title VII and whether he can establish the requisite causal connection between any such activity and his termination.</w:t>
      </w:r>
    </w:p>
    <w:p w:rsidR="00000000" w:rsidDel="00000000" w:rsidP="00000000" w:rsidRDefault="00000000" w:rsidRPr="00000000" w14:paraId="00000042">
      <w:pPr>
        <w:pStyle w:val="Heading3"/>
        <w:keepNext w:val="0"/>
        <w:keepLines w:val="0"/>
        <w:spacing w:after="0" w:before="0" w:line="480" w:lineRule="auto"/>
        <w:ind w:left="0" w:firstLine="0"/>
        <w:rPr>
          <w:rFonts w:ascii="Times New Roman" w:cs="Times New Roman" w:eastAsia="Times New Roman" w:hAnsi="Times New Roman"/>
          <w:b w:val="1"/>
          <w:bCs w:val="1"/>
          <w:color w:val="000000"/>
          <w:sz w:val="26"/>
          <w:szCs w:val="26"/>
        </w:rPr>
      </w:pPr>
      <w:bookmarkStart w:colFirst="0" w:colLast="0" w:name="_xpceteahudmx" w:id="10"/>
      <w:bookmarkEnd w:id="10"/>
      <w:r w:rsidDel="00000000" w:rsidR="00000000" w:rsidRPr="00000000">
        <w:rPr>
          <w:rFonts w:ascii="Times New Roman" w:cs="Times New Roman" w:eastAsia="Times New Roman" w:hAnsi="Times New Roman"/>
          <w:b w:val="1"/>
          <w:bCs w:val="1"/>
          <w:color w:val="000000"/>
          <w:sz w:val="26"/>
          <w:szCs w:val="26"/>
          <w:rtl w:val="0"/>
        </w:rPr>
        <w:t xml:space="preserve">C. Riven Did Not Engage in Protected Activity Under Title VII.</w:t>
      </w:r>
    </w:p>
    <w:p w:rsidR="00000000" w:rsidDel="00000000" w:rsidP="00000000" w:rsidRDefault="00000000" w:rsidRPr="00000000" w14:paraId="00000043">
      <w:pPr>
        <w:pStyle w:val="Heading4"/>
        <w:keepNext w:val="0"/>
        <w:keepLines w:val="0"/>
        <w:spacing w:after="0" w:before="0" w:line="480" w:lineRule="auto"/>
        <w:ind w:firstLine="720"/>
        <w:rPr>
          <w:rFonts w:ascii="Times New Roman" w:cs="Times New Roman" w:eastAsia="Times New Roman" w:hAnsi="Times New Roman"/>
          <w:b w:val="1"/>
          <w:bCs w:val="1"/>
          <w:color w:val="000000"/>
        </w:rPr>
      </w:pPr>
      <w:bookmarkStart w:colFirst="0" w:colLast="0" w:name="_iejlcv85y5qu" w:id="11"/>
      <w:bookmarkEnd w:id="11"/>
      <w:r w:rsidDel="00000000" w:rsidR="00000000" w:rsidRPr="00000000">
        <w:rPr>
          <w:rFonts w:ascii="Times New Roman" w:cs="Times New Roman" w:eastAsia="Times New Roman" w:hAnsi="Times New Roman"/>
          <w:b w:val="1"/>
          <w:bCs w:val="1"/>
          <w:color w:val="000000"/>
          <w:rtl w:val="0"/>
        </w:rPr>
        <w:t xml:space="preserve">C.1. Title VII Protects Only Opposition to Practices Made Unlawful by the Statute.</w:t>
      </w:r>
    </w:p>
    <w:p w:rsidR="00000000" w:rsidDel="00000000" w:rsidP="00000000" w:rsidRDefault="00000000" w:rsidRPr="00000000" w14:paraId="000000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VII’s opposition clause does not protect every complaint about workplace unfairness or internal disagreement over compensation. Rather, it protects only opposition to conduct that an employee reasonably believes is made unlawful by Title VII.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Manoharan v. Columbia Univ. Coll. of Physicians &amp; Surgeons, </w:t>
      </w:r>
      <w:r w:rsidDel="00000000" w:rsidR="00000000" w:rsidRPr="00000000">
        <w:rPr>
          <w:rFonts w:ascii="Times New Roman" w:cs="Times New Roman" w:eastAsia="Times New Roman" w:hAnsi="Times New Roman"/>
          <w:sz w:val="24"/>
          <w:szCs w:val="24"/>
          <w:rtl w:val="0"/>
        </w:rPr>
        <w:t xml:space="preserve">842 F.2d 590, 593 (2d Cir. 1988). The statute does not prohibit all disparities in pay or bonuses; it prohibits disparities caused by discrimination on the basis of a protected characteristic.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42 U.S.C. § 2000e-2(a).</w:t>
      </w:r>
    </w:p>
    <w:p w:rsidR="00000000" w:rsidDel="00000000" w:rsidP="00000000" w:rsidRDefault="00000000" w:rsidRPr="00000000" w14:paraId="000000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therefore draw a critical distinction between opposition to </w:t>
      </w:r>
      <w:r w:rsidDel="00000000" w:rsidR="00000000" w:rsidRPr="00000000">
        <w:rPr>
          <w:rFonts w:ascii="Times New Roman" w:cs="Times New Roman" w:eastAsia="Times New Roman" w:hAnsi="Times New Roman"/>
          <w:i w:val="1"/>
          <w:iCs w:val="1"/>
          <w:sz w:val="24"/>
          <w:szCs w:val="24"/>
          <w:rtl w:val="0"/>
        </w:rPr>
        <w:t xml:space="preserve">unlawful discrimination</w:t>
      </w:r>
      <w:r w:rsidDel="00000000" w:rsidR="00000000" w:rsidRPr="00000000">
        <w:rPr>
          <w:rFonts w:ascii="Times New Roman" w:cs="Times New Roman" w:eastAsia="Times New Roman" w:hAnsi="Times New Roman"/>
          <w:sz w:val="24"/>
          <w:szCs w:val="24"/>
          <w:rtl w:val="0"/>
        </w:rPr>
        <w:t xml:space="preserve"> and generalized objections to compensation outcomes that may be influenced by legitimate, nondiscriminatory factors.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Kelly v. Howard I. Shapiro &amp; Assocs. Consulting Eng’rs, P.C.</w:t>
      </w:r>
      <w:r w:rsidDel="00000000" w:rsidR="00000000" w:rsidRPr="00000000">
        <w:rPr>
          <w:rFonts w:ascii="Times New Roman" w:cs="Times New Roman" w:eastAsia="Times New Roman" w:hAnsi="Times New Roman"/>
          <w:sz w:val="24"/>
          <w:szCs w:val="24"/>
          <w:rtl w:val="0"/>
        </w:rPr>
        <w:t xml:space="preserve">, 716 F.3d 10, 15 (2d Cir. 2013) (holding that complaints must be “sufficiently specific to make it clear that the employee is complaining about conduct prohibited by Title VII”). Differences in bonuses may lawfully reflect productivity, revenue generation, seniority, market conditions, or departmental performance; considerations Title VII expressly permits employers to weigh.</w:t>
      </w:r>
    </w:p>
    <w:p w:rsidR="00000000" w:rsidDel="00000000" w:rsidP="00000000" w:rsidRDefault="00000000" w:rsidRPr="00000000" w14:paraId="0000004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Riven’s conduct never crossed this threshold. At no point did he allege that EchoCraft’s bonus system relied on sex as a determining factor, nor did he identify a policy or practice facially inconsistent with Title VII. Instead, he inferred potential discrimination from raw bonus figures untethered to job function, performance criteria, or compensation structure. Opposition based on such speculation does not implicate Title VII’s protections.</w:t>
      </w:r>
    </w:p>
    <w:p w:rsidR="00000000" w:rsidDel="00000000" w:rsidP="00000000" w:rsidRDefault="00000000" w:rsidRPr="00000000" w14:paraId="00000047">
      <w:pPr>
        <w:pStyle w:val="Heading4"/>
        <w:keepNext w:val="0"/>
        <w:keepLines w:val="0"/>
        <w:spacing w:after="0" w:before="0" w:line="480" w:lineRule="auto"/>
        <w:ind w:firstLine="720"/>
        <w:rPr>
          <w:rFonts w:ascii="Times New Roman" w:cs="Times New Roman" w:eastAsia="Times New Roman" w:hAnsi="Times New Roman"/>
          <w:b w:val="1"/>
          <w:bCs w:val="1"/>
          <w:color w:val="000000"/>
        </w:rPr>
      </w:pPr>
      <w:bookmarkStart w:colFirst="0" w:colLast="0" w:name="_mwv6t9va6gia" w:id="12"/>
      <w:bookmarkEnd w:id="12"/>
      <w:r w:rsidDel="00000000" w:rsidR="00000000" w:rsidRPr="00000000">
        <w:rPr>
          <w:rFonts w:ascii="Times New Roman" w:cs="Times New Roman" w:eastAsia="Times New Roman" w:hAnsi="Times New Roman"/>
          <w:b w:val="1"/>
          <w:bCs w:val="1"/>
          <w:color w:val="000000"/>
          <w:rtl w:val="0"/>
        </w:rPr>
        <w:t xml:space="preserve">C.2. Riven’s Methodology Was So Deficient That No Objectively Reasonable Employee Could Infer Discrimination.</w:t>
      </w:r>
    </w:p>
    <w:p w:rsidR="00000000" w:rsidDel="00000000" w:rsidP="00000000" w:rsidRDefault="00000000" w:rsidRPr="00000000" w14:paraId="000000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assuming Riven subjectively believed EchoCraft engaged in discrimination, that belief must also be objectively reasonable.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Galdieri-Ambrosini v. Nat’l Realty &amp; Dev. Corp., </w:t>
      </w:r>
      <w:r w:rsidDel="00000000" w:rsidR="00000000" w:rsidRPr="00000000">
        <w:rPr>
          <w:rFonts w:ascii="Times New Roman" w:cs="Times New Roman" w:eastAsia="Times New Roman" w:hAnsi="Times New Roman"/>
          <w:sz w:val="24"/>
          <w:szCs w:val="24"/>
          <w:rtl w:val="0"/>
        </w:rPr>
        <w:t xml:space="preserve">136 F.3d 276, 292 (2d Cir. 1998). This objective requirement ensures that Title VII protects genuine opposition to unlawful practices, not conjecture or analytically unsound conclusions. Riven’s inquiry fails this test. He compared bonuses across departments with materially different functions, performance metrics, and market dynamics, despite conceding that he did not understand how non-songwriting departments evaluated compensation. Such comparisons are legally meaningless. Courts routinely require that employees identified as comparators be “similarly situated in all material respects.” </w:t>
      </w:r>
      <w:r w:rsidDel="00000000" w:rsidR="00000000" w:rsidRPr="00000000">
        <w:rPr>
          <w:rFonts w:ascii="Times New Roman" w:cs="Times New Roman" w:eastAsia="Times New Roman" w:hAnsi="Times New Roman"/>
          <w:i w:val="1"/>
          <w:iCs w:val="1"/>
          <w:sz w:val="24"/>
          <w:szCs w:val="24"/>
          <w:rtl w:val="0"/>
        </w:rPr>
        <w:t xml:space="preserve">Graham v. Long Island R.R.,</w:t>
      </w:r>
      <w:r w:rsidDel="00000000" w:rsidR="00000000" w:rsidRPr="00000000">
        <w:rPr>
          <w:rFonts w:ascii="Times New Roman" w:cs="Times New Roman" w:eastAsia="Times New Roman" w:hAnsi="Times New Roman"/>
          <w:sz w:val="24"/>
          <w:szCs w:val="24"/>
          <w:rtl w:val="0"/>
        </w:rPr>
        <w:t xml:space="preserve"> 230 F.3d 34, 39–40 (2d Cir. 2000). Cross-department comparisons lacking shared evaluation criteria cannot support an inference of discrimination.</w:t>
      </w:r>
    </w:p>
    <w:p w:rsidR="00000000" w:rsidDel="00000000" w:rsidP="00000000" w:rsidRDefault="00000000" w:rsidRPr="00000000" w14:paraId="000000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Riven’s reliance on selective and statistically unreliable samples further undermines any claim of objective reasonableness. In some instances, he extrapolated average bonuses from a single male employee while comparing that figure to multiple female employees. Courts have consistently rejected discrimination claims premised on such distorted comparisons.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Brown v. Daikin Am. Inc., </w:t>
      </w:r>
      <w:r w:rsidDel="00000000" w:rsidR="00000000" w:rsidRPr="00000000">
        <w:rPr>
          <w:rFonts w:ascii="Times New Roman" w:cs="Times New Roman" w:eastAsia="Times New Roman" w:hAnsi="Times New Roman"/>
          <w:sz w:val="24"/>
          <w:szCs w:val="24"/>
          <w:rtl w:val="0"/>
        </w:rPr>
        <w:t xml:space="preserve">756 F.3d 219, 230 (2d Cir. 2014) (requiring plausible factual support for discrimination claims).</w:t>
      </w:r>
    </w:p>
    <w:p w:rsidR="00000000" w:rsidDel="00000000" w:rsidP="00000000" w:rsidRDefault="00000000" w:rsidRPr="00000000" w14:paraId="0000004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Riven’s own report acknowledged that women earned as much as or more than men in approximately half of the departments surveyed and praised EchoCraft’s parental-leave and anti-harassment policies. These concessions are incompatible with a reasonable belief that EchoCraft maintained a systemic, sex-based compensation scheme.</w:t>
      </w:r>
    </w:p>
    <w:p w:rsidR="00000000" w:rsidDel="00000000" w:rsidP="00000000" w:rsidRDefault="00000000" w:rsidRPr="00000000" w14:paraId="0000004B">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k964igpmk9l2" w:id="13"/>
      <w:bookmarkEnd w:id="13"/>
      <w:r w:rsidDel="00000000" w:rsidR="00000000" w:rsidRPr="00000000">
        <w:rPr>
          <w:rFonts w:ascii="Times New Roman" w:cs="Times New Roman" w:eastAsia="Times New Roman" w:hAnsi="Times New Roman"/>
          <w:b w:val="1"/>
          <w:bCs w:val="1"/>
          <w:color w:val="000000"/>
          <w:sz w:val="26"/>
          <w:szCs w:val="26"/>
          <w:rtl w:val="0"/>
        </w:rPr>
        <w:t xml:space="preserve">D. EchoCraft Lacked Notice of Any Protected Activity.</w:t>
      </w:r>
    </w:p>
    <w:p w:rsidR="00000000" w:rsidDel="00000000" w:rsidP="00000000" w:rsidRDefault="00000000" w:rsidRPr="00000000" w14:paraId="0000004C">
      <w:pPr>
        <w:pStyle w:val="Heading3"/>
        <w:keepNext w:val="0"/>
        <w:keepLines w:val="0"/>
        <w:spacing w:after="0" w:before="0" w:line="480" w:lineRule="auto"/>
        <w:ind w:firstLine="720"/>
        <w:rPr>
          <w:rFonts w:ascii="Times New Roman" w:cs="Times New Roman" w:eastAsia="Times New Roman" w:hAnsi="Times New Roman"/>
          <w:color w:val="000000"/>
          <w:sz w:val="24"/>
          <w:szCs w:val="24"/>
        </w:rPr>
      </w:pPr>
      <w:bookmarkStart w:colFirst="0" w:colLast="0" w:name="_k4oal1phi1h2" w:id="14"/>
      <w:bookmarkEnd w:id="14"/>
      <w:r w:rsidDel="00000000" w:rsidR="00000000" w:rsidRPr="00000000">
        <w:rPr>
          <w:rFonts w:ascii="Times New Roman" w:cs="Times New Roman" w:eastAsia="Times New Roman" w:hAnsi="Times New Roman"/>
          <w:color w:val="000000"/>
          <w:sz w:val="24"/>
          <w:szCs w:val="24"/>
          <w:rtl w:val="0"/>
        </w:rPr>
        <w:t xml:space="preserve">Even if Riven’s conduct qualified as protected activity—which it did not—his retaliation claim fails because EchoCraft lacked notice that he was opposing an unlawful employment practice. An employer must understand, or reasonably be expected to understand, that an employee is engaging in activity protected by Title VII. </w:t>
      </w:r>
      <w:r w:rsidDel="00000000" w:rsidR="00000000" w:rsidRPr="00000000">
        <w:rPr>
          <w:rFonts w:ascii="Times New Roman" w:cs="Times New Roman" w:eastAsia="Times New Roman" w:hAnsi="Times New Roman"/>
          <w:i w:val="1"/>
          <w:iCs w:val="1"/>
          <w:color w:val="000000"/>
          <w:sz w:val="24"/>
          <w:szCs w:val="24"/>
          <w:rtl w:val="0"/>
        </w:rPr>
        <w:t xml:space="preserve">See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Galdieri-Ambrosini, </w:t>
      </w:r>
      <w:r w:rsidDel="00000000" w:rsidR="00000000" w:rsidRPr="00000000">
        <w:rPr>
          <w:rFonts w:ascii="Times New Roman" w:cs="Times New Roman" w:eastAsia="Times New Roman" w:hAnsi="Times New Roman"/>
          <w:color w:val="000000"/>
          <w:sz w:val="24"/>
          <w:szCs w:val="24"/>
          <w:rtl w:val="0"/>
        </w:rPr>
        <w:t xml:space="preserve">136 F.3d at 292.</w:t>
      </w:r>
    </w:p>
    <w:p w:rsidR="00000000" w:rsidDel="00000000" w:rsidP="00000000" w:rsidRDefault="00000000" w:rsidRPr="00000000" w14:paraId="0000004D">
      <w:pPr>
        <w:pStyle w:val="Heading3"/>
        <w:keepNext w:val="0"/>
        <w:keepLines w:val="0"/>
        <w:spacing w:after="0" w:before="0" w:line="480" w:lineRule="auto"/>
        <w:ind w:firstLine="720"/>
        <w:rPr>
          <w:rFonts w:ascii="Times New Roman" w:cs="Times New Roman" w:eastAsia="Times New Roman" w:hAnsi="Times New Roman"/>
          <w:color w:val="000000"/>
          <w:sz w:val="24"/>
          <w:szCs w:val="24"/>
        </w:rPr>
      </w:pPr>
      <w:bookmarkStart w:colFirst="0" w:colLast="0" w:name="_a8vshdgqe4mc" w:id="15"/>
      <w:bookmarkEnd w:id="15"/>
      <w:r w:rsidDel="00000000" w:rsidR="00000000" w:rsidRPr="00000000">
        <w:rPr>
          <w:rFonts w:ascii="Times New Roman" w:cs="Times New Roman" w:eastAsia="Times New Roman" w:hAnsi="Times New Roman"/>
          <w:color w:val="000000"/>
          <w:sz w:val="24"/>
          <w:szCs w:val="24"/>
          <w:rtl w:val="0"/>
        </w:rPr>
        <w:t xml:space="preserve">Riven never filed a complaint with Human Resources, never invoked Title VII, and never alleged discrimination in legal or statutory terms. He did not report misconduct to compliance personnel or request remedial action. To the contrary, Daphne Sniff expressly stated that she did not believe discrimination existed and permitted Riven to “poke around” informally. An employer cannot be deemed on notice of protected activity when the employee himself frames the inquiry as exploratory rather than oppositional. </w:t>
      </w:r>
      <w:r w:rsidDel="00000000" w:rsidR="00000000" w:rsidRPr="00000000">
        <w:rPr>
          <w:rFonts w:ascii="Times New Roman" w:cs="Times New Roman" w:eastAsia="Times New Roman" w:hAnsi="Times New Roman"/>
          <w:i w:val="1"/>
          <w:iCs w:val="1"/>
          <w:color w:val="000000"/>
          <w:sz w:val="24"/>
          <w:szCs w:val="24"/>
          <w:rtl w:val="0"/>
        </w:rPr>
        <w:t xml:space="preserve">See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Kelly</w:t>
      </w:r>
      <w:r w:rsidDel="00000000" w:rsidR="00000000" w:rsidRPr="00000000">
        <w:rPr>
          <w:rFonts w:ascii="Times New Roman" w:cs="Times New Roman" w:eastAsia="Times New Roman" w:hAnsi="Times New Roman"/>
          <w:color w:val="000000"/>
          <w:sz w:val="24"/>
          <w:szCs w:val="24"/>
          <w:rtl w:val="0"/>
        </w:rPr>
        <w:t xml:space="preserve">, 716 F.3d at 14–15.</w:t>
      </w:r>
    </w:p>
    <w:p w:rsidR="00000000" w:rsidDel="00000000" w:rsidP="00000000" w:rsidRDefault="00000000" w:rsidRPr="00000000" w14:paraId="0000004E">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bhl6m2gqe8az" w:id="16"/>
      <w:bookmarkEnd w:id="16"/>
      <w:r w:rsidDel="00000000" w:rsidR="00000000" w:rsidRPr="00000000">
        <w:rPr>
          <w:rFonts w:ascii="Times New Roman" w:cs="Times New Roman" w:eastAsia="Times New Roman" w:hAnsi="Times New Roman"/>
          <w:b w:val="1"/>
          <w:bCs w:val="1"/>
          <w:color w:val="000000"/>
          <w:sz w:val="26"/>
          <w:szCs w:val="26"/>
          <w:rtl w:val="0"/>
        </w:rPr>
        <w:t xml:space="preserve">E. Even If Riven’s Conduct Were Protected, He Failed to Establish a Causal Connection Between His “Investigation” and His Termination.</w:t>
      </w:r>
    </w:p>
    <w:p w:rsidR="00000000" w:rsidDel="00000000" w:rsidP="00000000" w:rsidRDefault="00000000" w:rsidRPr="00000000" w14:paraId="000000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where protected activity exists, a retaliation claim fails absent evidence sufficient to permit an inference that the adverse action occurred </w:t>
      </w:r>
      <w:r w:rsidDel="00000000" w:rsidR="00000000" w:rsidRPr="00000000">
        <w:rPr>
          <w:rFonts w:ascii="Times New Roman" w:cs="Times New Roman" w:eastAsia="Times New Roman" w:hAnsi="Times New Roman"/>
          <w:i w:val="1"/>
          <w:iCs w:val="1"/>
          <w:sz w:val="24"/>
          <w:szCs w:val="24"/>
          <w:rtl w:val="0"/>
        </w:rPr>
        <w:t xml:space="preserve">because of</w:t>
      </w:r>
      <w:r w:rsidDel="00000000" w:rsidR="00000000" w:rsidRPr="00000000">
        <w:rPr>
          <w:rFonts w:ascii="Times New Roman" w:cs="Times New Roman" w:eastAsia="Times New Roman" w:hAnsi="Times New Roman"/>
          <w:sz w:val="24"/>
          <w:szCs w:val="24"/>
          <w:rtl w:val="0"/>
        </w:rPr>
        <w:t xml:space="preserve"> that activity.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Univ. of Tex. Sw. Med. Ctr. v. Nassar</w:t>
      </w:r>
      <w:r w:rsidDel="00000000" w:rsidR="00000000" w:rsidRPr="00000000">
        <w:rPr>
          <w:rFonts w:ascii="Times New Roman" w:cs="Times New Roman" w:eastAsia="Times New Roman" w:hAnsi="Times New Roman"/>
          <w:sz w:val="24"/>
          <w:szCs w:val="24"/>
          <w:rtl w:val="0"/>
        </w:rPr>
        <w:t xml:space="preserve">, 570 U.S. 338, 362 (2013). Temporal proximity alone is insufficient where the employer’s concerns about performance predate, or independently explain, the adverse action. </w:t>
      </w:r>
      <w:r w:rsidDel="00000000" w:rsidR="00000000" w:rsidRPr="00000000">
        <w:rPr>
          <w:rFonts w:ascii="Times New Roman" w:cs="Times New Roman" w:eastAsia="Times New Roman" w:hAnsi="Times New Roman"/>
          <w:i w:val="1"/>
          <w:iCs w:val="1"/>
          <w:sz w:val="24"/>
          <w:szCs w:val="24"/>
          <w:rtl w:val="0"/>
        </w:rPr>
        <w:t xml:space="preserve">See Slattery,</w:t>
      </w:r>
      <w:r w:rsidDel="00000000" w:rsidR="00000000" w:rsidRPr="00000000">
        <w:rPr>
          <w:rFonts w:ascii="Times New Roman" w:cs="Times New Roman" w:eastAsia="Times New Roman" w:hAnsi="Times New Roman"/>
          <w:sz w:val="24"/>
          <w:szCs w:val="24"/>
          <w:rtl w:val="0"/>
        </w:rPr>
        <w:t xml:space="preserve"> 248 F.3d at 95.</w:t>
      </w:r>
    </w:p>
    <w:p w:rsidR="00000000" w:rsidDel="00000000" w:rsidP="00000000" w:rsidRDefault="00000000" w:rsidRPr="00000000" w14:paraId="0000005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record establishes that EchoCraft’s concerns about Riven’s performance arose months before his termination and were wholly independent of his bonus inquiry. Riven’s department failed to meet songwriting quotas for six consecutive months in 2023, falling well below the company’s expected benchmark. In July 2023, approximately five months before his termination, Riven received a formal written warning placing him on notice that continued underperformance jeopardized his position. These facts are undisputed.</w:t>
      </w:r>
    </w:p>
    <w:p w:rsidR="00000000" w:rsidDel="00000000" w:rsidP="00000000" w:rsidRDefault="00000000" w:rsidRPr="00000000" w14:paraId="000000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attempts to manufacture causation by pointing to the timing of his August 2023 email summarizing his findings and Daphne Sniff’s response asking whether the investigation was “the best use of [his] time.” But read in context, that response reflects a legitimate managerial concern: a department head already on formal warning for missed quotas was diverting time and attention away from his core responsibilities. Riven himself admitted that investigating bonus practices was not part of his job description and that he devoted substantial effort to the project during a period of declining departmental output.</w:t>
      </w:r>
    </w:p>
    <w:p w:rsidR="00000000" w:rsidDel="00000000" w:rsidP="00000000" w:rsidRDefault="00000000" w:rsidRPr="00000000" w14:paraId="0000005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 does Riven’s comparison to Jackie Moses establish causation. Although Moses did not receive a formal warning, the record reflects material differences in experience, departmental performance, and subsequent improvement. Title VII does not require employers to discipline all managers identically, and isolated differences in treatment, absent evidence of retaliatory animus, cannot substitute for proof of causation.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Graham v. Long Island R.R.,</w:t>
      </w:r>
      <w:r w:rsidDel="00000000" w:rsidR="00000000" w:rsidRPr="00000000">
        <w:rPr>
          <w:rFonts w:ascii="Times New Roman" w:cs="Times New Roman" w:eastAsia="Times New Roman" w:hAnsi="Times New Roman"/>
          <w:sz w:val="24"/>
          <w:szCs w:val="24"/>
          <w:rtl w:val="0"/>
        </w:rPr>
        <w:t xml:space="preserve"> 230 F.3d 34, 40 (2d Cir. 2000).</w:t>
      </w:r>
    </w:p>
    <w:p w:rsidR="00000000" w:rsidDel="00000000" w:rsidP="00000000" w:rsidRDefault="00000000" w:rsidRPr="00000000" w14:paraId="000000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EchoCraft’s institutional context further weakens any inference of retaliation. The company is led in relevant part by women in senior positions, including Sniff herself; it maintains robust parental-leave and anti-harassment policies; and Riven’s own report praised EchoCraft’s treatment of female employees in multiple respects. Against this backdrop, it is implausible to infer that EchoCraft terminated a long-tenured manager in retaliation for concerns it had expressly permitted him to examine.</w:t>
      </w:r>
    </w:p>
    <w:p w:rsidR="00000000" w:rsidDel="00000000" w:rsidP="00000000" w:rsidRDefault="00000000" w:rsidRPr="00000000" w14:paraId="00000054">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z4kjv2ao6chp" w:id="17"/>
      <w:bookmarkEnd w:id="17"/>
      <w:r w:rsidDel="00000000" w:rsidR="00000000" w:rsidRPr="00000000">
        <w:rPr>
          <w:rFonts w:ascii="Times New Roman" w:cs="Times New Roman" w:eastAsia="Times New Roman" w:hAnsi="Times New Roman"/>
          <w:b w:val="1"/>
          <w:bCs w:val="1"/>
          <w:color w:val="000000"/>
          <w:sz w:val="26"/>
          <w:szCs w:val="26"/>
          <w:rtl w:val="0"/>
        </w:rPr>
        <w:t xml:space="preserve">F. Riven’s Theory of the Case Reflects Post Hoc Rationalization, Not Evidence of Retaliation</w:t>
      </w:r>
    </w:p>
    <w:p w:rsidR="00000000" w:rsidDel="00000000" w:rsidP="00000000" w:rsidRDefault="00000000" w:rsidRPr="00000000" w14:paraId="000000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Viewed as a whole, the record supports only one conclusion: Riven, a once-successful employee whose performance declined amid sustained underproduction, sought to reframe his underperformance and later termination as retaliation for purported whistleblowing. Title VII does not shield employees from the consequences of prolonged underperformance, nor does it permit plaintiffs to transform speculative inquiries into protected civil-rights activity after the fact. Because Riven failed to demonstrate either protected activity or a causal connection between his conduct and his termination, the district court correctly granted summary judgment to EchoCraft on the retaliation claim.</w:t>
      </w:r>
    </w:p>
    <w:p w:rsidR="00000000" w:rsidDel="00000000" w:rsidP="00000000" w:rsidRDefault="00000000" w:rsidRPr="00000000" w14:paraId="0000005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AS TO ISSUE ONE</w:t>
      </w:r>
    </w:p>
    <w:p w:rsidR="00000000" w:rsidDel="00000000" w:rsidP="00000000" w:rsidRDefault="00000000" w:rsidRPr="00000000" w14:paraId="000000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 court correctly granted summary judgment for EchoCraft on Riven’s Title VII retaliation claim. Riven failed to establish a prima facie case of retaliation because his self-initiated inquiry into bonus practices did not constitute protected activity under Title VII, EchoCraft lacked notice of any opposition to an unlawful employment practice, and the undisputed record demonstrates that his termination resulted from sustained performance deficiencies rather than retaliatory animus. The governing legal standards weigh decisively in EchoCraft’s favor: Title VII protects only reasonable opposition to conduct made unlawful by the statute; generalized complaints and methodologically flawed comparisons fall outside that protection; and progressive discipline that predates the alleged protected activity defeats any inference of causation. On these undisputed facts, no reasonable factfinder could conclude that EchoCraft retaliated against Riven in violation of Title VII. This Court should affirm the district court’s grant of summary judgment.</w:t>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CLAIM II. THE DISTRICT COURT CORRECTLY GRANTED SUMMARY JUDGMENT BECAUSE RIVEN FAILED TO ESTABLISH A PRIMA FACIE CASE FOR COPYRIGHT INFRINGEMENT.</w:t>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EchoCraft’s song “Revere Paul Revere?” is a fair use of Riven’s copyrighted work because it is a critical attack on, rather than a substitute of Riven’s song. </w:t>
      </w:r>
    </w:p>
    <w:p w:rsidR="00000000" w:rsidDel="00000000" w:rsidP="00000000" w:rsidRDefault="00000000" w:rsidRPr="00000000" w14:paraId="0000005D">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 1—purpose and character.</w:t>
      </w:r>
      <w:r w:rsidDel="00000000" w:rsidR="00000000" w:rsidRPr="00000000">
        <w:rPr>
          <w:rFonts w:ascii="Times New Roman" w:cs="Times New Roman" w:eastAsia="Times New Roman" w:hAnsi="Times New Roman"/>
          <w:sz w:val="24"/>
          <w:szCs w:val="24"/>
          <w:rtl w:val="0"/>
        </w:rPr>
        <w:t xml:space="preserve"> Under </w:t>
      </w:r>
      <w:r w:rsidDel="00000000" w:rsidR="00000000" w:rsidRPr="00000000">
        <w:rPr>
          <w:rFonts w:ascii="Times New Roman" w:cs="Times New Roman" w:eastAsia="Times New Roman" w:hAnsi="Times New Roman"/>
          <w:i w:val="1"/>
          <w:iCs w:val="1"/>
          <w:sz w:val="24"/>
          <w:szCs w:val="24"/>
          <w:rtl w:val="0"/>
        </w:rPr>
        <w:t xml:space="preserve">Campbell v. Acuff-Rose Music, Inc.</w:t>
      </w:r>
      <w:r w:rsidDel="00000000" w:rsidR="00000000" w:rsidRPr="00000000">
        <w:rPr>
          <w:rFonts w:ascii="Times New Roman" w:cs="Times New Roman" w:eastAsia="Times New Roman" w:hAnsi="Times New Roman"/>
          <w:sz w:val="24"/>
          <w:szCs w:val="24"/>
          <w:rtl w:val="0"/>
        </w:rPr>
        <w:t xml:space="preserve">, a use is transformative when it “adds something new, with a further purpose or different character.” 510 U.S. 569, 579 (1994). Unlike in </w:t>
      </w:r>
      <w:r w:rsidDel="00000000" w:rsidR="00000000" w:rsidRPr="00000000">
        <w:rPr>
          <w:rFonts w:ascii="Times New Roman" w:cs="Times New Roman" w:eastAsia="Times New Roman" w:hAnsi="Times New Roman"/>
          <w:i w:val="1"/>
          <w:iCs w:val="1"/>
          <w:sz w:val="24"/>
          <w:szCs w:val="24"/>
          <w:rtl w:val="0"/>
        </w:rPr>
        <w:t xml:space="preserve">Andy Warhol Foundation for Visual Arts, Inc. v. Goldsmith</w:t>
      </w:r>
      <w:r w:rsidDel="00000000" w:rsidR="00000000" w:rsidRPr="00000000">
        <w:rPr>
          <w:rFonts w:ascii="Times New Roman" w:cs="Times New Roman" w:eastAsia="Times New Roman" w:hAnsi="Times New Roman"/>
          <w:sz w:val="24"/>
          <w:szCs w:val="24"/>
          <w:rtl w:val="0"/>
        </w:rPr>
        <w:t xml:space="preserve">, where both works served the same purpose, 598 U.S. 508, 526 (2023), EchoCraft’s song uses Riven’s lyrics as a starting point for criticism of Riven’s narrative choices. A reasonable observer would recognize that EchoCraft’s song serves a different purpose from Riven’s. </w:t>
      </w:r>
      <w:r w:rsidDel="00000000" w:rsidR="00000000" w:rsidRPr="00000000">
        <w:rPr>
          <w:rFonts w:ascii="Times New Roman" w:cs="Times New Roman" w:eastAsia="Times New Roman" w:hAnsi="Times New Roman"/>
          <w:i w:val="1"/>
          <w:iCs w:val="1"/>
          <w:sz w:val="24"/>
          <w:szCs w:val="24"/>
          <w:rtl w:val="0"/>
        </w:rPr>
        <w:t xml:space="preserve">Santos v. Kimmel</w:t>
      </w:r>
      <w:r w:rsidDel="00000000" w:rsidR="00000000" w:rsidRPr="00000000">
        <w:rPr>
          <w:rFonts w:ascii="Times New Roman" w:cs="Times New Roman" w:eastAsia="Times New Roman" w:hAnsi="Times New Roman"/>
          <w:sz w:val="24"/>
          <w:szCs w:val="24"/>
          <w:rtl w:val="0"/>
        </w:rPr>
        <w:t xml:space="preserve">, 154 F.4th 30, 34 (2d Cir. 2025). EchoCraft released the song through its nonprofit educational division at below-cost pricing. R. 77. Factor 1 weighs in EchoCraft’s favor.</w:t>
      </w:r>
    </w:p>
    <w:p w:rsidR="00000000" w:rsidDel="00000000" w:rsidP="00000000" w:rsidRDefault="00000000" w:rsidRPr="00000000" w14:paraId="0000005E">
      <w:pPr>
        <w:spacing w:after="180" w:before="180" w:line="4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Factor 3—amount and substantiality.</w:t>
      </w:r>
      <w:r w:rsidDel="00000000" w:rsidR="00000000" w:rsidRPr="00000000">
        <w:rPr>
          <w:rFonts w:ascii="Times New Roman" w:cs="Times New Roman" w:eastAsia="Times New Roman" w:hAnsi="Times New Roman"/>
          <w:sz w:val="24"/>
          <w:szCs w:val="24"/>
          <w:rtl w:val="0"/>
        </w:rPr>
        <w:t xml:space="preserve"> EchoCraft copied seven of eight lines verbatim but added new content constituting 50% of the final work. R. 98–99. Criticism requires recognition: “[p]arody must be able to ‘conjure up’ at least enough of [the original] to make the object of its critical wit recognizable.”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580–81. Much of what was copied consists of unprotectable historical facts. </w:t>
      </w:r>
      <w:r w:rsidDel="00000000" w:rsidR="00000000" w:rsidRPr="00000000">
        <w:rPr>
          <w:rFonts w:ascii="Times New Roman" w:cs="Times New Roman" w:eastAsia="Times New Roman" w:hAnsi="Times New Roman"/>
          <w:i w:val="1"/>
          <w:iCs w:val="1"/>
          <w:sz w:val="24"/>
          <w:szCs w:val="24"/>
          <w:rtl w:val="0"/>
        </w:rPr>
        <w:t xml:space="preserve">Feist Publications, Inc. v. Rural Telephone Service Co.</w:t>
      </w:r>
      <w:r w:rsidDel="00000000" w:rsidR="00000000" w:rsidRPr="00000000">
        <w:rPr>
          <w:rFonts w:ascii="Times New Roman" w:cs="Times New Roman" w:eastAsia="Times New Roman" w:hAnsi="Times New Roman"/>
          <w:sz w:val="24"/>
          <w:szCs w:val="24"/>
          <w:rtl w:val="0"/>
        </w:rPr>
        <w:t xml:space="preserve">, 499 U.S. 340, 344 (1991). Factor 3 weighs at most slightly against EchoCraft.</w:t>
      </w:r>
      <w:r w:rsidDel="00000000" w:rsidR="00000000" w:rsidRPr="00000000">
        <w:rPr>
          <w:rtl w:val="0"/>
        </w:rPr>
      </w:r>
    </w:p>
    <w:p w:rsidR="00000000" w:rsidDel="00000000" w:rsidP="00000000" w:rsidRDefault="00000000" w:rsidRPr="00000000" w14:paraId="0000005F">
      <w:pPr>
        <w:spacing w:after="180" w:before="180" w:line="48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Factor 4—market effect—does not show harmful substitution.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0">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relevant inquiry is “whether the secondary use usurps the market for the original by offering a competing substitute.”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38 (quoting </w:t>
      </w:r>
      <w:r w:rsidDel="00000000" w:rsidR="00000000" w:rsidRPr="00000000">
        <w:rPr>
          <w:rFonts w:ascii="Times New Roman" w:cs="Times New Roman" w:eastAsia="Times New Roman" w:hAnsi="Times New Roman"/>
          <w:i w:val="1"/>
          <w:iCs w:val="1"/>
          <w:sz w:val="24"/>
          <w:szCs w:val="24"/>
          <w:rtl w:val="0"/>
        </w:rPr>
        <w:t xml:space="preserve">Hachette Book Gr, Inc. v. Internet Archive</w:t>
      </w:r>
      <w:r w:rsidDel="00000000" w:rsidR="00000000" w:rsidRPr="00000000">
        <w:rPr>
          <w:rFonts w:ascii="Times New Roman" w:cs="Times New Roman" w:eastAsia="Times New Roman" w:hAnsi="Times New Roman"/>
          <w:sz w:val="24"/>
          <w:szCs w:val="24"/>
          <w:rtl w:val="0"/>
        </w:rPr>
        <w:t xml:space="preserve">, 115 F.4th 163, 181 (2d CiR.2024)). EchoCraft’s song does not substitute for Riven’s; if anything, it is Riven’s copyright claim that would suppress critical discussion of his own work. As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recognized, “the unlikelihood that creators of imaginative works will license critical reviews or lampoons of their own productions removes such uses from the very notion of a potential licensing market.” 510 U.S. at 592. Riven had no established licensing market—only preliminary negotiations with a single school that never produced a contract. </w:t>
      </w:r>
      <w:r w:rsidDel="00000000" w:rsidR="00000000" w:rsidRPr="00000000">
        <w:rPr>
          <w:rFonts w:ascii="Times New Roman" w:cs="Times New Roman" w:eastAsia="Times New Roman" w:hAnsi="Times New Roman"/>
          <w:i w:val="1"/>
          <w:iCs w:val="1"/>
          <w:sz w:val="24"/>
          <w:szCs w:val="24"/>
          <w:rtl w:val="0"/>
        </w:rPr>
        <w:t xml:space="preserve">TCA Television Cor v. McCollum</w:t>
      </w:r>
      <w:r w:rsidDel="00000000" w:rsidR="00000000" w:rsidRPr="00000000">
        <w:rPr>
          <w:rFonts w:ascii="Times New Roman" w:cs="Times New Roman" w:eastAsia="Times New Roman" w:hAnsi="Times New Roman"/>
          <w:sz w:val="24"/>
          <w:szCs w:val="24"/>
          <w:rtl w:val="0"/>
        </w:rPr>
        <w:t xml:space="preserve">, 839 F.3d 168, 173 (2d CiR.2016) (single discussion insufficient to establish market). Columbia Grammar’s principal chose EchoCraft’s song for “critical discussion about Revere’s legacy,” R. 86—a different educational function. Factor 4 weighs in favor of fair use.</w:t>
      </w:r>
    </w:p>
    <w:p w:rsidR="00000000" w:rsidDel="00000000" w:rsidP="00000000" w:rsidRDefault="00000000" w:rsidRPr="00000000" w14:paraId="00000061">
      <w:pPr>
        <w:spacing w:after="180" w:before="180" w:line="4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Factor 2—nature of the copyrighted work.</w:t>
      </w:r>
      <w:r w:rsidDel="00000000" w:rsidR="00000000" w:rsidRPr="00000000">
        <w:rPr>
          <w:rFonts w:ascii="Times New Roman" w:cs="Times New Roman" w:eastAsia="Times New Roman" w:hAnsi="Times New Roman"/>
          <w:sz w:val="24"/>
          <w:szCs w:val="24"/>
          <w:rtl w:val="0"/>
        </w:rPr>
        <w:t xml:space="preserve"> Riven’s song is a creative work containing substantial factual content about historical events. This factor weighs slightly against EchoCraft but carries limited weight.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586.</w:t>
      </w:r>
      <w:r w:rsidDel="00000000" w:rsidR="00000000" w:rsidRPr="00000000">
        <w:rPr>
          <w:rtl w:val="0"/>
        </w:rPr>
      </w:r>
    </w:p>
    <w:p w:rsidR="00000000" w:rsidDel="00000000" w:rsidP="00000000" w:rsidRDefault="00000000" w:rsidRPr="00000000" w14:paraId="00000062">
      <w:pPr>
        <w:spacing w:after="180" w:before="180" w:line="4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four factors, considered together, favor fair use. This Court should affirm.</w:t>
      </w:r>
      <w:r w:rsidDel="00000000" w:rsidR="00000000" w:rsidRPr="00000000">
        <w:rPr>
          <w:rtl w:val="0"/>
        </w:rPr>
      </w:r>
    </w:p>
    <w:p w:rsidR="00000000" w:rsidDel="00000000" w:rsidP="00000000" w:rsidRDefault="00000000" w:rsidRPr="00000000" w14:paraId="00000063">
      <w:pPr>
        <w:spacing w:after="200" w:line="480" w:lineRule="auto"/>
        <w:ind w:left="0" w:firstLine="72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0" w:before="200" w:line="480" w:lineRule="auto"/>
        <w:ind w:left="0" w:firstLine="720"/>
        <w:jc w:val="center"/>
        <w:rPr>
          <w:rFonts w:ascii="Times New Roman" w:cs="Times New Roman" w:eastAsia="Times New Roman" w:hAnsi="Times New Roman"/>
          <w:b w:val="1"/>
          <w:bCs w:val="1"/>
          <w:sz w:val="28"/>
          <w:szCs w:val="28"/>
        </w:rPr>
      </w:pPr>
      <w:bookmarkStart w:colFirst="0" w:colLast="0" w:name="_z6x1vn1yn0b6" w:id="18"/>
      <w:bookmarkEnd w:id="18"/>
      <w:r w:rsidDel="00000000" w:rsidR="00000000" w:rsidRPr="00000000">
        <w:rPr>
          <w:rFonts w:ascii="Times New Roman" w:cs="Times New Roman" w:eastAsia="Times New Roman" w:hAnsi="Times New Roman"/>
          <w:b w:val="1"/>
          <w:bCs w:val="1"/>
          <w:sz w:val="28"/>
          <w:szCs w:val="28"/>
          <w:rtl w:val="0"/>
        </w:rPr>
        <w:t xml:space="preserve">ARGUMENT</w:t>
      </w:r>
    </w:p>
    <w:p w:rsidR="00000000" w:rsidDel="00000000" w:rsidP="00000000" w:rsidRDefault="00000000" w:rsidRPr="00000000" w14:paraId="00000065">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c22ohpk3e9ct" w:id="19"/>
      <w:bookmarkEnd w:id="19"/>
      <w:r w:rsidDel="00000000" w:rsidR="00000000" w:rsidRPr="00000000">
        <w:rPr>
          <w:rFonts w:ascii="Times New Roman" w:cs="Times New Roman" w:eastAsia="Times New Roman" w:hAnsi="Times New Roman"/>
          <w:b w:val="1"/>
          <w:bCs w:val="1"/>
          <w:color w:val="000000"/>
          <w:sz w:val="26"/>
          <w:szCs w:val="26"/>
          <w:rtl w:val="0"/>
        </w:rPr>
        <w:t xml:space="preserve">A. STANDARD OF REVIEW</w:t>
      </w:r>
    </w:p>
    <w:p w:rsidR="00000000" w:rsidDel="00000000" w:rsidP="00000000" w:rsidRDefault="00000000" w:rsidRPr="00000000" w14:paraId="00000066">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Court reviews a grant of summary judgment de novo. </w:t>
      </w:r>
      <w:r w:rsidDel="00000000" w:rsidR="00000000" w:rsidRPr="00000000">
        <w:rPr>
          <w:rFonts w:ascii="Times New Roman" w:cs="Times New Roman" w:eastAsia="Times New Roman" w:hAnsi="Times New Roman"/>
          <w:i w:val="1"/>
          <w:iCs w:val="1"/>
          <w:sz w:val="24"/>
          <w:szCs w:val="24"/>
          <w:rtl w:val="0"/>
        </w:rPr>
        <w:t xml:space="preserve">Campbell v. Acuff-Rose Music, Inc.</w:t>
      </w:r>
      <w:r w:rsidDel="00000000" w:rsidR="00000000" w:rsidRPr="00000000">
        <w:rPr>
          <w:rFonts w:ascii="Times New Roman" w:cs="Times New Roman" w:eastAsia="Times New Roman" w:hAnsi="Times New Roman"/>
          <w:sz w:val="24"/>
          <w:szCs w:val="24"/>
          <w:rtl w:val="0"/>
        </w:rPr>
        <w:t xml:space="preserve">, 510 U.S. 569, 587 n.15 (1994); </w:t>
      </w:r>
      <w:r w:rsidDel="00000000" w:rsidR="00000000" w:rsidRPr="00000000">
        <w:rPr>
          <w:rFonts w:ascii="Times New Roman" w:cs="Times New Roman" w:eastAsia="Times New Roman" w:hAnsi="Times New Roman"/>
          <w:i w:val="1"/>
          <w:iCs w:val="1"/>
          <w:sz w:val="24"/>
          <w:szCs w:val="24"/>
          <w:rtl w:val="0"/>
        </w:rPr>
        <w:t xml:space="preserve">Authors Guild v. Google, Inc.</w:t>
      </w:r>
      <w:r w:rsidDel="00000000" w:rsidR="00000000" w:rsidRPr="00000000">
        <w:rPr>
          <w:rFonts w:ascii="Times New Roman" w:cs="Times New Roman" w:eastAsia="Times New Roman" w:hAnsi="Times New Roman"/>
          <w:sz w:val="24"/>
          <w:szCs w:val="24"/>
          <w:rtl w:val="0"/>
        </w:rPr>
        <w:t xml:space="preserve">, 804 F.3d 202, 213 (2d Cir. 2015). Fair use is a mixed question of law and fact.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587 n.15. When the material facts are undisputed, fair use may be resolved as a matter of law. </w:t>
      </w:r>
      <w:r w:rsidDel="00000000" w:rsidR="00000000" w:rsidRPr="00000000">
        <w:rPr>
          <w:rFonts w:ascii="Times New Roman" w:cs="Times New Roman" w:eastAsia="Times New Roman" w:hAnsi="Times New Roman"/>
          <w:i w:val="1"/>
          <w:iCs w:val="1"/>
          <w:sz w:val="24"/>
          <w:szCs w:val="24"/>
          <w:rtl w:val="0"/>
        </w:rPr>
        <w:t xml:space="preserve">Santos v. Kimmel</w:t>
      </w:r>
      <w:r w:rsidDel="00000000" w:rsidR="00000000" w:rsidRPr="00000000">
        <w:rPr>
          <w:rFonts w:ascii="Times New Roman" w:cs="Times New Roman" w:eastAsia="Times New Roman" w:hAnsi="Times New Roman"/>
          <w:sz w:val="24"/>
          <w:szCs w:val="24"/>
          <w:rtl w:val="0"/>
        </w:rPr>
        <w:t xml:space="preserve">, 154 F.4th 30, 32 (2d Cir. 2025). Here, the parties stipulated that Riven’s copyright is valid and that the only issue is fair use. R. 2. The underlying facts—what was copied, what was added, the pricing, and the state of Riven’s licensing efforts—are not in genuine dispute.</w:t>
      </w:r>
      <w:r w:rsidDel="00000000" w:rsidR="00000000" w:rsidRPr="00000000">
        <w:rPr>
          <w:rtl w:val="0"/>
        </w:rPr>
      </w:r>
    </w:p>
    <w:p w:rsidR="00000000" w:rsidDel="00000000" w:rsidP="00000000" w:rsidRDefault="00000000" w:rsidRPr="00000000" w14:paraId="00000067">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v1fwu3oky7km" w:id="20"/>
      <w:bookmarkEnd w:id="20"/>
      <w:r w:rsidDel="00000000" w:rsidR="00000000" w:rsidRPr="00000000">
        <w:rPr>
          <w:rFonts w:ascii="Times New Roman" w:cs="Times New Roman" w:eastAsia="Times New Roman" w:hAnsi="Times New Roman"/>
          <w:b w:val="1"/>
          <w:bCs w:val="1"/>
          <w:color w:val="000000"/>
          <w:sz w:val="26"/>
          <w:szCs w:val="26"/>
          <w:rtl w:val="0"/>
        </w:rPr>
        <w:t xml:space="preserve">B. FACTOR ONE: PURPOSE AND CHARACTER OF THE USE</w:t>
      </w:r>
    </w:p>
    <w:p w:rsidR="00000000" w:rsidDel="00000000" w:rsidP="00000000" w:rsidRDefault="00000000" w:rsidRPr="00000000" w14:paraId="00000068">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1 asks “whether the new work merely ‘supersede[s] the objects’ of the original creation, or instead adds something new, with a further purpose or different character.”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579. The more transformative the secondary use, the less significant the other factors.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36.</w:t>
      </w:r>
    </w:p>
    <w:p w:rsidR="00000000" w:rsidDel="00000000" w:rsidP="00000000" w:rsidRDefault="00000000" w:rsidRPr="00000000" w14:paraId="00000069">
      <w:pPr>
        <w:spacing w:after="180" w:before="18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uv8zl8gv62g2" w:id="21"/>
      <w:bookmarkEnd w:id="21"/>
      <w:r w:rsidDel="00000000" w:rsidR="00000000" w:rsidRPr="00000000">
        <w:rPr>
          <w:rFonts w:ascii="Times New Roman" w:cs="Times New Roman" w:eastAsia="Times New Roman" w:hAnsi="Times New Roman"/>
          <w:b w:val="1"/>
          <w:bCs w:val="1"/>
          <w:color w:val="000000"/>
          <w:sz w:val="26"/>
          <w:szCs w:val="26"/>
          <w:rtl w:val="0"/>
        </w:rPr>
        <w:t xml:space="preserve">1. EchoCraft’s Song Targets Riven’s Song for Criticism</w:t>
      </w:r>
    </w:p>
    <w:p w:rsidR="00000000" w:rsidDel="00000000" w:rsidP="00000000" w:rsidRDefault="00000000" w:rsidRPr="00000000" w14:paraId="0000006B">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Riven’s song presents a narrative of Paul Revere’s ride. R. 98. EchoCraft’s song copies that narrative and then questions it. The title adds a question mark—“Revere Paul Revere?”—turning Riven’s command into a question. R. 98–99. Where Riven writes “The British are Coming, the great man bellowed,” EchoCraft responds: “a line the storytellers favor, polished and mellowed.” R. 99. Where Riven states Revere “revealed no secrets,” EchoCraft changes the line to “He revealed some secrets, the man was skittish.”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The song concludes: “The tale often stops with him, though many stood ready. / So the ride we recall is brave, but incomplete.”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Raine, EchoCraft’s lead songwriter, testified that Riven’s original was “all about celebrating Paul Revere, but that’s just totally wrongheaded.” R. 71. The purpose was to show that the original story is “incomplete.” R. 72.</w:t>
      </w:r>
    </w:p>
    <w:p w:rsidR="00000000" w:rsidDel="00000000" w:rsidP="00000000" w:rsidRDefault="00000000" w:rsidRPr="00000000" w14:paraId="0000006D">
      <w:pPr>
        <w:spacing w:after="180" w:before="18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Andy Warhol Foundation for Visual Arts, Inc. v. Goldsmith</w:t>
      </w:r>
      <w:r w:rsidDel="00000000" w:rsidR="00000000" w:rsidRPr="00000000">
        <w:rPr>
          <w:rFonts w:ascii="Times New Roman" w:cs="Times New Roman" w:eastAsia="Times New Roman" w:hAnsi="Times New Roman"/>
          <w:sz w:val="24"/>
          <w:szCs w:val="24"/>
          <w:rtl w:val="0"/>
        </w:rPr>
        <w:t xml:space="preserve">, the Supreme Court found no transformativeness because both works served the same purpose—an illustration for a magazine article about Prince. 598 U.S. 508, 526 (2023). Here, by contrast, EchoCraft’s song serves a different purpose from Riven’s: it uses Riven’s lyrics as a starting point for criticism of Riven’s narrative choices. A reasonable observer would recognize that purpose.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34.</w:t>
      </w:r>
      <w:r w:rsidDel="00000000" w:rsidR="00000000" w:rsidRPr="00000000">
        <w:rPr>
          <w:rtl w:val="0"/>
        </w:rPr>
      </w:r>
    </w:p>
    <w:p w:rsidR="00000000" w:rsidDel="00000000" w:rsidP="00000000" w:rsidRDefault="00000000" w:rsidRPr="00000000" w14:paraId="0000006E">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2skh1xb5xk92" w:id="22"/>
      <w:bookmarkEnd w:id="22"/>
      <w:r w:rsidDel="00000000" w:rsidR="00000000" w:rsidRPr="00000000">
        <w:rPr>
          <w:rFonts w:ascii="Times New Roman" w:cs="Times New Roman" w:eastAsia="Times New Roman" w:hAnsi="Times New Roman"/>
          <w:b w:val="1"/>
          <w:bCs w:val="1"/>
          <w:color w:val="000000"/>
          <w:sz w:val="26"/>
          <w:szCs w:val="26"/>
          <w:rtl w:val="0"/>
        </w:rPr>
        <w:t xml:space="preserve">2. The Reasonable Observer Test</w:t>
      </w:r>
    </w:p>
    <w:p w:rsidR="00000000" w:rsidDel="00000000" w:rsidP="00000000" w:rsidRDefault="00000000" w:rsidRPr="00000000" w14:paraId="0000006F">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Transformativeness turns on what a reasonable observer would perceive, not on the author’s subjective intent.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34; </w:t>
      </w:r>
      <w:r w:rsidDel="00000000" w:rsidR="00000000" w:rsidRPr="00000000">
        <w:rPr>
          <w:rFonts w:ascii="Times New Roman" w:cs="Times New Roman" w:eastAsia="Times New Roman" w:hAnsi="Times New Roman"/>
          <w:i w:val="1"/>
          <w:iCs w:val="1"/>
          <w:sz w:val="24"/>
          <w:szCs w:val="24"/>
          <w:rtl w:val="0"/>
        </w:rPr>
        <w:t xml:space="preserve">Authors Guild</w:t>
      </w:r>
      <w:r w:rsidDel="00000000" w:rsidR="00000000" w:rsidRPr="00000000">
        <w:rPr>
          <w:rFonts w:ascii="Times New Roman" w:cs="Times New Roman" w:eastAsia="Times New Roman" w:hAnsi="Times New Roman"/>
          <w:sz w:val="24"/>
          <w:szCs w:val="24"/>
          <w:rtl w:val="0"/>
        </w:rPr>
        <w:t xml:space="preserve">, 804 F.3d at 216. A reasonable observer comparing the two songs would see: identical opening lines establishing Riven’s narrative, followed immediately by new lines qualifying and questioning that narrative, and a concluding message about incomplete storytelling. This structure signals criticism. See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580.</w:t>
      </w:r>
      <w:r w:rsidDel="00000000" w:rsidR="00000000" w:rsidRPr="00000000">
        <w:rPr>
          <w:rtl w:val="0"/>
        </w:rPr>
      </w:r>
    </w:p>
    <w:p w:rsidR="00000000" w:rsidDel="00000000" w:rsidP="00000000" w:rsidRDefault="00000000" w:rsidRPr="00000000" w14:paraId="00000070">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xjb97rb4a8pz" w:id="23"/>
      <w:bookmarkEnd w:id="23"/>
      <w:r w:rsidDel="00000000" w:rsidR="00000000" w:rsidRPr="00000000">
        <w:rPr>
          <w:rFonts w:ascii="Times New Roman" w:cs="Times New Roman" w:eastAsia="Times New Roman" w:hAnsi="Times New Roman"/>
          <w:b w:val="1"/>
          <w:bCs w:val="1"/>
          <w:color w:val="000000"/>
          <w:sz w:val="26"/>
          <w:szCs w:val="26"/>
          <w:rtl w:val="0"/>
        </w:rPr>
        <w:t xml:space="preserve">3. Nonprofit Educational Distribution</w:t>
      </w:r>
    </w:p>
    <w:p w:rsidR="00000000" w:rsidDel="00000000" w:rsidP="00000000" w:rsidRDefault="00000000" w:rsidRPr="00000000" w14:paraId="00000071">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1 also considers whether the use “is of a commercial nature or is for nonprofit educational purposes.” 17 U.S.C. § 107(1). EchoCraft released the song through its non-profit educational division. R. 72. The song was licensed to schools for $200, which Raine testified was “below the cost to us to produce and distribute it.” R. 77. The division’s goal was to generate “good will,” not revenue. R. 75.</w:t>
      </w:r>
    </w:p>
    <w:p w:rsidR="00000000" w:rsidDel="00000000" w:rsidP="00000000" w:rsidRDefault="00000000" w:rsidRPr="00000000" w14:paraId="00000072">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EchoCraft’s parent company is a for-profit record label, but incidental commercial benefit does not negate transformativeness.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579;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39 (finding fair use despite commercial context). Obtaining “nonmonetary benefits … including advancing its mission and bolstering its reputation” does not render a nonprofit use commercial. </w:t>
      </w:r>
      <w:r w:rsidDel="00000000" w:rsidR="00000000" w:rsidRPr="00000000">
        <w:rPr>
          <w:rFonts w:ascii="Times New Roman" w:cs="Times New Roman" w:eastAsia="Times New Roman" w:hAnsi="Times New Roman"/>
          <w:i w:val="1"/>
          <w:iCs w:val="1"/>
          <w:sz w:val="24"/>
          <w:szCs w:val="24"/>
          <w:rtl w:val="0"/>
        </w:rPr>
        <w:t xml:space="preserve">Hachette Book Grp., Inc. v. Internet Archive</w:t>
      </w:r>
      <w:r w:rsidDel="00000000" w:rsidR="00000000" w:rsidRPr="00000000">
        <w:rPr>
          <w:rFonts w:ascii="Times New Roman" w:cs="Times New Roman" w:eastAsia="Times New Roman" w:hAnsi="Times New Roman"/>
          <w:sz w:val="24"/>
          <w:szCs w:val="24"/>
          <w:rtl w:val="0"/>
        </w:rPr>
        <w:t xml:space="preserve">, 115 F.4th 163, 182 (2d Cir. 2024).</w:t>
      </w:r>
    </w:p>
    <w:p w:rsidR="00000000" w:rsidDel="00000000" w:rsidP="00000000" w:rsidRDefault="00000000" w:rsidRPr="00000000" w14:paraId="00000073">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1 weighs in EchoCraft’s favor.</w:t>
      </w:r>
    </w:p>
    <w:p w:rsidR="00000000" w:rsidDel="00000000" w:rsidP="00000000" w:rsidRDefault="00000000" w:rsidRPr="00000000" w14:paraId="00000074">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9ze00ssirbxi" w:id="24"/>
      <w:bookmarkEnd w:id="24"/>
      <w:r w:rsidDel="00000000" w:rsidR="00000000" w:rsidRPr="00000000">
        <w:rPr>
          <w:rFonts w:ascii="Times New Roman" w:cs="Times New Roman" w:eastAsia="Times New Roman" w:hAnsi="Times New Roman"/>
          <w:b w:val="1"/>
          <w:bCs w:val="1"/>
          <w:color w:val="000000"/>
          <w:sz w:val="26"/>
          <w:szCs w:val="26"/>
          <w:rtl w:val="0"/>
        </w:rPr>
        <w:t xml:space="preserve">C. FACTOR THREE: AMOUNT AND SUBSTANTIALITY OF THE PORTION USED</w:t>
      </w:r>
    </w:p>
    <w:p w:rsidR="00000000" w:rsidDel="00000000" w:rsidP="00000000" w:rsidRDefault="00000000" w:rsidRPr="00000000" w14:paraId="00000075">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3 examines “the amount and substantiality of the portion used in relation to the copyrighted work as a whole.” 17 U.S.C. § 107(3). EchoCraft copied seven of eight lines from Riven’s song, plus 57 of 66 words. This extensive copying would normally weigh against fair use. But when copying is necessary for criticism, as here, Factor 3 poses no barrier to fair use.</w:t>
      </w:r>
    </w:p>
    <w:p w:rsidR="00000000" w:rsidDel="00000000" w:rsidP="00000000" w:rsidRDefault="00000000" w:rsidRPr="00000000" w14:paraId="00000076">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qf37q6grtqxh" w:id="25"/>
      <w:bookmarkEnd w:id="25"/>
      <w:r w:rsidDel="00000000" w:rsidR="00000000" w:rsidRPr="00000000">
        <w:rPr>
          <w:rFonts w:ascii="Times New Roman" w:cs="Times New Roman" w:eastAsia="Times New Roman" w:hAnsi="Times New Roman"/>
          <w:b w:val="1"/>
          <w:bCs w:val="1"/>
          <w:color w:val="000000"/>
          <w:sz w:val="26"/>
          <w:szCs w:val="26"/>
          <w:rtl w:val="0"/>
        </w:rPr>
        <w:t xml:space="preserve">1. The Conjure Up Doctrine</w:t>
      </w:r>
    </w:p>
    <w:p w:rsidR="00000000" w:rsidDel="00000000" w:rsidP="00000000" w:rsidRDefault="00000000" w:rsidRPr="00000000" w14:paraId="00000077">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Criticism requires recognition. “[P]arody must be able to ‘conjure up’ at least enough of [the original] to make the object of its critical wit recognizable.”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580–81. In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2 Live Crew copied the bassline and opening verse of “Pretty Woman”—the most recognizable parts—and the Court held that “copy does not become excessive in relation to parodic purpose merely because the portion taken was the original’s heart.” Id. at 586. EchoCraft could not critique Riven’s narrative without first establishing what that narrative says.</w:t>
      </w:r>
    </w:p>
    <w:p w:rsidR="00000000" w:rsidDel="00000000" w:rsidP="00000000" w:rsidRDefault="00000000" w:rsidRPr="00000000" w14:paraId="00000078">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4ja1q2fqahu4" w:id="26"/>
      <w:bookmarkEnd w:id="26"/>
      <w:r w:rsidDel="00000000" w:rsidR="00000000" w:rsidRPr="00000000">
        <w:rPr>
          <w:rFonts w:ascii="Times New Roman" w:cs="Times New Roman" w:eastAsia="Times New Roman" w:hAnsi="Times New Roman"/>
          <w:b w:val="1"/>
          <w:bCs w:val="1"/>
          <w:color w:val="000000"/>
          <w:sz w:val="26"/>
          <w:szCs w:val="26"/>
          <w:rtl w:val="0"/>
        </w:rPr>
        <w:t xml:space="preserve">2. Much of What Was Copied Consists of Unprotectable Facts</w:t>
      </w:r>
    </w:p>
    <w:p w:rsidR="00000000" w:rsidDel="00000000" w:rsidP="00000000" w:rsidRDefault="00000000" w:rsidRPr="00000000" w14:paraId="00000079">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 are not copyrightable. </w:t>
      </w:r>
      <w:r w:rsidDel="00000000" w:rsidR="00000000" w:rsidRPr="00000000">
        <w:rPr>
          <w:rFonts w:ascii="Times New Roman" w:cs="Times New Roman" w:eastAsia="Times New Roman" w:hAnsi="Times New Roman"/>
          <w:i w:val="1"/>
          <w:iCs w:val="1"/>
          <w:sz w:val="24"/>
          <w:szCs w:val="24"/>
          <w:rtl w:val="0"/>
        </w:rPr>
        <w:t xml:space="preserve">Feist Publications, Inc. v. Rural Telephone Service Co.</w:t>
      </w:r>
      <w:r w:rsidDel="00000000" w:rsidR="00000000" w:rsidRPr="00000000">
        <w:rPr>
          <w:rFonts w:ascii="Times New Roman" w:cs="Times New Roman" w:eastAsia="Times New Roman" w:hAnsi="Times New Roman"/>
          <w:sz w:val="24"/>
          <w:szCs w:val="24"/>
          <w:rtl w:val="0"/>
        </w:rPr>
        <w:t xml:space="preserve">, 499 U.S. 340, 344 (1991). Riven’s song contains substantial factual content: the date April 18, 1775; the “one if by land” signal; the towns of Somerville, Arlington, and Medford; and the phrase “The British are Coming.” These facts belong to history. </w:t>
      </w:r>
      <w:r w:rsidDel="00000000" w:rsidR="00000000" w:rsidRPr="00000000">
        <w:rPr>
          <w:rFonts w:ascii="Times New Roman" w:cs="Times New Roman" w:eastAsia="Times New Roman" w:hAnsi="Times New Roman"/>
          <w:i w:val="1"/>
          <w:iCs w:val="1"/>
          <w:sz w:val="24"/>
          <w:szCs w:val="24"/>
          <w:rtl w:val="0"/>
        </w:rPr>
        <w:t xml:space="preserve">Feist</w:t>
      </w:r>
      <w:r w:rsidDel="00000000" w:rsidR="00000000" w:rsidRPr="00000000">
        <w:rPr>
          <w:rFonts w:ascii="Times New Roman" w:cs="Times New Roman" w:eastAsia="Times New Roman" w:hAnsi="Times New Roman"/>
          <w:sz w:val="24"/>
          <w:szCs w:val="24"/>
          <w:rtl w:val="0"/>
        </w:rPr>
        <w:t xml:space="preserve">, 499 U.S. at 345.</w:t>
      </w:r>
    </w:p>
    <w:p w:rsidR="00000000" w:rsidDel="00000000" w:rsidP="00000000" w:rsidRDefault="00000000" w:rsidRPr="00000000" w14:paraId="0000007A">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a326lmsfgv7e" w:id="27"/>
      <w:bookmarkEnd w:id="27"/>
      <w:r w:rsidDel="00000000" w:rsidR="00000000" w:rsidRPr="00000000">
        <w:rPr>
          <w:rFonts w:ascii="Times New Roman" w:cs="Times New Roman" w:eastAsia="Times New Roman" w:hAnsi="Times New Roman"/>
          <w:b w:val="1"/>
          <w:bCs w:val="1"/>
          <w:color w:val="000000"/>
          <w:sz w:val="26"/>
          <w:szCs w:val="26"/>
          <w:rtl w:val="0"/>
        </w:rPr>
        <w:t xml:space="preserve">3. EchoCraft Added Substantial New Content</w:t>
      </w:r>
    </w:p>
    <w:p w:rsidR="00000000" w:rsidDel="00000000" w:rsidP="00000000" w:rsidRDefault="00000000" w:rsidRPr="00000000" w14:paraId="0000007B">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copying Riven’s lines, EchoCraft added new content constituting 50% of the final song. R. 98–99. The additions include lines questioning Riven’s narrative, correcting historical omissions, and offering an alternative perspective. Id. When the secondary use serves a different purpose, Factor 3 “will rarely prove fatal.”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38 (citing </w:t>
      </w:r>
      <w:r w:rsidDel="00000000" w:rsidR="00000000" w:rsidRPr="00000000">
        <w:rPr>
          <w:rFonts w:ascii="Times New Roman" w:cs="Times New Roman" w:eastAsia="Times New Roman" w:hAnsi="Times New Roman"/>
          <w:i w:val="1"/>
          <w:iCs w:val="1"/>
          <w:sz w:val="24"/>
          <w:szCs w:val="24"/>
          <w:rtl w:val="0"/>
        </w:rPr>
        <w:t xml:space="preserve">Authors Guild</w:t>
      </w:r>
      <w:r w:rsidDel="00000000" w:rsidR="00000000" w:rsidRPr="00000000">
        <w:rPr>
          <w:rFonts w:ascii="Times New Roman" w:cs="Times New Roman" w:eastAsia="Times New Roman" w:hAnsi="Times New Roman"/>
          <w:sz w:val="24"/>
          <w:szCs w:val="24"/>
          <w:rtl w:val="0"/>
        </w:rPr>
        <w:t xml:space="preserve">, 804 F.3d at 223).</w:t>
      </w:r>
    </w:p>
    <w:p w:rsidR="00000000" w:rsidDel="00000000" w:rsidP="00000000" w:rsidRDefault="00000000" w:rsidRPr="00000000" w14:paraId="0000007C">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3 weighs at most slightly against EchoCraft.</w:t>
      </w:r>
    </w:p>
    <w:p w:rsidR="00000000" w:rsidDel="00000000" w:rsidP="00000000" w:rsidRDefault="00000000" w:rsidRPr="00000000" w14:paraId="0000007D">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ythqwylyyk0g" w:id="28"/>
      <w:bookmarkEnd w:id="28"/>
      <w:r w:rsidDel="00000000" w:rsidR="00000000" w:rsidRPr="00000000">
        <w:rPr>
          <w:rFonts w:ascii="Times New Roman" w:cs="Times New Roman" w:eastAsia="Times New Roman" w:hAnsi="Times New Roman"/>
          <w:b w:val="1"/>
          <w:bCs w:val="1"/>
          <w:color w:val="000000"/>
          <w:sz w:val="26"/>
          <w:szCs w:val="26"/>
          <w:rtl w:val="0"/>
        </w:rPr>
        <w:t xml:space="preserve">D. FACTOR FOUR: EFFECT OF THE USE UPON THE POTENTIAL MARKET</w:t>
      </w:r>
    </w:p>
    <w:p w:rsidR="00000000" w:rsidDel="00000000" w:rsidP="00000000" w:rsidRDefault="00000000" w:rsidRPr="00000000" w14:paraId="0000007E">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4 considers “the effect of the use upon the potential market for or value of the copyrighted work.” 17 U.S.C. § 107(4). The question is whether the secondary use “usurps the market for the original by offering a competing substitute.”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38 (quoting </w:t>
      </w:r>
      <w:r w:rsidDel="00000000" w:rsidR="00000000" w:rsidRPr="00000000">
        <w:rPr>
          <w:rFonts w:ascii="Times New Roman" w:cs="Times New Roman" w:eastAsia="Times New Roman" w:hAnsi="Times New Roman"/>
          <w:i w:val="1"/>
          <w:iCs w:val="1"/>
          <w:sz w:val="24"/>
          <w:szCs w:val="24"/>
          <w:rtl w:val="0"/>
        </w:rPr>
        <w:t xml:space="preserve">Hachette</w:t>
      </w:r>
      <w:r w:rsidDel="00000000" w:rsidR="00000000" w:rsidRPr="00000000">
        <w:rPr>
          <w:rFonts w:ascii="Times New Roman" w:cs="Times New Roman" w:eastAsia="Times New Roman" w:hAnsi="Times New Roman"/>
          <w:sz w:val="24"/>
          <w:szCs w:val="24"/>
          <w:rtl w:val="0"/>
        </w:rPr>
        <w:t xml:space="preserve">, 115 F.4th at 181).</w:t>
      </w:r>
      <w:r w:rsidDel="00000000" w:rsidR="00000000" w:rsidRPr="00000000">
        <w:rPr>
          <w:rtl w:val="0"/>
        </w:rPr>
      </w:r>
    </w:p>
    <w:p w:rsidR="00000000" w:rsidDel="00000000" w:rsidP="00000000" w:rsidRDefault="00000000" w:rsidRPr="00000000" w14:paraId="0000007F">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6cyrr8xbbn5x" w:id="29"/>
      <w:bookmarkEnd w:id="29"/>
      <w:r w:rsidDel="00000000" w:rsidR="00000000" w:rsidRPr="00000000">
        <w:rPr>
          <w:rFonts w:ascii="Times New Roman" w:cs="Times New Roman" w:eastAsia="Times New Roman" w:hAnsi="Times New Roman"/>
          <w:b w:val="1"/>
          <w:bCs w:val="1"/>
          <w:color w:val="000000"/>
          <w:sz w:val="26"/>
          <w:szCs w:val="26"/>
          <w:rtl w:val="0"/>
        </w:rPr>
        <w:t xml:space="preserve">1. Riven Had No Established Licensing Market</w:t>
      </w:r>
    </w:p>
    <w:p w:rsidR="00000000" w:rsidDel="00000000" w:rsidP="00000000" w:rsidRDefault="00000000" w:rsidRPr="00000000" w14:paraId="00000080">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Market effect analysis focuses on “traditional, reasonable, or likely-to-be-developed markets.” </w:t>
      </w:r>
      <w:r w:rsidDel="00000000" w:rsidR="00000000" w:rsidRPr="00000000">
        <w:rPr>
          <w:rFonts w:ascii="Times New Roman" w:cs="Times New Roman" w:eastAsia="Times New Roman" w:hAnsi="Times New Roman"/>
          <w:i w:val="1"/>
          <w:iCs w:val="1"/>
          <w:sz w:val="24"/>
          <w:szCs w:val="24"/>
          <w:rtl w:val="0"/>
        </w:rPr>
        <w:t xml:space="preserve">Castle Rock Ent., Inc. v. Carol Publ’g Grp., Inc.</w:t>
      </w:r>
      <w:r w:rsidDel="00000000" w:rsidR="00000000" w:rsidRPr="00000000">
        <w:rPr>
          <w:rFonts w:ascii="Times New Roman" w:cs="Times New Roman" w:eastAsia="Times New Roman" w:hAnsi="Times New Roman"/>
          <w:sz w:val="24"/>
          <w:szCs w:val="24"/>
          <w:rtl w:val="0"/>
        </w:rPr>
        <w:t xml:space="preserve">, 150 F.3d 132, 145 (2d Cir. 1998). Riven received a $500 “preliminary negotiation fee” from Columbia Grammar’s principal, but no contract was ever drafted or signed. R. 85. This preliminary discussion does not establish a market. See </w:t>
      </w:r>
      <w:r w:rsidDel="00000000" w:rsidR="00000000" w:rsidRPr="00000000">
        <w:rPr>
          <w:rFonts w:ascii="Times New Roman" w:cs="Times New Roman" w:eastAsia="Times New Roman" w:hAnsi="Times New Roman"/>
          <w:i w:val="1"/>
          <w:iCs w:val="1"/>
          <w:sz w:val="24"/>
          <w:szCs w:val="24"/>
          <w:rtl w:val="0"/>
        </w:rPr>
        <w:t xml:space="preserve">TCA Television Corp. v. McCollum</w:t>
      </w:r>
      <w:r w:rsidDel="00000000" w:rsidR="00000000" w:rsidRPr="00000000">
        <w:rPr>
          <w:rFonts w:ascii="Times New Roman" w:cs="Times New Roman" w:eastAsia="Times New Roman" w:hAnsi="Times New Roman"/>
          <w:sz w:val="24"/>
          <w:szCs w:val="24"/>
          <w:rtl w:val="0"/>
        </w:rPr>
        <w:t xml:space="preserve">, 839 F.3d 168, 173 (2d Cir. 2016). After these negotiations ended, Riven attempted to market his song to other schools, but “no school was receptive.” R. 31.</w:t>
      </w:r>
    </w:p>
    <w:p w:rsidR="00000000" w:rsidDel="00000000" w:rsidP="00000000" w:rsidRDefault="00000000" w:rsidRPr="00000000" w14:paraId="00000081">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vxf2b4rkm17x" w:id="30"/>
      <w:bookmarkEnd w:id="30"/>
      <w:r w:rsidDel="00000000" w:rsidR="00000000" w:rsidRPr="00000000">
        <w:rPr>
          <w:rFonts w:ascii="Times New Roman" w:cs="Times New Roman" w:eastAsia="Times New Roman" w:hAnsi="Times New Roman"/>
          <w:b w:val="1"/>
          <w:bCs w:val="1"/>
          <w:color w:val="000000"/>
          <w:sz w:val="26"/>
          <w:szCs w:val="26"/>
          <w:rtl w:val="0"/>
        </w:rPr>
        <w:t xml:space="preserve">2. No Licensing Market Exists for Criticism of One’s Own Work</w:t>
      </w:r>
    </w:p>
    <w:p w:rsidR="00000000" w:rsidDel="00000000" w:rsidP="00000000" w:rsidRDefault="00000000" w:rsidRPr="00000000" w14:paraId="00000082">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unlikelihood that creators of imaginative works will license critical reviews or lampoons of their own productions removes such uses from the very notion of a potential licensing market.”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592. The Second Circuit confirmed that “creators do not typically license uses that are critical of or hostile to their own work,” and therefore “criticisms will rarely cause cognizable market harm.”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40. Riven would never have licensed a song that criticizes his own music, thus, EchoCraft’s song could never impede Riven’s potential licensing markets.</w:t>
      </w:r>
    </w:p>
    <w:p w:rsidR="00000000" w:rsidDel="00000000" w:rsidP="00000000" w:rsidRDefault="00000000" w:rsidRPr="00000000" w14:paraId="00000083">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4to1zhkepdyj" w:id="31"/>
      <w:bookmarkEnd w:id="31"/>
      <w:r w:rsidDel="00000000" w:rsidR="00000000" w:rsidRPr="00000000">
        <w:rPr>
          <w:rFonts w:ascii="Times New Roman" w:cs="Times New Roman" w:eastAsia="Times New Roman" w:hAnsi="Times New Roman"/>
          <w:b w:val="1"/>
          <w:bCs w:val="1"/>
          <w:color w:val="000000"/>
          <w:sz w:val="26"/>
          <w:szCs w:val="26"/>
          <w:rtl w:val="0"/>
        </w:rPr>
        <w:t xml:space="preserve">3. Columbia Grammar’s Choice Does Not Show Substitution</w:t>
      </w:r>
    </w:p>
    <w:p w:rsidR="00000000" w:rsidDel="00000000" w:rsidP="00000000" w:rsidRDefault="00000000" w:rsidRPr="00000000" w14:paraId="00000084">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Toobin chose EchoCraft’s song because it would “solicit a critical discussion about Revere’s legacy.” R. 86. Riven’s song aids memorization of historical facts. R. 98. Toobin’s stated reason reflects a preference for a different educational function (critical thinking over rote memorization), not a substitution of the same one. See </w:t>
      </w:r>
      <w:r w:rsidDel="00000000" w:rsidR="00000000" w:rsidRPr="00000000">
        <w:rPr>
          <w:rFonts w:ascii="Times New Roman" w:cs="Times New Roman" w:eastAsia="Times New Roman" w:hAnsi="Times New Roman"/>
          <w:i w:val="1"/>
          <w:iCs w:val="1"/>
          <w:sz w:val="24"/>
          <w:szCs w:val="24"/>
          <w:rtl w:val="0"/>
        </w:rPr>
        <w:t xml:space="preserve">Authors Guild</w:t>
      </w:r>
      <w:r w:rsidDel="00000000" w:rsidR="00000000" w:rsidRPr="00000000">
        <w:rPr>
          <w:rFonts w:ascii="Times New Roman" w:cs="Times New Roman" w:eastAsia="Times New Roman" w:hAnsi="Times New Roman"/>
          <w:sz w:val="24"/>
          <w:szCs w:val="24"/>
          <w:rtl w:val="0"/>
        </w:rPr>
        <w:t xml:space="preserve">, 804 F.3d at 216.</w:t>
      </w:r>
    </w:p>
    <w:p w:rsidR="00000000" w:rsidDel="00000000" w:rsidP="00000000" w:rsidRDefault="00000000" w:rsidRPr="00000000" w14:paraId="00000085">
      <w:pPr>
        <w:spacing w:after="180" w:before="18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Factor 4 weighs in favor of fair use.</w:t>
      </w:r>
      <w:r w:rsidDel="00000000" w:rsidR="00000000" w:rsidRPr="00000000">
        <w:rPr>
          <w:rtl w:val="0"/>
        </w:rPr>
      </w:r>
    </w:p>
    <w:p w:rsidR="00000000" w:rsidDel="00000000" w:rsidP="00000000" w:rsidRDefault="00000000" w:rsidRPr="00000000" w14:paraId="00000086">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4"/>
          <w:szCs w:val="24"/>
        </w:rPr>
      </w:pPr>
      <w:bookmarkStart w:colFirst="0" w:colLast="0" w:name="_n8brx46os2pb" w:id="32"/>
      <w:bookmarkEnd w:id="32"/>
      <w:r w:rsidDel="00000000" w:rsidR="00000000" w:rsidRPr="00000000">
        <w:rPr>
          <w:rFonts w:ascii="Times New Roman" w:cs="Times New Roman" w:eastAsia="Times New Roman" w:hAnsi="Times New Roman"/>
          <w:b w:val="1"/>
          <w:bCs w:val="1"/>
          <w:color w:val="000000"/>
          <w:sz w:val="24"/>
          <w:szCs w:val="24"/>
          <w:rtl w:val="0"/>
        </w:rPr>
        <w:t xml:space="preserve">E. FACTOR TWO: NATURE OF THE COPYRIGHTED WORK</w:t>
      </w:r>
    </w:p>
    <w:p w:rsidR="00000000" w:rsidDel="00000000" w:rsidP="00000000" w:rsidRDefault="00000000" w:rsidRPr="00000000" w14:paraId="00000087">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2 considers “the nature of the copyrighted work.” 17 U.S.C. § 107(2). Riven’s song contains both creative expression and historical facts. The creative elements are protectable, but the historical facts—dates, signals, towns—are not. </w:t>
      </w:r>
      <w:r w:rsidDel="00000000" w:rsidR="00000000" w:rsidRPr="00000000">
        <w:rPr>
          <w:rFonts w:ascii="Times New Roman" w:cs="Times New Roman" w:eastAsia="Times New Roman" w:hAnsi="Times New Roman"/>
          <w:i w:val="1"/>
          <w:iCs w:val="1"/>
          <w:sz w:val="24"/>
          <w:szCs w:val="24"/>
          <w:rtl w:val="0"/>
        </w:rPr>
        <w:t xml:space="preserve">Feist</w:t>
      </w:r>
      <w:r w:rsidDel="00000000" w:rsidR="00000000" w:rsidRPr="00000000">
        <w:rPr>
          <w:rFonts w:ascii="Times New Roman" w:cs="Times New Roman" w:eastAsia="Times New Roman" w:hAnsi="Times New Roman"/>
          <w:sz w:val="24"/>
          <w:szCs w:val="24"/>
          <w:rtl w:val="0"/>
        </w:rPr>
        <w:t xml:space="preserve">, 499 U.S. at 347–48. Factor 2 “has rarely been determinative” in fair use analysis.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586. This factor weighs slightly against EchoCraft.</w:t>
      </w:r>
      <w:r w:rsidDel="00000000" w:rsidR="00000000" w:rsidRPr="00000000">
        <w:rPr>
          <w:rtl w:val="0"/>
        </w:rPr>
      </w:r>
    </w:p>
    <w:p w:rsidR="00000000" w:rsidDel="00000000" w:rsidP="00000000" w:rsidRDefault="00000000" w:rsidRPr="00000000" w14:paraId="00000088">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4"/>
          <w:szCs w:val="24"/>
        </w:rPr>
      </w:pPr>
      <w:bookmarkStart w:colFirst="0" w:colLast="0" w:name="_4klcm0jr56li" w:id="33"/>
      <w:bookmarkEnd w:id="33"/>
      <w:r w:rsidDel="00000000" w:rsidR="00000000" w:rsidRPr="00000000">
        <w:rPr>
          <w:rFonts w:ascii="Times New Roman" w:cs="Times New Roman" w:eastAsia="Times New Roman" w:hAnsi="Times New Roman"/>
          <w:b w:val="1"/>
          <w:bCs w:val="1"/>
          <w:color w:val="000000"/>
          <w:sz w:val="24"/>
          <w:szCs w:val="24"/>
          <w:rtl w:val="0"/>
        </w:rPr>
        <w:t xml:space="preserve">F. HOLISTIC ANALYSIS</w:t>
      </w:r>
    </w:p>
    <w:p w:rsidR="00000000" w:rsidDel="00000000" w:rsidP="00000000" w:rsidRDefault="00000000" w:rsidRPr="00000000" w14:paraId="00000089">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factors, considered together, favor fair use. Factor 1 weighs in EchoCraft’s favor because the song serves a different purpose—criticism of Riven’s narrative choices. Factor 3 weighs at most slightly against EchoCraft because copying was necessary to identify the target of criticism. Factor 4 favors fair use because no licensing market exists for criticism and Riven had no established market for his song. Factor 2 weighs slightly against EchoCraft but carries limited weight. EchoCraft’s criticism of Riven’s lack of nuance is precisely the sort of fair use that 17 U.S.C. § 107 intended to permit. This Court should affirm.</w:t>
      </w:r>
      <w:r w:rsidDel="00000000" w:rsidR="00000000" w:rsidRPr="00000000">
        <w:rPr>
          <w:rtl w:val="0"/>
        </w:rPr>
      </w:r>
    </w:p>
    <w:p w:rsidR="00000000" w:rsidDel="00000000" w:rsidP="00000000" w:rsidRDefault="00000000" w:rsidRPr="00000000" w14:paraId="0000008A">
      <w:pPr>
        <w:spacing w:after="200" w:line="480" w:lineRule="auto"/>
        <w:ind w:left="0" w:firstLine="72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0" w:before="200" w:line="480" w:lineRule="auto"/>
        <w:ind w:left="0" w:firstLine="720"/>
        <w:jc w:val="center"/>
        <w:rPr>
          <w:rFonts w:ascii="Times New Roman" w:cs="Times New Roman" w:eastAsia="Times New Roman" w:hAnsi="Times New Roman"/>
          <w:b w:val="1"/>
          <w:bCs w:val="1"/>
          <w:sz w:val="28"/>
          <w:szCs w:val="28"/>
        </w:rPr>
      </w:pPr>
      <w:bookmarkStart w:colFirst="0" w:colLast="0" w:name="_b399ejuidz9c" w:id="34"/>
      <w:bookmarkEnd w:id="34"/>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8C">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 court correctly granted summary judgment for EchoCraft. EchoCraft’s song “Revere Paul Revere?” is a fair use of Riven’s copyrighted work. The four-factor analysis favors fair use: Factor 1 weighs in EchoCraft’s favor because the song serves a different purpose; Factor 3 poses no barrier because copying was necessary for criticism; Factor 4 favors fair use because no licensing market exists for criticism of one’s own work; and Factor 2 carries limited weight. On undisputed facts, fair use is a matter of law. This Court should affirm.</w:t>
      </w:r>
      <w:r w:rsidDel="00000000" w:rsidR="00000000" w:rsidRPr="00000000">
        <w:rPr>
          <w:rtl w:val="0"/>
        </w:rPr>
      </w:r>
    </w:p>
    <w:p w:rsidR="00000000" w:rsidDel="00000000" w:rsidP="00000000" w:rsidRDefault="00000000" w:rsidRPr="00000000" w14:paraId="0000008D">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 submitted,</w:t>
      </w:r>
    </w:p>
    <w:p w:rsidR="00000000" w:rsidDel="00000000" w:rsidP="00000000" w:rsidRDefault="00000000" w:rsidRPr="00000000" w14:paraId="0000008E">
      <w:pPr>
        <w:spacing w:after="200" w:line="480" w:lineRule="auto"/>
        <w:ind w:left="0" w:firstLine="72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 for EchoCraft Productions</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