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0D193" w14:textId="76023D08" w:rsidR="000A3752" w:rsidRPr="00C60663" w:rsidRDefault="00AA76BF" w:rsidP="00C60663">
      <w:pPr>
        <w:spacing w:line="360" w:lineRule="auto"/>
        <w:jc w:val="both"/>
        <w:rPr>
          <w:rFonts w:asciiTheme="majorBidi" w:hAnsiTheme="majorBidi" w:cstheme="majorBidi"/>
        </w:rPr>
      </w:pPr>
      <w:r w:rsidRPr="00C60663">
        <w:rPr>
          <w:rFonts w:asciiTheme="majorBidi" w:hAnsiTheme="majorBidi" w:cstheme="majorBidi"/>
        </w:rPr>
        <w:t>Introduction:</w:t>
      </w:r>
    </w:p>
    <w:p w14:paraId="1AB16987" w14:textId="77777777" w:rsidR="00AA76BF" w:rsidRPr="00C60663" w:rsidRDefault="00AA76BF" w:rsidP="00C60663">
      <w:pPr>
        <w:spacing w:line="360" w:lineRule="auto"/>
        <w:jc w:val="both"/>
        <w:rPr>
          <w:rFonts w:asciiTheme="majorBidi" w:hAnsiTheme="majorBidi" w:cstheme="majorBidi"/>
        </w:rPr>
      </w:pPr>
      <w:r w:rsidRPr="00C60663">
        <w:rPr>
          <w:rFonts w:asciiTheme="majorBidi" w:hAnsiTheme="majorBidi" w:cstheme="majorBidi"/>
        </w:rPr>
        <w:t>The information provided in this document pertains to a breast cancer dataset sourced from Kaggle. This dataset, comprising breast cancer patients, was derived from the November 2017 update of the SEER Program by the NCI, which offers comprehensive cancer statistics based on population data. It specifically focuses on female patients diagnosed with infiltrating duct and lobular carcinoma breast cancer (SEER primary sites recode NOS histology codes 8522/3) during the years 2006-2010. Patients with unspecified tumor size, unexamined regional lymph nodes, positive regional lymph nodes, and those with a survival duration of less than one month were excluded. Consequently, the dataset ultimately includes 4024 patients.</w:t>
      </w:r>
    </w:p>
    <w:p w14:paraId="232A19F7" w14:textId="77777777" w:rsidR="00AA76BF" w:rsidRPr="00C60663" w:rsidRDefault="00AA76BF" w:rsidP="00C60663">
      <w:pPr>
        <w:spacing w:line="360" w:lineRule="auto"/>
        <w:jc w:val="both"/>
        <w:rPr>
          <w:rFonts w:asciiTheme="majorBidi" w:hAnsiTheme="majorBidi" w:cstheme="majorBidi"/>
        </w:rPr>
      </w:pPr>
    </w:p>
    <w:p w14:paraId="4B14B235" w14:textId="2B5B0804" w:rsidR="00AA76BF" w:rsidRPr="00C60663" w:rsidRDefault="004A794C" w:rsidP="00C60663">
      <w:pPr>
        <w:spacing w:line="360" w:lineRule="auto"/>
        <w:jc w:val="both"/>
        <w:rPr>
          <w:rFonts w:asciiTheme="majorBidi" w:hAnsiTheme="majorBidi" w:cstheme="majorBidi"/>
          <w:color w:val="0D0D0D"/>
          <w:shd w:val="clear" w:color="auto" w:fill="FFFFFF"/>
        </w:rPr>
      </w:pPr>
      <w:r w:rsidRPr="00C60663">
        <w:rPr>
          <w:rFonts w:asciiTheme="majorBidi" w:hAnsiTheme="majorBidi" w:cstheme="majorBidi"/>
          <w:color w:val="0D0D0D"/>
          <w:shd w:val="clear" w:color="auto" w:fill="FFFFFF"/>
        </w:rPr>
        <w:t>The dataset comprises 16 columns, of which I have utilized 12 for this analysis. These include the following variables: age, race, marital status, T stage, N stage, 6th stage, grade, estrogen status, progesterone status, survival month, and status (whether deceased or alive).</w:t>
      </w:r>
    </w:p>
    <w:p w14:paraId="157A8D6C" w14:textId="77777777" w:rsidR="00D323D8" w:rsidRPr="00C60663" w:rsidRDefault="00D323D8" w:rsidP="00C60663">
      <w:pPr>
        <w:spacing w:line="360" w:lineRule="auto"/>
        <w:jc w:val="both"/>
        <w:rPr>
          <w:rFonts w:asciiTheme="majorBidi" w:hAnsiTheme="majorBidi" w:cstheme="majorBidi"/>
          <w:color w:val="0D0D0D"/>
          <w:shd w:val="clear" w:color="auto" w:fill="FFFFFF"/>
        </w:rPr>
      </w:pPr>
    </w:p>
    <w:p w14:paraId="410ED1C7" w14:textId="3F878FCC" w:rsidR="00D323D8" w:rsidRPr="00C60663" w:rsidRDefault="00D323D8" w:rsidP="00C60663">
      <w:pPr>
        <w:spacing w:line="360" w:lineRule="auto"/>
        <w:jc w:val="both"/>
        <w:rPr>
          <w:rFonts w:asciiTheme="majorBidi" w:hAnsiTheme="majorBidi" w:cstheme="majorBidi"/>
          <w:color w:val="1F1F1F"/>
        </w:rPr>
      </w:pPr>
      <w:r w:rsidRPr="00C60663">
        <w:rPr>
          <w:rFonts w:asciiTheme="majorBidi" w:hAnsiTheme="majorBidi" w:cstheme="majorBidi"/>
          <w:color w:val="0D0D0D"/>
          <w:shd w:val="clear" w:color="auto" w:fill="FFFFFF"/>
        </w:rPr>
        <w:t>Plot 1:</w:t>
      </w:r>
      <w:r w:rsidRPr="00C60663">
        <w:rPr>
          <w:rFonts w:asciiTheme="majorBidi" w:hAnsiTheme="majorBidi" w:cstheme="majorBidi"/>
          <w:color w:val="0D0D0D"/>
          <w:shd w:val="clear" w:color="auto" w:fill="FFFFFF"/>
        </w:rPr>
        <w:br/>
      </w:r>
      <w:r w:rsidRPr="00C60663">
        <w:rPr>
          <w:rFonts w:asciiTheme="majorBidi" w:hAnsiTheme="majorBidi" w:cstheme="majorBidi"/>
          <w:color w:val="0D0D0D"/>
          <w:shd w:val="clear" w:color="auto" w:fill="FFFFFF"/>
        </w:rPr>
        <w:br/>
      </w:r>
      <w:r w:rsidRPr="00C60663">
        <w:rPr>
          <w:rFonts w:asciiTheme="majorBidi" w:hAnsiTheme="majorBidi" w:cstheme="majorBidi"/>
          <w:color w:val="1F1F1F"/>
          <w:shd w:val="clear" w:color="auto" w:fill="FFFFFF"/>
        </w:rPr>
        <w:t xml:space="preserve">the figure </w:t>
      </w:r>
      <w:r w:rsidRPr="00C60663">
        <w:rPr>
          <w:rFonts w:asciiTheme="majorBidi" w:hAnsiTheme="majorBidi" w:cstheme="majorBidi"/>
          <w:color w:val="1F1F1F"/>
          <w:shd w:val="clear" w:color="auto" w:fill="FFFFFF"/>
        </w:rPr>
        <w:t>“</w:t>
      </w:r>
      <w:r w:rsidRPr="00C60663">
        <w:rPr>
          <w:rFonts w:asciiTheme="majorBidi" w:hAnsiTheme="majorBidi" w:cstheme="majorBidi"/>
          <w:color w:val="1F1F1F"/>
          <w:shd w:val="clear" w:color="auto" w:fill="FFFFFF"/>
        </w:rPr>
        <w:t>age_cat.png</w:t>
      </w:r>
      <w:r w:rsidRPr="00C60663">
        <w:rPr>
          <w:rFonts w:asciiTheme="majorBidi" w:hAnsiTheme="majorBidi" w:cstheme="majorBidi"/>
          <w:color w:val="1F1F1F"/>
          <w:shd w:val="clear" w:color="auto" w:fill="FFFFFF"/>
        </w:rPr>
        <w:t xml:space="preserve">” </w:t>
      </w:r>
      <w:r w:rsidRPr="00C60663">
        <w:rPr>
          <w:rFonts w:asciiTheme="majorBidi" w:hAnsiTheme="majorBidi" w:cstheme="majorBidi"/>
          <w:color w:val="1F1F1F"/>
          <w:shd w:val="clear" w:color="auto" w:fill="FFFFFF"/>
        </w:rPr>
        <w:t xml:space="preserve">is a bar graph that shows the distribution of patients across age categories in </w:t>
      </w:r>
      <w:r w:rsidRPr="00C60663">
        <w:rPr>
          <w:rFonts w:asciiTheme="majorBidi" w:hAnsiTheme="majorBidi" w:cstheme="majorBidi"/>
          <w:color w:val="1F1F1F"/>
          <w:shd w:val="clear" w:color="auto" w:fill="FFFFFF"/>
        </w:rPr>
        <w:t>the</w:t>
      </w:r>
      <w:r w:rsidRPr="00C60663">
        <w:rPr>
          <w:rFonts w:asciiTheme="majorBidi" w:hAnsiTheme="majorBidi" w:cstheme="majorBidi"/>
          <w:color w:val="1F1F1F"/>
          <w:shd w:val="clear" w:color="auto" w:fill="FFFFFF"/>
        </w:rPr>
        <w:t xml:space="preserve"> dataset. The x-axis represents the age categories, while the y-axis represents the number of patients.</w:t>
      </w:r>
      <w:r w:rsidRPr="00C60663">
        <w:rPr>
          <w:rFonts w:asciiTheme="majorBidi" w:hAnsiTheme="majorBidi" w:cstheme="majorBidi"/>
          <w:color w:val="1F1F1F"/>
          <w:shd w:val="clear" w:color="auto" w:fill="FFFFFF"/>
        </w:rPr>
        <w:t xml:space="preserve"> The a</w:t>
      </w:r>
      <w:r w:rsidRPr="00D323D8">
        <w:rPr>
          <w:rFonts w:asciiTheme="majorBidi" w:hAnsiTheme="majorBidi" w:cstheme="majorBidi"/>
          <w:color w:val="1F1F1F"/>
        </w:rPr>
        <w:t>ge categories are grouped into ranges (e.g., 0-10, 11-20, etc.).</w:t>
      </w:r>
    </w:p>
    <w:p w14:paraId="41ADC18E" w14:textId="77777777" w:rsidR="00D323D8" w:rsidRPr="00C60663" w:rsidRDefault="00D323D8" w:rsidP="00C60663">
      <w:pPr>
        <w:spacing w:line="360" w:lineRule="auto"/>
        <w:jc w:val="both"/>
        <w:rPr>
          <w:rFonts w:asciiTheme="majorBidi" w:hAnsiTheme="majorBidi" w:cstheme="majorBidi"/>
          <w:color w:val="1F1F1F"/>
        </w:rPr>
      </w:pPr>
    </w:p>
    <w:p w14:paraId="23227241" w14:textId="09D39BA1" w:rsidR="00D323D8" w:rsidRPr="00C60663" w:rsidRDefault="00D323D8" w:rsidP="00C60663">
      <w:pPr>
        <w:spacing w:line="360" w:lineRule="auto"/>
        <w:jc w:val="both"/>
        <w:rPr>
          <w:rFonts w:asciiTheme="majorBidi" w:hAnsiTheme="majorBidi" w:cstheme="majorBidi"/>
          <w:color w:val="1F1F1F"/>
        </w:rPr>
      </w:pPr>
      <w:r w:rsidRPr="00C60663">
        <w:rPr>
          <w:rFonts w:asciiTheme="majorBidi" w:hAnsiTheme="majorBidi" w:cstheme="majorBidi"/>
          <w:color w:val="1F1F1F"/>
        </w:rPr>
        <w:t>What the plot shows;</w:t>
      </w:r>
    </w:p>
    <w:p w14:paraId="2F754030" w14:textId="77777777" w:rsidR="00D323D8" w:rsidRPr="00D323D8" w:rsidRDefault="00D323D8" w:rsidP="00C60663">
      <w:pPr>
        <w:numPr>
          <w:ilvl w:val="0"/>
          <w:numId w:val="2"/>
        </w:numPr>
        <w:shd w:val="clear" w:color="auto" w:fill="FFFFFF"/>
        <w:spacing w:before="100" w:beforeAutospacing="1" w:line="360" w:lineRule="auto"/>
        <w:jc w:val="both"/>
        <w:rPr>
          <w:rFonts w:asciiTheme="majorBidi" w:hAnsiTheme="majorBidi" w:cstheme="majorBidi"/>
          <w:color w:val="1F1F1F"/>
        </w:rPr>
      </w:pPr>
      <w:r w:rsidRPr="00D323D8">
        <w:rPr>
          <w:rFonts w:asciiTheme="majorBidi" w:hAnsiTheme="majorBidi" w:cstheme="majorBidi"/>
          <w:color w:val="1F1F1F"/>
        </w:rPr>
        <w:t>The highest number of patients falls within the 51-60 age category.</w:t>
      </w:r>
    </w:p>
    <w:p w14:paraId="402C425C" w14:textId="77777777" w:rsidR="00D323D8" w:rsidRPr="00D323D8" w:rsidRDefault="00D323D8" w:rsidP="00C60663">
      <w:pPr>
        <w:numPr>
          <w:ilvl w:val="0"/>
          <w:numId w:val="2"/>
        </w:numPr>
        <w:shd w:val="clear" w:color="auto" w:fill="FFFFFF"/>
        <w:spacing w:before="100" w:beforeAutospacing="1" w:line="360" w:lineRule="auto"/>
        <w:jc w:val="both"/>
        <w:rPr>
          <w:rFonts w:asciiTheme="majorBidi" w:hAnsiTheme="majorBidi" w:cstheme="majorBidi"/>
          <w:color w:val="1F1F1F"/>
        </w:rPr>
      </w:pPr>
      <w:r w:rsidRPr="00D323D8">
        <w:rPr>
          <w:rFonts w:asciiTheme="majorBidi" w:hAnsiTheme="majorBidi" w:cstheme="majorBidi"/>
          <w:color w:val="1F1F1F"/>
        </w:rPr>
        <w:t>The number of patients generally appears to increase until the 51-60 age range, then decrease in subsequent age groups.</w:t>
      </w:r>
    </w:p>
    <w:p w14:paraId="366CD9A2" w14:textId="77777777" w:rsidR="00D323D8" w:rsidRPr="00D323D8" w:rsidRDefault="00D323D8" w:rsidP="00C60663">
      <w:pPr>
        <w:spacing w:line="360" w:lineRule="auto"/>
        <w:jc w:val="both"/>
        <w:rPr>
          <w:rFonts w:asciiTheme="majorBidi" w:hAnsiTheme="majorBidi" w:cstheme="majorBidi"/>
        </w:rPr>
      </w:pPr>
    </w:p>
    <w:p w14:paraId="60722056" w14:textId="77777777" w:rsidR="00D323D8" w:rsidRPr="00D323D8" w:rsidRDefault="00D323D8" w:rsidP="00C60663">
      <w:pPr>
        <w:spacing w:line="360" w:lineRule="auto"/>
        <w:jc w:val="both"/>
        <w:rPr>
          <w:rFonts w:asciiTheme="majorBidi" w:eastAsiaTheme="minorHAnsi" w:hAnsiTheme="majorBidi" w:cstheme="majorBidi"/>
          <w:color w:val="1F1F1F"/>
          <w:kern w:val="2"/>
          <w:shd w:val="clear" w:color="auto" w:fill="FFFFFF"/>
          <w:lang w:val="en-US"/>
          <w14:ligatures w14:val="standardContextual"/>
        </w:rPr>
      </w:pPr>
    </w:p>
    <w:p w14:paraId="54C53A4D" w14:textId="7E4830CD" w:rsidR="00D323D8" w:rsidRPr="00C60663" w:rsidRDefault="009E137C" w:rsidP="00C60663">
      <w:pPr>
        <w:spacing w:line="360" w:lineRule="auto"/>
        <w:jc w:val="both"/>
        <w:rPr>
          <w:rFonts w:asciiTheme="majorBidi" w:hAnsiTheme="majorBidi" w:cstheme="majorBidi"/>
          <w:color w:val="0D0D0D"/>
          <w:shd w:val="clear" w:color="auto" w:fill="FFFFFF"/>
        </w:rPr>
      </w:pPr>
      <w:r w:rsidRPr="00C60663">
        <w:rPr>
          <w:rFonts w:asciiTheme="majorBidi" w:hAnsiTheme="majorBidi" w:cstheme="majorBidi"/>
          <w:color w:val="0D0D0D"/>
          <w:shd w:val="clear" w:color="auto" w:fill="FFFFFF"/>
        </w:rPr>
        <w:t>Plot 2:</w:t>
      </w:r>
    </w:p>
    <w:p w14:paraId="366E2983" w14:textId="77777777" w:rsidR="009E137C" w:rsidRPr="00C60663" w:rsidRDefault="009E137C" w:rsidP="00C60663">
      <w:pPr>
        <w:spacing w:line="360" w:lineRule="auto"/>
        <w:jc w:val="both"/>
        <w:rPr>
          <w:rFonts w:asciiTheme="majorBidi" w:hAnsiTheme="majorBidi" w:cstheme="majorBidi"/>
          <w:color w:val="0D0D0D"/>
          <w:shd w:val="clear" w:color="auto" w:fill="FFFFFF"/>
        </w:rPr>
      </w:pPr>
    </w:p>
    <w:p w14:paraId="70EF021F" w14:textId="76B3DC38" w:rsidR="009E137C" w:rsidRPr="00C60663" w:rsidRDefault="00864AEE" w:rsidP="00C60663">
      <w:pPr>
        <w:spacing w:line="360" w:lineRule="auto"/>
        <w:jc w:val="both"/>
        <w:rPr>
          <w:rFonts w:asciiTheme="majorBidi" w:hAnsiTheme="majorBidi" w:cstheme="majorBidi"/>
          <w:color w:val="1F1F1F"/>
          <w:shd w:val="clear" w:color="auto" w:fill="FFFFFF"/>
        </w:rPr>
      </w:pPr>
      <w:r w:rsidRPr="00C60663">
        <w:rPr>
          <w:rFonts w:asciiTheme="majorBidi" w:hAnsiTheme="majorBidi" w:cstheme="majorBidi"/>
          <w:color w:val="1F1F1F"/>
          <w:shd w:val="clear" w:color="auto" w:fill="FFFFFF"/>
        </w:rPr>
        <w:t>This boxplot</w:t>
      </w:r>
      <w:r w:rsidRPr="00C60663">
        <w:rPr>
          <w:rFonts w:asciiTheme="majorBidi" w:hAnsiTheme="majorBidi" w:cstheme="majorBidi"/>
          <w:color w:val="1F1F1F"/>
          <w:shd w:val="clear" w:color="auto" w:fill="FFFFFF"/>
        </w:rPr>
        <w:t xml:space="preserve"> (</w:t>
      </w:r>
      <w:r w:rsidR="00E967D3" w:rsidRPr="00C60663">
        <w:rPr>
          <w:rFonts w:asciiTheme="majorBidi" w:hAnsiTheme="majorBidi" w:cstheme="majorBidi"/>
          <w:color w:val="1F1F1F"/>
          <w:shd w:val="clear" w:color="auto" w:fill="FFFFFF"/>
        </w:rPr>
        <w:t>age_</w:t>
      </w:r>
      <w:r w:rsidRPr="00C60663">
        <w:rPr>
          <w:rFonts w:asciiTheme="majorBidi" w:hAnsiTheme="majorBidi" w:cstheme="majorBidi"/>
          <w:color w:val="1F1F1F"/>
          <w:shd w:val="clear" w:color="auto" w:fill="FFFFFF"/>
        </w:rPr>
        <w:t>race.png)</w:t>
      </w:r>
      <w:r w:rsidRPr="00C60663">
        <w:rPr>
          <w:rFonts w:asciiTheme="majorBidi" w:hAnsiTheme="majorBidi" w:cstheme="majorBidi"/>
          <w:color w:val="1F1F1F"/>
          <w:shd w:val="clear" w:color="auto" w:fill="FFFFFF"/>
        </w:rPr>
        <w:t xml:space="preserve"> visualizes the distribution of ages at breast cancer diagnosis across different racial groups</w:t>
      </w:r>
      <w:r w:rsidRPr="00C60663">
        <w:rPr>
          <w:rFonts w:asciiTheme="majorBidi" w:hAnsiTheme="majorBidi" w:cstheme="majorBidi"/>
          <w:color w:val="1F1F1F"/>
          <w:shd w:val="clear" w:color="auto" w:fill="FFFFFF"/>
        </w:rPr>
        <w:t xml:space="preserve"> (White, Black, and Others)</w:t>
      </w:r>
      <w:r w:rsidRPr="00C60663">
        <w:rPr>
          <w:rFonts w:asciiTheme="majorBidi" w:hAnsiTheme="majorBidi" w:cstheme="majorBidi"/>
          <w:color w:val="1F1F1F"/>
          <w:shd w:val="clear" w:color="auto" w:fill="FFFFFF"/>
        </w:rPr>
        <w:t xml:space="preserve">. The horizontal lines within each box represent </w:t>
      </w:r>
      <w:r w:rsidRPr="00C60663">
        <w:rPr>
          <w:rFonts w:asciiTheme="majorBidi" w:hAnsiTheme="majorBidi" w:cstheme="majorBidi"/>
          <w:color w:val="1F1F1F"/>
          <w:shd w:val="clear" w:color="auto" w:fill="FFFFFF"/>
        </w:rPr>
        <w:lastRenderedPageBreak/>
        <w:t>the median age (the middle value in the data). The boxes encompass the middle 50% of the data, and the whiskers extend to show the rest of the data points (excluding outliers).</w:t>
      </w:r>
    </w:p>
    <w:p w14:paraId="2C1F7E24" w14:textId="77777777" w:rsidR="00864AEE" w:rsidRPr="00C60663" w:rsidRDefault="00864AEE" w:rsidP="00C60663">
      <w:pPr>
        <w:spacing w:line="360" w:lineRule="auto"/>
        <w:jc w:val="both"/>
        <w:rPr>
          <w:rFonts w:asciiTheme="majorBidi" w:hAnsiTheme="majorBidi" w:cstheme="majorBidi"/>
          <w:color w:val="1F1F1F"/>
          <w:shd w:val="clear" w:color="auto" w:fill="FFFFFF"/>
        </w:rPr>
      </w:pPr>
    </w:p>
    <w:p w14:paraId="0202ED66" w14:textId="0844D3B4" w:rsidR="00CA76CA" w:rsidRPr="00CA76CA" w:rsidRDefault="00CA76CA" w:rsidP="00C60663">
      <w:pPr>
        <w:numPr>
          <w:ilvl w:val="0"/>
          <w:numId w:val="3"/>
        </w:numPr>
        <w:shd w:val="clear" w:color="auto" w:fill="FFFFFF"/>
        <w:spacing w:before="100" w:beforeAutospacing="1" w:line="360" w:lineRule="auto"/>
        <w:jc w:val="both"/>
        <w:rPr>
          <w:rFonts w:asciiTheme="majorBidi" w:hAnsiTheme="majorBidi" w:cstheme="majorBidi"/>
          <w:color w:val="1F1F1F"/>
        </w:rPr>
      </w:pPr>
      <w:r w:rsidRPr="00CA76CA">
        <w:rPr>
          <w:rFonts w:asciiTheme="majorBidi" w:hAnsiTheme="majorBidi" w:cstheme="majorBidi"/>
          <w:color w:val="1F1F1F"/>
        </w:rPr>
        <w:t>The boxplot appears to show that Black patients might tend to be diagnosed with breast cancer at younger ages compared to White patients. The median</w:t>
      </w:r>
      <w:r w:rsidRPr="00C60663">
        <w:rPr>
          <w:rFonts w:asciiTheme="majorBidi" w:hAnsiTheme="majorBidi" w:cstheme="majorBidi"/>
          <w:color w:val="1F1F1F"/>
        </w:rPr>
        <w:t xml:space="preserve"> </w:t>
      </w:r>
      <w:r w:rsidRPr="00CA76CA">
        <w:rPr>
          <w:rFonts w:asciiTheme="majorBidi" w:hAnsiTheme="majorBidi" w:cstheme="majorBidi"/>
          <w:color w:val="1F1F1F"/>
        </w:rPr>
        <w:t>in the "Black" boxplot seems to be lower than the median in the "White" boxplot.</w:t>
      </w:r>
    </w:p>
    <w:p w14:paraId="455A251E" w14:textId="77777777" w:rsidR="00CA76CA" w:rsidRPr="00CA76CA" w:rsidRDefault="00CA76CA" w:rsidP="00C60663">
      <w:pPr>
        <w:numPr>
          <w:ilvl w:val="0"/>
          <w:numId w:val="3"/>
        </w:numPr>
        <w:shd w:val="clear" w:color="auto" w:fill="FFFFFF"/>
        <w:spacing w:before="100" w:beforeAutospacing="1" w:line="360" w:lineRule="auto"/>
        <w:jc w:val="both"/>
        <w:rPr>
          <w:rFonts w:asciiTheme="majorBidi" w:hAnsiTheme="majorBidi" w:cstheme="majorBidi"/>
          <w:color w:val="1F1F1F"/>
        </w:rPr>
      </w:pPr>
      <w:r w:rsidRPr="00CA76CA">
        <w:rPr>
          <w:rFonts w:asciiTheme="majorBidi" w:hAnsiTheme="majorBidi" w:cstheme="majorBidi"/>
          <w:color w:val="1F1F1F"/>
        </w:rPr>
        <w:t>The spread of ages within each racial group also seems to be different. The box for "Black" patients appears to be taller, suggesting a larger range of ages at diagnosis.</w:t>
      </w:r>
    </w:p>
    <w:p w14:paraId="0ABC3474" w14:textId="77777777" w:rsidR="00864AEE" w:rsidRPr="00C60663" w:rsidRDefault="00864AEE" w:rsidP="00C60663">
      <w:pPr>
        <w:spacing w:line="360" w:lineRule="auto"/>
        <w:jc w:val="both"/>
        <w:rPr>
          <w:rFonts w:asciiTheme="majorBidi" w:hAnsiTheme="majorBidi" w:cstheme="majorBidi"/>
          <w:color w:val="0D0D0D"/>
          <w:shd w:val="clear" w:color="auto" w:fill="FFFFFF"/>
        </w:rPr>
      </w:pPr>
    </w:p>
    <w:p w14:paraId="221D7F79" w14:textId="77777777" w:rsidR="00CA76CA" w:rsidRPr="00CA76CA" w:rsidRDefault="00CA76CA" w:rsidP="00C60663">
      <w:pPr>
        <w:shd w:val="clear" w:color="auto" w:fill="FFFFFF"/>
        <w:spacing w:before="100" w:beforeAutospacing="1" w:after="100" w:afterAutospacing="1" w:line="360" w:lineRule="auto"/>
        <w:jc w:val="both"/>
        <w:rPr>
          <w:rFonts w:asciiTheme="majorBidi" w:hAnsiTheme="majorBidi" w:cstheme="majorBidi"/>
          <w:color w:val="1F1F1F"/>
        </w:rPr>
      </w:pPr>
      <w:r w:rsidRPr="00CA76CA">
        <w:rPr>
          <w:rFonts w:asciiTheme="majorBidi" w:hAnsiTheme="majorBidi" w:cstheme="majorBidi"/>
          <w:b/>
          <w:bCs/>
          <w:color w:val="1F1F1F"/>
        </w:rPr>
        <w:t>T-test Results:</w:t>
      </w:r>
    </w:p>
    <w:p w14:paraId="60AFF848" w14:textId="77777777" w:rsidR="00CA76CA" w:rsidRPr="00CA76CA" w:rsidRDefault="00CA76CA" w:rsidP="00C60663">
      <w:pPr>
        <w:numPr>
          <w:ilvl w:val="0"/>
          <w:numId w:val="4"/>
        </w:numPr>
        <w:shd w:val="clear" w:color="auto" w:fill="FFFFFF"/>
        <w:spacing w:before="100" w:beforeAutospacing="1" w:line="360" w:lineRule="auto"/>
        <w:jc w:val="both"/>
        <w:rPr>
          <w:rFonts w:asciiTheme="majorBidi" w:hAnsiTheme="majorBidi" w:cstheme="majorBidi"/>
          <w:color w:val="1F1F1F"/>
        </w:rPr>
      </w:pPr>
      <w:r w:rsidRPr="00CA76CA">
        <w:rPr>
          <w:rFonts w:asciiTheme="majorBidi" w:hAnsiTheme="majorBidi" w:cstheme="majorBidi"/>
          <w:color w:val="1F1F1F"/>
        </w:rPr>
        <w:t xml:space="preserve">The p-value between </w:t>
      </w:r>
      <w:r w:rsidRPr="00CA76CA">
        <w:rPr>
          <w:rFonts w:asciiTheme="majorBidi" w:hAnsiTheme="majorBidi" w:cstheme="majorBidi"/>
          <w:b/>
          <w:bCs/>
          <w:color w:val="1F1F1F"/>
        </w:rPr>
        <w:t>White vs. Black</w:t>
      </w:r>
      <w:r w:rsidRPr="00CA76CA">
        <w:rPr>
          <w:rFonts w:asciiTheme="majorBidi" w:hAnsiTheme="majorBidi" w:cstheme="majorBidi"/>
          <w:color w:val="1F1F1F"/>
        </w:rPr>
        <w:t xml:space="preserve"> (0.0012555792765483553) is statistically </w:t>
      </w:r>
      <w:r w:rsidRPr="00CA76CA">
        <w:rPr>
          <w:rFonts w:asciiTheme="majorBidi" w:hAnsiTheme="majorBidi" w:cstheme="majorBidi"/>
          <w:b/>
          <w:bCs/>
          <w:color w:val="1F1F1F"/>
        </w:rPr>
        <w:t>significant</w:t>
      </w:r>
      <w:r w:rsidRPr="00CA76CA">
        <w:rPr>
          <w:rFonts w:asciiTheme="majorBidi" w:hAnsiTheme="majorBidi" w:cstheme="majorBidi"/>
          <w:color w:val="1F1F1F"/>
        </w:rPr>
        <w:t>, indicating that there's likely a real difference in the age distribution of breast cancer diagnosis between White and Black patients in this dataset.</w:t>
      </w:r>
    </w:p>
    <w:p w14:paraId="59D4CC41" w14:textId="77777777" w:rsidR="00CA76CA" w:rsidRPr="00CA76CA" w:rsidRDefault="00CA76CA" w:rsidP="00C60663">
      <w:pPr>
        <w:numPr>
          <w:ilvl w:val="0"/>
          <w:numId w:val="4"/>
        </w:numPr>
        <w:shd w:val="clear" w:color="auto" w:fill="FFFFFF"/>
        <w:spacing w:before="100" w:beforeAutospacing="1" w:line="360" w:lineRule="auto"/>
        <w:jc w:val="both"/>
        <w:rPr>
          <w:rFonts w:asciiTheme="majorBidi" w:hAnsiTheme="majorBidi" w:cstheme="majorBidi"/>
          <w:color w:val="1F1F1F"/>
        </w:rPr>
      </w:pPr>
      <w:r w:rsidRPr="00CA76CA">
        <w:rPr>
          <w:rFonts w:asciiTheme="majorBidi" w:hAnsiTheme="majorBidi" w:cstheme="majorBidi"/>
          <w:color w:val="1F1F1F"/>
        </w:rPr>
        <w:t xml:space="preserve">The p-value between </w:t>
      </w:r>
      <w:r w:rsidRPr="00CA76CA">
        <w:rPr>
          <w:rFonts w:asciiTheme="majorBidi" w:hAnsiTheme="majorBidi" w:cstheme="majorBidi"/>
          <w:color w:val="FF0000"/>
        </w:rPr>
        <w:t xml:space="preserve">White vs. Other </w:t>
      </w:r>
      <w:r w:rsidRPr="00CA76CA">
        <w:rPr>
          <w:rFonts w:asciiTheme="majorBidi" w:hAnsiTheme="majorBidi" w:cstheme="majorBidi"/>
          <w:color w:val="1F1F1F"/>
        </w:rPr>
        <w:t xml:space="preserve">(2.8678317568481284e-08) is also </w:t>
      </w:r>
      <w:r w:rsidRPr="00CA76CA">
        <w:rPr>
          <w:rFonts w:asciiTheme="majorBidi" w:hAnsiTheme="majorBidi" w:cstheme="majorBidi"/>
          <w:color w:val="FF0000"/>
        </w:rPr>
        <w:t>highly statistically significant</w:t>
      </w:r>
      <w:r w:rsidRPr="00CA76CA">
        <w:rPr>
          <w:rFonts w:asciiTheme="majorBidi" w:hAnsiTheme="majorBidi" w:cstheme="majorBidi"/>
          <w:color w:val="1F1F1F"/>
        </w:rPr>
        <w:t>, suggesting a difference between White and Other races as well.</w:t>
      </w:r>
    </w:p>
    <w:p w14:paraId="53ACBB3E" w14:textId="77777777" w:rsidR="00CA76CA" w:rsidRPr="00CA76CA" w:rsidRDefault="00CA76CA" w:rsidP="00C60663">
      <w:pPr>
        <w:numPr>
          <w:ilvl w:val="0"/>
          <w:numId w:val="4"/>
        </w:numPr>
        <w:shd w:val="clear" w:color="auto" w:fill="FFFFFF"/>
        <w:spacing w:before="100" w:beforeAutospacing="1" w:line="360" w:lineRule="auto"/>
        <w:jc w:val="both"/>
        <w:rPr>
          <w:rFonts w:asciiTheme="majorBidi" w:hAnsiTheme="majorBidi" w:cstheme="majorBidi"/>
          <w:color w:val="1F1F1F"/>
        </w:rPr>
      </w:pPr>
      <w:r w:rsidRPr="00CA76CA">
        <w:rPr>
          <w:rFonts w:asciiTheme="majorBidi" w:hAnsiTheme="majorBidi" w:cstheme="majorBidi"/>
          <w:color w:val="1F1F1F"/>
        </w:rPr>
        <w:t xml:space="preserve">The p-value between </w:t>
      </w:r>
      <w:r w:rsidRPr="00CA76CA">
        <w:rPr>
          <w:rFonts w:asciiTheme="majorBidi" w:hAnsiTheme="majorBidi" w:cstheme="majorBidi"/>
          <w:color w:val="00B050"/>
        </w:rPr>
        <w:t xml:space="preserve">Black vs. Other </w:t>
      </w:r>
      <w:r w:rsidRPr="00CA76CA">
        <w:rPr>
          <w:rFonts w:asciiTheme="majorBidi" w:hAnsiTheme="majorBidi" w:cstheme="majorBidi"/>
          <w:color w:val="1F1F1F"/>
        </w:rPr>
        <w:t xml:space="preserve">(0.12798007526770538) is </w:t>
      </w:r>
      <w:r w:rsidRPr="00CA76CA">
        <w:rPr>
          <w:rFonts w:asciiTheme="majorBidi" w:hAnsiTheme="majorBidi" w:cstheme="majorBidi"/>
          <w:color w:val="00B050"/>
        </w:rPr>
        <w:t>not statistically significant</w:t>
      </w:r>
      <w:r w:rsidRPr="00CA76CA">
        <w:rPr>
          <w:rFonts w:asciiTheme="majorBidi" w:hAnsiTheme="majorBidi" w:cstheme="majorBidi"/>
          <w:color w:val="1F1F1F"/>
        </w:rPr>
        <w:t>, meaning the evidence is not strong enough to say there's a clear difference in age distribution between Black and Other races in this dataset.</w:t>
      </w:r>
    </w:p>
    <w:p w14:paraId="15B1372E" w14:textId="77777777" w:rsidR="00CA76CA" w:rsidRPr="00C60663" w:rsidRDefault="00CA76CA" w:rsidP="00C60663">
      <w:pPr>
        <w:spacing w:line="360" w:lineRule="auto"/>
        <w:jc w:val="both"/>
        <w:rPr>
          <w:rFonts w:asciiTheme="majorBidi" w:hAnsiTheme="majorBidi" w:cstheme="majorBidi"/>
          <w:color w:val="0D0D0D"/>
          <w:shd w:val="clear" w:color="auto" w:fill="FFFFFF"/>
        </w:rPr>
      </w:pPr>
    </w:p>
    <w:p w14:paraId="371E0DCA" w14:textId="77777777" w:rsidR="004A794C" w:rsidRPr="00C60663" w:rsidRDefault="004A794C" w:rsidP="00C60663">
      <w:pPr>
        <w:spacing w:line="360" w:lineRule="auto"/>
        <w:jc w:val="both"/>
        <w:rPr>
          <w:rFonts w:asciiTheme="majorBidi" w:hAnsiTheme="majorBidi" w:cstheme="majorBidi"/>
        </w:rPr>
      </w:pPr>
    </w:p>
    <w:p w14:paraId="1244360E" w14:textId="77777777" w:rsidR="00AA76BF" w:rsidRPr="00C60663" w:rsidRDefault="00AA76BF" w:rsidP="00C60663">
      <w:pPr>
        <w:spacing w:line="360" w:lineRule="auto"/>
        <w:jc w:val="both"/>
        <w:rPr>
          <w:rFonts w:asciiTheme="majorBidi" w:hAnsiTheme="majorBidi" w:cstheme="majorBidi"/>
        </w:rPr>
      </w:pPr>
    </w:p>
    <w:p w14:paraId="7E056A8C" w14:textId="34909030" w:rsidR="00C34C77" w:rsidRPr="00C60663" w:rsidRDefault="00C34C77" w:rsidP="00C60663">
      <w:pPr>
        <w:spacing w:line="360" w:lineRule="auto"/>
        <w:jc w:val="both"/>
        <w:rPr>
          <w:rFonts w:asciiTheme="majorBidi" w:hAnsiTheme="majorBidi" w:cstheme="majorBidi"/>
        </w:rPr>
      </w:pPr>
      <w:r w:rsidRPr="00C60663">
        <w:rPr>
          <w:rFonts w:asciiTheme="majorBidi" w:hAnsiTheme="majorBidi" w:cstheme="majorBidi"/>
        </w:rPr>
        <w:t>Plot 3:</w:t>
      </w:r>
    </w:p>
    <w:p w14:paraId="5C1475FB" w14:textId="77777777" w:rsidR="00C34C77" w:rsidRPr="00C60663" w:rsidRDefault="00C34C77" w:rsidP="00C60663">
      <w:pPr>
        <w:spacing w:line="360" w:lineRule="auto"/>
        <w:jc w:val="both"/>
        <w:rPr>
          <w:rFonts w:asciiTheme="majorBidi" w:hAnsiTheme="majorBidi" w:cstheme="majorBidi"/>
        </w:rPr>
      </w:pPr>
    </w:p>
    <w:p w14:paraId="2B3E92B3" w14:textId="6F9B4A01" w:rsidR="00C34C77" w:rsidRPr="00C60663" w:rsidRDefault="00C34C77" w:rsidP="00C60663">
      <w:pPr>
        <w:spacing w:line="360" w:lineRule="auto"/>
        <w:jc w:val="both"/>
        <w:rPr>
          <w:rFonts w:asciiTheme="majorBidi" w:hAnsiTheme="majorBidi" w:cstheme="majorBidi"/>
          <w:color w:val="1F1F1F"/>
          <w:shd w:val="clear" w:color="auto" w:fill="FFFFFF"/>
        </w:rPr>
      </w:pPr>
      <w:r w:rsidRPr="00C60663">
        <w:rPr>
          <w:rFonts w:asciiTheme="majorBidi" w:hAnsiTheme="majorBidi" w:cstheme="majorBidi"/>
          <w:color w:val="1F1F1F"/>
          <w:shd w:val="clear" w:color="auto" w:fill="FFFFFF"/>
        </w:rPr>
        <w:t>the bar chart</w:t>
      </w:r>
      <w:r w:rsidRPr="00C60663">
        <w:rPr>
          <w:rFonts w:asciiTheme="majorBidi" w:hAnsiTheme="majorBidi" w:cstheme="majorBidi"/>
          <w:color w:val="1F1F1F"/>
          <w:shd w:val="clear" w:color="auto" w:fill="FFFFFF"/>
        </w:rPr>
        <w:t xml:space="preserve"> (</w:t>
      </w:r>
      <w:r w:rsidRPr="00C60663">
        <w:rPr>
          <w:rFonts w:asciiTheme="majorBidi" w:hAnsiTheme="majorBidi" w:cstheme="majorBidi"/>
          <w:color w:val="1F1F1F"/>
          <w:shd w:val="clear" w:color="auto" w:fill="FFFFFF"/>
        </w:rPr>
        <w:t>marital_Status.png</w:t>
      </w:r>
      <w:r w:rsidRPr="00C60663">
        <w:rPr>
          <w:rFonts w:asciiTheme="majorBidi" w:hAnsiTheme="majorBidi" w:cstheme="majorBidi"/>
          <w:color w:val="1F1F1F"/>
          <w:shd w:val="clear" w:color="auto" w:fill="FFFFFF"/>
        </w:rPr>
        <w:t xml:space="preserve">) </w:t>
      </w:r>
      <w:r w:rsidRPr="00C60663">
        <w:rPr>
          <w:rFonts w:asciiTheme="majorBidi" w:hAnsiTheme="majorBidi" w:cstheme="majorBidi"/>
          <w:color w:val="1F1F1F"/>
          <w:shd w:val="clear" w:color="auto" w:fill="FFFFFF"/>
        </w:rPr>
        <w:t>shows the distribution of patients across marital status categories in a breast cancer study. The green bar represents the number of patients who are married, while the pink bar represents the number of patients who are currently single.</w:t>
      </w:r>
      <w:r w:rsidRPr="00C60663">
        <w:rPr>
          <w:rFonts w:asciiTheme="majorBidi" w:hAnsiTheme="majorBidi" w:cstheme="majorBidi"/>
          <w:color w:val="1F1F1F"/>
          <w:shd w:val="clear" w:color="auto" w:fill="FFFFFF"/>
        </w:rPr>
        <w:t xml:space="preserve"> The </w:t>
      </w:r>
      <w:r w:rsidRPr="00C60663">
        <w:rPr>
          <w:rFonts w:asciiTheme="majorBidi" w:hAnsiTheme="majorBidi" w:cstheme="majorBidi"/>
          <w:color w:val="1F1F1F"/>
          <w:shd w:val="clear" w:color="auto" w:fill="FFFFFF"/>
        </w:rPr>
        <w:t>currently single</w:t>
      </w:r>
      <w:r w:rsidRPr="00C60663">
        <w:rPr>
          <w:rFonts w:asciiTheme="majorBidi" w:hAnsiTheme="majorBidi" w:cstheme="majorBidi"/>
          <w:color w:val="1F1F1F"/>
          <w:shd w:val="clear" w:color="auto" w:fill="FFFFFF"/>
        </w:rPr>
        <w:t xml:space="preserve"> is the add up of all non-married at the time of cancer detection.</w:t>
      </w:r>
    </w:p>
    <w:p w14:paraId="5AE684D8" w14:textId="77777777" w:rsidR="00C34C77" w:rsidRPr="00C60663" w:rsidRDefault="00C34C77" w:rsidP="00C60663">
      <w:pPr>
        <w:spacing w:line="360" w:lineRule="auto"/>
        <w:jc w:val="both"/>
        <w:rPr>
          <w:rFonts w:asciiTheme="majorBidi" w:hAnsiTheme="majorBidi" w:cstheme="majorBidi"/>
          <w:color w:val="1F1F1F"/>
          <w:shd w:val="clear" w:color="auto" w:fill="FFFFFF"/>
        </w:rPr>
      </w:pPr>
    </w:p>
    <w:p w14:paraId="3CD73265" w14:textId="4E99E725" w:rsidR="00C34C77" w:rsidRPr="00C60663" w:rsidRDefault="00C34C77" w:rsidP="00C60663">
      <w:pPr>
        <w:spacing w:line="360" w:lineRule="auto"/>
        <w:jc w:val="both"/>
        <w:rPr>
          <w:rFonts w:asciiTheme="majorBidi" w:hAnsiTheme="majorBidi" w:cstheme="majorBidi"/>
          <w:color w:val="0D0D0D"/>
          <w:shd w:val="clear" w:color="auto" w:fill="FFFFFF"/>
        </w:rPr>
      </w:pPr>
      <w:r w:rsidRPr="00C60663">
        <w:rPr>
          <w:rFonts w:asciiTheme="majorBidi" w:hAnsiTheme="majorBidi" w:cstheme="majorBidi"/>
          <w:color w:val="0D0D0D"/>
          <w:shd w:val="clear" w:color="auto" w:fill="FFFFFF"/>
        </w:rPr>
        <w:lastRenderedPageBreak/>
        <w:t>The p-value of 0.001 indicates a strong statistical significance. This suggests that the proportion of married women in the dataset is higher than those categorized as 'currently single'.</w:t>
      </w:r>
    </w:p>
    <w:p w14:paraId="09C47ACD" w14:textId="77777777" w:rsidR="00C34C77" w:rsidRPr="00C60663" w:rsidRDefault="00C34C77" w:rsidP="00C60663">
      <w:pPr>
        <w:spacing w:line="360" w:lineRule="auto"/>
        <w:jc w:val="both"/>
        <w:rPr>
          <w:rFonts w:asciiTheme="majorBidi" w:hAnsiTheme="majorBidi" w:cstheme="majorBidi"/>
          <w:color w:val="0D0D0D"/>
          <w:shd w:val="clear" w:color="auto" w:fill="FFFFFF"/>
        </w:rPr>
      </w:pPr>
    </w:p>
    <w:p w14:paraId="2A1251C1" w14:textId="7019A3DC" w:rsidR="00C34C77" w:rsidRPr="00C60663" w:rsidRDefault="00F77721" w:rsidP="00C60663">
      <w:pPr>
        <w:spacing w:line="360" w:lineRule="auto"/>
        <w:jc w:val="both"/>
        <w:rPr>
          <w:rFonts w:asciiTheme="majorBidi" w:hAnsiTheme="majorBidi" w:cstheme="majorBidi"/>
          <w:color w:val="0D0D0D"/>
          <w:shd w:val="clear" w:color="auto" w:fill="FFFFFF"/>
        </w:rPr>
      </w:pPr>
      <w:r w:rsidRPr="00C60663">
        <w:rPr>
          <w:rFonts w:asciiTheme="majorBidi" w:hAnsiTheme="majorBidi" w:cstheme="majorBidi"/>
          <w:color w:val="0D0D0D"/>
          <w:shd w:val="clear" w:color="auto" w:fill="FFFFFF"/>
        </w:rPr>
        <w:t>Plot 4:</w:t>
      </w:r>
    </w:p>
    <w:p w14:paraId="59B10B87" w14:textId="77777777" w:rsidR="00F77721" w:rsidRPr="00C60663" w:rsidRDefault="00F77721" w:rsidP="00C60663">
      <w:pPr>
        <w:spacing w:line="360" w:lineRule="auto"/>
        <w:jc w:val="both"/>
        <w:rPr>
          <w:rFonts w:asciiTheme="majorBidi" w:hAnsiTheme="majorBidi" w:cstheme="majorBidi"/>
          <w:color w:val="0D0D0D"/>
          <w:shd w:val="clear" w:color="auto" w:fill="FFFFFF"/>
        </w:rPr>
      </w:pPr>
    </w:p>
    <w:p w14:paraId="397BC689" w14:textId="027471B3" w:rsidR="00F77721" w:rsidRPr="00C60663" w:rsidRDefault="00F77721" w:rsidP="00C60663">
      <w:pPr>
        <w:spacing w:line="360" w:lineRule="auto"/>
        <w:jc w:val="both"/>
        <w:rPr>
          <w:rFonts w:asciiTheme="majorBidi" w:hAnsiTheme="majorBidi" w:cstheme="majorBidi"/>
          <w:color w:val="1F1F1F"/>
          <w:shd w:val="clear" w:color="auto" w:fill="FFFFFF"/>
        </w:rPr>
      </w:pPr>
      <w:r w:rsidRPr="00C60663">
        <w:rPr>
          <w:rFonts w:asciiTheme="majorBidi" w:hAnsiTheme="majorBidi" w:cstheme="majorBidi"/>
          <w:color w:val="1F1F1F"/>
          <w:shd w:val="clear" w:color="auto" w:fill="FFFFFF"/>
        </w:rPr>
        <w:t xml:space="preserve">This bar chart </w:t>
      </w:r>
      <w:r w:rsidRPr="00C60663">
        <w:rPr>
          <w:rFonts w:asciiTheme="majorBidi" w:hAnsiTheme="majorBidi" w:cstheme="majorBidi"/>
          <w:color w:val="1F1F1F"/>
          <w:shd w:val="clear" w:color="auto" w:fill="FFFFFF"/>
        </w:rPr>
        <w:t>(</w:t>
      </w:r>
      <w:r w:rsidRPr="00C60663">
        <w:rPr>
          <w:rFonts w:asciiTheme="majorBidi" w:hAnsiTheme="majorBidi" w:cstheme="majorBidi"/>
          <w:color w:val="1F1F1F"/>
          <w:shd w:val="clear" w:color="auto" w:fill="FFFFFF"/>
        </w:rPr>
        <w:t>Grade_survival.png</w:t>
      </w:r>
      <w:r w:rsidRPr="00C60663">
        <w:rPr>
          <w:rFonts w:asciiTheme="majorBidi" w:hAnsiTheme="majorBidi" w:cstheme="majorBidi"/>
          <w:color w:val="1F1F1F"/>
          <w:shd w:val="clear" w:color="auto" w:fill="FFFFFF"/>
        </w:rPr>
        <w:t xml:space="preserve">) </w:t>
      </w:r>
      <w:r w:rsidRPr="00C60663">
        <w:rPr>
          <w:rFonts w:asciiTheme="majorBidi" w:hAnsiTheme="majorBidi" w:cstheme="majorBidi"/>
          <w:color w:val="1F1F1F"/>
          <w:shd w:val="clear" w:color="auto" w:fill="FFFFFF"/>
        </w:rPr>
        <w:t>illustrates the average survival months for patients categorized by their breast cancer grade. Each bar represents a grade (Grade 1, Grade 2, Grade 3, and Grade 4), and the height of the bar corresponds to the average number of months patients with that grade survived after diagnosis.</w:t>
      </w:r>
    </w:p>
    <w:p w14:paraId="626D6F29" w14:textId="77777777" w:rsidR="00F77721" w:rsidRPr="00C60663" w:rsidRDefault="00F77721" w:rsidP="00C60663">
      <w:pPr>
        <w:shd w:val="clear" w:color="auto" w:fill="FFFFFF"/>
        <w:spacing w:before="100" w:beforeAutospacing="1" w:line="360" w:lineRule="auto"/>
        <w:jc w:val="both"/>
        <w:rPr>
          <w:rFonts w:asciiTheme="majorBidi" w:hAnsiTheme="majorBidi" w:cstheme="majorBidi"/>
          <w:color w:val="1F1F1F"/>
        </w:rPr>
      </w:pPr>
      <w:r w:rsidRPr="00F77721">
        <w:rPr>
          <w:rFonts w:asciiTheme="majorBidi" w:hAnsiTheme="majorBidi" w:cstheme="majorBidi"/>
          <w:color w:val="1F1F1F"/>
        </w:rPr>
        <w:t>Generally, the average survival months appear to decrease as the breast cancer grade increases. This suggests a potential correlation between higher grades (more aggressive cancers) and shorter survival times.</w:t>
      </w:r>
    </w:p>
    <w:p w14:paraId="0ECED882" w14:textId="77777777" w:rsidR="00F77721" w:rsidRPr="00C60663" w:rsidRDefault="00F77721" w:rsidP="00C60663">
      <w:pPr>
        <w:shd w:val="clear" w:color="auto" w:fill="FFFFFF"/>
        <w:spacing w:before="100" w:beforeAutospacing="1" w:line="360" w:lineRule="auto"/>
        <w:jc w:val="both"/>
        <w:rPr>
          <w:rFonts w:asciiTheme="majorBidi" w:hAnsiTheme="majorBidi" w:cstheme="majorBidi"/>
          <w:color w:val="1F1F1F"/>
        </w:rPr>
      </w:pPr>
    </w:p>
    <w:p w14:paraId="7FA0081D" w14:textId="77777777" w:rsidR="004A33BF" w:rsidRPr="00C60663" w:rsidRDefault="004A33BF" w:rsidP="00C60663">
      <w:pPr>
        <w:shd w:val="clear" w:color="auto" w:fill="FFFFFF"/>
        <w:spacing w:before="100" w:beforeAutospacing="1" w:line="360" w:lineRule="auto"/>
        <w:jc w:val="both"/>
        <w:rPr>
          <w:rFonts w:asciiTheme="majorBidi" w:hAnsiTheme="majorBidi" w:cstheme="majorBidi"/>
          <w:color w:val="1F1F1F"/>
        </w:rPr>
      </w:pPr>
    </w:p>
    <w:p w14:paraId="3809E5C8" w14:textId="38316D99" w:rsidR="004A33BF" w:rsidRPr="00C60663" w:rsidRDefault="004A33BF" w:rsidP="00C60663">
      <w:pPr>
        <w:shd w:val="clear" w:color="auto" w:fill="FFFFFF"/>
        <w:spacing w:before="100" w:beforeAutospacing="1" w:line="360" w:lineRule="auto"/>
        <w:jc w:val="both"/>
        <w:rPr>
          <w:rFonts w:asciiTheme="majorBidi" w:hAnsiTheme="majorBidi" w:cstheme="majorBidi"/>
          <w:color w:val="1F1F1F"/>
        </w:rPr>
      </w:pPr>
      <w:r w:rsidRPr="00C60663">
        <w:rPr>
          <w:rFonts w:asciiTheme="majorBidi" w:hAnsiTheme="majorBidi" w:cstheme="majorBidi"/>
          <w:color w:val="1F1F1F"/>
        </w:rPr>
        <w:t>Plot 5:</w:t>
      </w:r>
    </w:p>
    <w:p w14:paraId="0D2C0C66" w14:textId="62D8185E" w:rsidR="004A33BF" w:rsidRPr="00C60663" w:rsidRDefault="004A33BF" w:rsidP="00C60663">
      <w:pPr>
        <w:shd w:val="clear" w:color="auto" w:fill="FFFFFF"/>
        <w:spacing w:before="100" w:beforeAutospacing="1" w:line="360" w:lineRule="auto"/>
        <w:jc w:val="both"/>
        <w:rPr>
          <w:rFonts w:asciiTheme="majorBidi" w:hAnsiTheme="majorBidi" w:cstheme="majorBidi"/>
          <w:color w:val="1F1F1F"/>
        </w:rPr>
      </w:pPr>
      <w:r w:rsidRPr="00C60663">
        <w:rPr>
          <w:rFonts w:asciiTheme="majorBidi" w:hAnsiTheme="majorBidi" w:cstheme="majorBidi"/>
          <w:color w:val="1F1F1F"/>
          <w:shd w:val="clear" w:color="auto" w:fill="FFFFFF"/>
        </w:rPr>
        <w:t>The boxes in the plot represent the distribution of survival months for each breast cancer grade. The horizontal line within each box indicates the median survival time</w:t>
      </w:r>
      <w:r w:rsidRPr="00C60663">
        <w:rPr>
          <w:rFonts w:asciiTheme="majorBidi" w:hAnsiTheme="majorBidi" w:cstheme="majorBidi"/>
          <w:color w:val="1F1F1F"/>
          <w:shd w:val="clear" w:color="auto" w:fill="FFFFFF"/>
        </w:rPr>
        <w:t>.</w:t>
      </w:r>
    </w:p>
    <w:p w14:paraId="7C2342A7" w14:textId="565C6A98" w:rsidR="004A33BF" w:rsidRPr="00F77721" w:rsidRDefault="004A33BF" w:rsidP="00C60663">
      <w:pPr>
        <w:shd w:val="clear" w:color="auto" w:fill="FFFFFF"/>
        <w:spacing w:before="100" w:beforeAutospacing="1" w:line="360" w:lineRule="auto"/>
        <w:jc w:val="both"/>
        <w:rPr>
          <w:rFonts w:asciiTheme="majorBidi" w:hAnsiTheme="majorBidi" w:cstheme="majorBidi"/>
          <w:color w:val="1F1F1F"/>
        </w:rPr>
      </w:pPr>
      <w:r w:rsidRPr="00C60663">
        <w:rPr>
          <w:rFonts w:asciiTheme="majorBidi" w:hAnsiTheme="majorBidi" w:cstheme="majorBidi"/>
          <w:color w:val="1F1F1F"/>
          <w:shd w:val="clear" w:color="auto" w:fill="FFFFFF"/>
        </w:rPr>
        <w:t xml:space="preserve">This box plot </w:t>
      </w:r>
      <w:r w:rsidRPr="00C60663">
        <w:rPr>
          <w:rFonts w:asciiTheme="majorBidi" w:hAnsiTheme="majorBidi" w:cstheme="majorBidi"/>
          <w:color w:val="1F1F1F"/>
          <w:highlight w:val="yellow"/>
          <w:shd w:val="clear" w:color="auto" w:fill="FFFFFF"/>
        </w:rPr>
        <w:t>()</w:t>
      </w:r>
      <w:r w:rsidRPr="00C60663">
        <w:rPr>
          <w:rFonts w:asciiTheme="majorBidi" w:hAnsiTheme="majorBidi" w:cstheme="majorBidi"/>
          <w:color w:val="1F1F1F"/>
          <w:shd w:val="clear" w:color="auto" w:fill="FFFFFF"/>
        </w:rPr>
        <w:t xml:space="preserve"> </w:t>
      </w:r>
      <w:r w:rsidRPr="00C60663">
        <w:rPr>
          <w:rFonts w:asciiTheme="majorBidi" w:hAnsiTheme="majorBidi" w:cstheme="majorBidi"/>
          <w:color w:val="1F1F1F"/>
          <w:shd w:val="clear" w:color="auto" w:fill="FFFFFF"/>
        </w:rPr>
        <w:t>suggest</w:t>
      </w:r>
      <w:r w:rsidRPr="00C60663">
        <w:rPr>
          <w:rFonts w:asciiTheme="majorBidi" w:hAnsiTheme="majorBidi" w:cstheme="majorBidi"/>
          <w:color w:val="1F1F1F"/>
          <w:shd w:val="clear" w:color="auto" w:fill="FFFFFF"/>
        </w:rPr>
        <w:t>s</w:t>
      </w:r>
      <w:r w:rsidRPr="00C60663">
        <w:rPr>
          <w:rFonts w:asciiTheme="majorBidi" w:hAnsiTheme="majorBidi" w:cstheme="majorBidi"/>
          <w:color w:val="1F1F1F"/>
          <w:shd w:val="clear" w:color="auto" w:fill="FFFFFF"/>
        </w:rPr>
        <w:t xml:space="preserve"> a positive correlation between breast cancer grade and survival months. Patients with lower grades (earlier stages) tend to have higher median survival times compared to patients with higher grades (more advanced stages).</w:t>
      </w:r>
    </w:p>
    <w:p w14:paraId="09E3516C" w14:textId="77777777" w:rsidR="00F77721" w:rsidRPr="00C60663" w:rsidRDefault="00F77721" w:rsidP="00C60663">
      <w:pPr>
        <w:spacing w:line="360" w:lineRule="auto"/>
        <w:jc w:val="both"/>
        <w:rPr>
          <w:rFonts w:asciiTheme="majorBidi" w:hAnsiTheme="majorBidi" w:cstheme="majorBidi"/>
        </w:rPr>
      </w:pPr>
    </w:p>
    <w:p w14:paraId="62330B8A" w14:textId="7ED0DA2D" w:rsidR="004A33BF" w:rsidRPr="00C60663" w:rsidRDefault="004A33BF" w:rsidP="00C60663">
      <w:pPr>
        <w:spacing w:line="360" w:lineRule="auto"/>
        <w:jc w:val="both"/>
        <w:rPr>
          <w:rFonts w:asciiTheme="majorBidi" w:hAnsiTheme="majorBidi" w:cstheme="majorBidi"/>
          <w:color w:val="1F1F1F"/>
          <w:shd w:val="clear" w:color="auto" w:fill="FFFFFF"/>
        </w:rPr>
      </w:pPr>
      <w:r w:rsidRPr="00C60663">
        <w:rPr>
          <w:rFonts w:asciiTheme="majorBidi" w:hAnsiTheme="majorBidi" w:cstheme="majorBidi"/>
          <w:color w:val="1F1F1F"/>
          <w:shd w:val="clear" w:color="auto" w:fill="FFFFFF"/>
        </w:rPr>
        <w:t>The p-value of the Kruskal-Wallis H-test (0.007483500369062529) also supports this conclusion.</w:t>
      </w:r>
    </w:p>
    <w:p w14:paraId="2949647E" w14:textId="77777777" w:rsidR="004A33BF" w:rsidRPr="00C60663" w:rsidRDefault="004A33BF" w:rsidP="00C60663">
      <w:pPr>
        <w:spacing w:line="360" w:lineRule="auto"/>
        <w:jc w:val="both"/>
        <w:rPr>
          <w:rFonts w:asciiTheme="majorBidi" w:hAnsiTheme="majorBidi" w:cstheme="majorBidi"/>
          <w:color w:val="1F1F1F"/>
          <w:shd w:val="clear" w:color="auto" w:fill="FFFFFF"/>
        </w:rPr>
      </w:pPr>
    </w:p>
    <w:p w14:paraId="60960F11" w14:textId="77777777" w:rsidR="004A33BF" w:rsidRPr="00C60663" w:rsidRDefault="004A33BF" w:rsidP="00C60663">
      <w:pPr>
        <w:spacing w:line="360" w:lineRule="auto"/>
        <w:jc w:val="both"/>
        <w:rPr>
          <w:rFonts w:asciiTheme="majorBidi" w:hAnsiTheme="majorBidi" w:cstheme="majorBidi"/>
        </w:rPr>
      </w:pPr>
    </w:p>
    <w:p w14:paraId="49CA0BA9" w14:textId="232761F4" w:rsidR="00A65DC5" w:rsidRPr="00C60663" w:rsidRDefault="00A65DC5" w:rsidP="00C60663">
      <w:pPr>
        <w:spacing w:line="360" w:lineRule="auto"/>
        <w:jc w:val="both"/>
        <w:rPr>
          <w:rFonts w:asciiTheme="majorBidi" w:hAnsiTheme="majorBidi" w:cstheme="majorBidi"/>
        </w:rPr>
      </w:pPr>
      <w:r w:rsidRPr="00C60663">
        <w:rPr>
          <w:rFonts w:asciiTheme="majorBidi" w:hAnsiTheme="majorBidi" w:cstheme="majorBidi"/>
        </w:rPr>
        <w:t>Plot 6:</w:t>
      </w:r>
    </w:p>
    <w:p w14:paraId="5B5D021E" w14:textId="77777777" w:rsidR="00A65DC5" w:rsidRPr="00C60663" w:rsidRDefault="00A65DC5" w:rsidP="00C60663">
      <w:pPr>
        <w:spacing w:line="360" w:lineRule="auto"/>
        <w:jc w:val="both"/>
        <w:rPr>
          <w:rFonts w:asciiTheme="majorBidi" w:hAnsiTheme="majorBidi" w:cstheme="majorBidi"/>
        </w:rPr>
      </w:pPr>
    </w:p>
    <w:p w14:paraId="676B7550" w14:textId="198D7E03" w:rsidR="00A65DC5" w:rsidRPr="00C60663" w:rsidRDefault="00A65DC5" w:rsidP="00C60663">
      <w:pPr>
        <w:spacing w:line="360" w:lineRule="auto"/>
        <w:jc w:val="both"/>
        <w:rPr>
          <w:rFonts w:asciiTheme="majorBidi" w:hAnsiTheme="majorBidi" w:cstheme="majorBidi"/>
        </w:rPr>
      </w:pPr>
      <w:r w:rsidRPr="00C60663">
        <w:rPr>
          <w:rFonts w:asciiTheme="majorBidi" w:hAnsiTheme="majorBidi" w:cstheme="majorBidi"/>
        </w:rPr>
        <w:lastRenderedPageBreak/>
        <w:t xml:space="preserve">This </w:t>
      </w:r>
      <w:r w:rsidR="001C4676" w:rsidRPr="00C60663">
        <w:rPr>
          <w:rFonts w:asciiTheme="majorBidi" w:hAnsiTheme="majorBidi" w:cstheme="majorBidi"/>
          <w:color w:val="1F1F1F"/>
          <w:shd w:val="clear" w:color="auto" w:fill="FFFFFF"/>
        </w:rPr>
        <w:t xml:space="preserve">box plot shows a relationship between estrogen receptor (ER) status and survival months in breast cancer patients. </w:t>
      </w:r>
    </w:p>
    <w:p w14:paraId="7B425657" w14:textId="77777777" w:rsidR="00A65DC5" w:rsidRPr="00C60663" w:rsidRDefault="00A65DC5" w:rsidP="00C60663">
      <w:pPr>
        <w:spacing w:line="360" w:lineRule="auto"/>
        <w:jc w:val="both"/>
        <w:rPr>
          <w:rFonts w:asciiTheme="majorBidi" w:hAnsiTheme="majorBidi" w:cstheme="majorBidi"/>
        </w:rPr>
      </w:pPr>
    </w:p>
    <w:p w14:paraId="392EFD1B" w14:textId="6428012B" w:rsidR="00A65DC5" w:rsidRPr="00C60663" w:rsidRDefault="00A65DC5" w:rsidP="00C60663">
      <w:pPr>
        <w:spacing w:line="360" w:lineRule="auto"/>
        <w:jc w:val="both"/>
        <w:rPr>
          <w:rFonts w:asciiTheme="majorBidi" w:hAnsiTheme="majorBidi" w:cstheme="majorBidi"/>
          <w:color w:val="0D0D0D"/>
          <w:shd w:val="clear" w:color="auto" w:fill="FFFFFF"/>
        </w:rPr>
      </w:pPr>
      <w:r w:rsidRPr="00C60663">
        <w:rPr>
          <w:rFonts w:asciiTheme="majorBidi" w:hAnsiTheme="majorBidi" w:cstheme="majorBidi"/>
          <w:color w:val="0D0D0D"/>
          <w:shd w:val="clear" w:color="auto" w:fill="FFFFFF"/>
        </w:rPr>
        <w:t>"Estrogen Status" refers to whether the breast cancer cells have receptors that can bind to estrogen. Estrogen is a hormone that plays a significant role in the growth and development of breast tissue</w:t>
      </w:r>
      <w:r w:rsidR="001C4676" w:rsidRPr="00C60663">
        <w:rPr>
          <w:rFonts w:asciiTheme="majorBidi" w:hAnsiTheme="majorBidi" w:cstheme="majorBidi"/>
          <w:color w:val="0D0D0D"/>
          <w:shd w:val="clear" w:color="auto" w:fill="FFFFFF"/>
        </w:rPr>
        <w:t>.</w:t>
      </w:r>
    </w:p>
    <w:p w14:paraId="3DA717A8" w14:textId="77777777" w:rsidR="001C4676" w:rsidRPr="00C60663" w:rsidRDefault="001C4676" w:rsidP="00C60663">
      <w:pPr>
        <w:spacing w:line="360" w:lineRule="auto"/>
        <w:jc w:val="both"/>
        <w:rPr>
          <w:rFonts w:asciiTheme="majorBidi" w:hAnsiTheme="majorBidi" w:cstheme="majorBidi"/>
          <w:color w:val="0D0D0D"/>
          <w:shd w:val="clear" w:color="auto" w:fill="FFFFFF"/>
        </w:rPr>
      </w:pPr>
    </w:p>
    <w:p w14:paraId="0682228E" w14:textId="054DB65D" w:rsidR="001C4676" w:rsidRPr="00C60663" w:rsidRDefault="001C4676" w:rsidP="00C60663">
      <w:pPr>
        <w:spacing w:line="360" w:lineRule="auto"/>
        <w:jc w:val="both"/>
        <w:rPr>
          <w:rFonts w:asciiTheme="majorBidi" w:hAnsiTheme="majorBidi" w:cstheme="majorBidi"/>
          <w:color w:val="1F1F1F"/>
          <w:shd w:val="clear" w:color="auto" w:fill="FFFFFF"/>
        </w:rPr>
      </w:pPr>
      <w:r w:rsidRPr="00C60663">
        <w:rPr>
          <w:rFonts w:asciiTheme="majorBidi" w:hAnsiTheme="majorBidi" w:cstheme="majorBidi"/>
          <w:color w:val="1F1F1F"/>
          <w:shd w:val="clear" w:color="auto" w:fill="FFFFFF"/>
        </w:rPr>
        <w:t>The median survival month appears to be higher for the ER-positive group</w:t>
      </w:r>
      <w:r w:rsidRPr="00C60663">
        <w:rPr>
          <w:rFonts w:asciiTheme="majorBidi" w:hAnsiTheme="majorBidi" w:cstheme="majorBidi"/>
          <w:color w:val="1F1F1F"/>
          <w:shd w:val="clear" w:color="auto" w:fill="FFFFFF"/>
        </w:rPr>
        <w:t xml:space="preserve"> and t</w:t>
      </w:r>
      <w:r w:rsidRPr="00C60663">
        <w:rPr>
          <w:rFonts w:asciiTheme="majorBidi" w:hAnsiTheme="majorBidi" w:cstheme="majorBidi"/>
          <w:color w:val="1F1F1F"/>
          <w:shd w:val="clear" w:color="auto" w:fill="FFFFFF"/>
        </w:rPr>
        <w:t>he spread of the data (represented by the whiskers) seems to be larger for the ER-negative group (wider box and longer whiskers).</w:t>
      </w:r>
    </w:p>
    <w:p w14:paraId="3B1E7B99" w14:textId="77777777" w:rsidR="001C4676" w:rsidRPr="00C60663" w:rsidRDefault="001C4676" w:rsidP="00C60663">
      <w:pPr>
        <w:spacing w:line="360" w:lineRule="auto"/>
        <w:jc w:val="both"/>
        <w:rPr>
          <w:rFonts w:asciiTheme="majorBidi" w:hAnsiTheme="majorBidi" w:cstheme="majorBidi"/>
          <w:color w:val="1F1F1F"/>
          <w:shd w:val="clear" w:color="auto" w:fill="FFFFFF"/>
        </w:rPr>
      </w:pPr>
    </w:p>
    <w:p w14:paraId="782D15DA" w14:textId="77777777" w:rsidR="001C4676" w:rsidRPr="00C60663" w:rsidRDefault="001C4676" w:rsidP="00C60663">
      <w:pPr>
        <w:spacing w:line="360" w:lineRule="auto"/>
        <w:jc w:val="both"/>
        <w:rPr>
          <w:rFonts w:asciiTheme="majorBidi" w:hAnsiTheme="majorBidi" w:cstheme="majorBidi"/>
          <w:color w:val="1F1F1F"/>
          <w:shd w:val="clear" w:color="auto" w:fill="FFFFFF"/>
        </w:rPr>
      </w:pPr>
    </w:p>
    <w:p w14:paraId="4311A05D" w14:textId="25146B22" w:rsidR="00537FF9" w:rsidRPr="00C60663" w:rsidRDefault="00537FF9" w:rsidP="00C60663">
      <w:pPr>
        <w:spacing w:line="360" w:lineRule="auto"/>
        <w:jc w:val="both"/>
        <w:rPr>
          <w:rFonts w:asciiTheme="majorBidi" w:hAnsiTheme="majorBidi" w:cstheme="majorBidi"/>
          <w:color w:val="1F1F1F"/>
          <w:shd w:val="clear" w:color="auto" w:fill="FFFFFF"/>
        </w:rPr>
      </w:pPr>
      <w:r w:rsidRPr="00C60663">
        <w:rPr>
          <w:rFonts w:asciiTheme="majorBidi" w:hAnsiTheme="majorBidi" w:cstheme="majorBidi"/>
          <w:color w:val="1F1F1F"/>
          <w:shd w:val="clear" w:color="auto" w:fill="FFFFFF"/>
        </w:rPr>
        <w:t>Plot 7:</w:t>
      </w:r>
    </w:p>
    <w:p w14:paraId="1A59325A" w14:textId="77777777" w:rsidR="00537FF9" w:rsidRPr="00C60663" w:rsidRDefault="00537FF9" w:rsidP="00C60663">
      <w:pPr>
        <w:spacing w:line="360" w:lineRule="auto"/>
        <w:jc w:val="both"/>
        <w:rPr>
          <w:rFonts w:asciiTheme="majorBidi" w:hAnsiTheme="majorBidi" w:cstheme="majorBidi"/>
          <w:color w:val="1F1F1F"/>
          <w:shd w:val="clear" w:color="auto" w:fill="FFFFFF"/>
        </w:rPr>
      </w:pPr>
    </w:p>
    <w:p w14:paraId="32D38BAD" w14:textId="5C9FB653" w:rsidR="00537FF9" w:rsidRPr="00C60663" w:rsidRDefault="00537FF9" w:rsidP="00C60663">
      <w:pPr>
        <w:spacing w:line="360" w:lineRule="auto"/>
        <w:jc w:val="both"/>
        <w:rPr>
          <w:rFonts w:asciiTheme="majorBidi" w:hAnsiTheme="majorBidi" w:cstheme="majorBidi"/>
          <w:color w:val="1F1F1F"/>
          <w:shd w:val="clear" w:color="auto" w:fill="FFFFFF"/>
        </w:rPr>
      </w:pPr>
      <w:r w:rsidRPr="00C60663">
        <w:rPr>
          <w:rFonts w:asciiTheme="majorBidi" w:hAnsiTheme="majorBidi" w:cstheme="majorBidi"/>
          <w:color w:val="1F1F1F"/>
          <w:shd w:val="clear" w:color="auto" w:fill="FFFFFF"/>
        </w:rPr>
        <w:t>Similar to the estrogen status plot, this box</w:t>
      </w:r>
      <w:r w:rsidRPr="00C60663">
        <w:rPr>
          <w:rFonts w:asciiTheme="majorBidi" w:hAnsiTheme="majorBidi" w:cstheme="majorBidi"/>
          <w:color w:val="1F1F1F"/>
          <w:shd w:val="clear" w:color="auto" w:fill="FFFFFF"/>
        </w:rPr>
        <w:t xml:space="preserve"> </w:t>
      </w:r>
      <w:r w:rsidRPr="00C60663">
        <w:rPr>
          <w:rFonts w:asciiTheme="majorBidi" w:hAnsiTheme="majorBidi" w:cstheme="majorBidi"/>
          <w:color w:val="1F1F1F"/>
          <w:shd w:val="clear" w:color="auto" w:fill="FFFFFF"/>
        </w:rPr>
        <w:t>plot shows the distribution of survival months in breast cancer patients categorized by their progesterone receptor (PR) status.</w:t>
      </w:r>
    </w:p>
    <w:p w14:paraId="24A842A8" w14:textId="77777777" w:rsidR="00537FF9" w:rsidRPr="00C60663" w:rsidRDefault="00537FF9" w:rsidP="00C60663">
      <w:pPr>
        <w:spacing w:line="360" w:lineRule="auto"/>
        <w:jc w:val="both"/>
        <w:rPr>
          <w:rFonts w:asciiTheme="majorBidi" w:hAnsiTheme="majorBidi" w:cstheme="majorBidi"/>
          <w:color w:val="1F1F1F"/>
          <w:shd w:val="clear" w:color="auto" w:fill="FFFFFF"/>
        </w:rPr>
      </w:pPr>
    </w:p>
    <w:p w14:paraId="5AEF05BC" w14:textId="35D7CB6C" w:rsidR="00537FF9" w:rsidRPr="00C60663" w:rsidRDefault="00537FF9" w:rsidP="00C60663">
      <w:pPr>
        <w:spacing w:line="360" w:lineRule="auto"/>
        <w:jc w:val="both"/>
        <w:rPr>
          <w:rStyle w:val="Strong"/>
          <w:rFonts w:asciiTheme="majorBidi" w:hAnsiTheme="majorBidi" w:cstheme="majorBidi"/>
          <w:b w:val="0"/>
          <w:bCs w:val="0"/>
          <w:color w:val="1F1F1F"/>
          <w:shd w:val="clear" w:color="auto" w:fill="FFFFFF"/>
        </w:rPr>
      </w:pPr>
      <w:r w:rsidRPr="00C60663">
        <w:rPr>
          <w:rFonts w:asciiTheme="majorBidi" w:hAnsiTheme="majorBidi" w:cstheme="majorBidi"/>
          <w:color w:val="1F1F1F"/>
          <w:shd w:val="clear" w:color="auto" w:fill="FFFFFF"/>
        </w:rPr>
        <w:t xml:space="preserve">Similar to </w:t>
      </w:r>
      <w:r w:rsidRPr="00C60663">
        <w:rPr>
          <w:rFonts w:asciiTheme="majorBidi" w:hAnsiTheme="majorBidi" w:cstheme="majorBidi"/>
          <w:color w:val="1F1F1F"/>
          <w:shd w:val="clear" w:color="auto" w:fill="FFFFFF"/>
        </w:rPr>
        <w:t>ER</w:t>
      </w:r>
      <w:r w:rsidRPr="00C60663">
        <w:rPr>
          <w:rFonts w:asciiTheme="majorBidi" w:hAnsiTheme="majorBidi" w:cstheme="majorBidi"/>
          <w:color w:val="1F1F1F"/>
          <w:shd w:val="clear" w:color="auto" w:fill="FFFFFF"/>
        </w:rPr>
        <w:t xml:space="preserve">, </w:t>
      </w:r>
      <w:r w:rsidRPr="00C60663">
        <w:rPr>
          <w:rStyle w:val="Strong"/>
          <w:rFonts w:asciiTheme="majorBidi" w:eastAsiaTheme="majorEastAsia" w:hAnsiTheme="majorBidi" w:cstheme="majorBidi"/>
          <w:b w:val="0"/>
          <w:bCs w:val="0"/>
          <w:color w:val="1F1F1F"/>
          <w:shd w:val="clear" w:color="auto" w:fill="FFFFFF"/>
        </w:rPr>
        <w:t xml:space="preserve">median survival might be longer for the hormone </w:t>
      </w:r>
      <w:r w:rsidRPr="00C60663">
        <w:rPr>
          <w:rFonts w:asciiTheme="majorBidi" w:hAnsiTheme="majorBidi" w:cstheme="majorBidi"/>
          <w:color w:val="1F1F1F"/>
          <w:shd w:val="clear" w:color="auto" w:fill="FFFFFF"/>
        </w:rPr>
        <w:t xml:space="preserve">progesterone </w:t>
      </w:r>
      <w:r w:rsidRPr="00C60663">
        <w:rPr>
          <w:rStyle w:val="Strong"/>
          <w:rFonts w:asciiTheme="majorBidi" w:eastAsiaTheme="majorEastAsia" w:hAnsiTheme="majorBidi" w:cstheme="majorBidi"/>
          <w:b w:val="0"/>
          <w:bCs w:val="0"/>
          <w:color w:val="1F1F1F"/>
          <w:shd w:val="clear" w:color="auto" w:fill="FFFFFF"/>
        </w:rPr>
        <w:t>positive groups</w:t>
      </w:r>
      <w:r w:rsidRPr="00C60663">
        <w:rPr>
          <w:rStyle w:val="Strong"/>
          <w:rFonts w:asciiTheme="majorBidi" w:hAnsiTheme="majorBidi" w:cstheme="majorBidi"/>
          <w:b w:val="0"/>
          <w:bCs w:val="0"/>
          <w:color w:val="1F1F1F"/>
          <w:shd w:val="clear" w:color="auto" w:fill="FFFFFF"/>
        </w:rPr>
        <w:t xml:space="preserve">. </w:t>
      </w:r>
    </w:p>
    <w:p w14:paraId="4FF495F0" w14:textId="77777777" w:rsidR="00537FF9" w:rsidRPr="00C60663" w:rsidRDefault="00537FF9" w:rsidP="00C60663">
      <w:pPr>
        <w:spacing w:line="360" w:lineRule="auto"/>
        <w:jc w:val="both"/>
        <w:rPr>
          <w:rStyle w:val="Strong"/>
          <w:rFonts w:asciiTheme="majorBidi" w:hAnsiTheme="majorBidi" w:cstheme="majorBidi"/>
          <w:b w:val="0"/>
          <w:bCs w:val="0"/>
          <w:color w:val="1F1F1F"/>
          <w:shd w:val="clear" w:color="auto" w:fill="FFFFFF"/>
        </w:rPr>
      </w:pPr>
    </w:p>
    <w:p w14:paraId="3D97D6B3" w14:textId="47C28F9B" w:rsidR="00537FF9" w:rsidRPr="00C60663" w:rsidRDefault="00537FF9" w:rsidP="00C60663">
      <w:pPr>
        <w:spacing w:line="360" w:lineRule="auto"/>
        <w:jc w:val="both"/>
        <w:rPr>
          <w:rStyle w:val="Strong"/>
          <w:rFonts w:asciiTheme="majorBidi" w:hAnsiTheme="majorBidi" w:cstheme="majorBidi"/>
          <w:b w:val="0"/>
          <w:bCs w:val="0"/>
          <w:color w:val="1F1F1F"/>
          <w:shd w:val="clear" w:color="auto" w:fill="FFFFFF"/>
        </w:rPr>
      </w:pPr>
      <w:r w:rsidRPr="00C60663">
        <w:rPr>
          <w:rStyle w:val="Strong"/>
          <w:rFonts w:asciiTheme="majorBidi" w:hAnsiTheme="majorBidi" w:cstheme="majorBidi"/>
          <w:b w:val="0"/>
          <w:bCs w:val="0"/>
          <w:color w:val="1F1F1F"/>
          <w:shd w:val="clear" w:color="auto" w:fill="FFFFFF"/>
        </w:rPr>
        <w:t>Plot 8</w:t>
      </w:r>
      <w:r w:rsidR="00F24657" w:rsidRPr="00C60663">
        <w:rPr>
          <w:rStyle w:val="Strong"/>
          <w:rFonts w:asciiTheme="majorBidi" w:hAnsiTheme="majorBidi" w:cstheme="majorBidi"/>
          <w:b w:val="0"/>
          <w:bCs w:val="0"/>
          <w:color w:val="1F1F1F"/>
          <w:shd w:val="clear" w:color="auto" w:fill="FFFFFF"/>
        </w:rPr>
        <w:t>:</w:t>
      </w:r>
    </w:p>
    <w:p w14:paraId="00D6B353" w14:textId="77777777" w:rsidR="00F24657" w:rsidRPr="00C60663" w:rsidRDefault="00F24657" w:rsidP="00C60663">
      <w:pPr>
        <w:spacing w:line="360" w:lineRule="auto"/>
        <w:jc w:val="both"/>
        <w:rPr>
          <w:rStyle w:val="Strong"/>
          <w:rFonts w:asciiTheme="majorBidi" w:hAnsiTheme="majorBidi" w:cstheme="majorBidi"/>
          <w:b w:val="0"/>
          <w:bCs w:val="0"/>
          <w:color w:val="1F1F1F"/>
          <w:shd w:val="clear" w:color="auto" w:fill="FFFFFF"/>
        </w:rPr>
      </w:pPr>
    </w:p>
    <w:p w14:paraId="01A03434" w14:textId="661FE310" w:rsidR="00F24657" w:rsidRPr="00C60663" w:rsidRDefault="00F24657" w:rsidP="00C60663">
      <w:pPr>
        <w:spacing w:line="360" w:lineRule="auto"/>
        <w:jc w:val="both"/>
        <w:rPr>
          <w:rStyle w:val="Strong"/>
          <w:rFonts w:asciiTheme="majorBidi" w:hAnsiTheme="majorBidi" w:cstheme="majorBidi"/>
          <w:b w:val="0"/>
          <w:bCs w:val="0"/>
          <w:color w:val="1F1F1F"/>
          <w:shd w:val="clear" w:color="auto" w:fill="FFFFFF"/>
        </w:rPr>
      </w:pPr>
      <w:r w:rsidRPr="00C60663">
        <w:rPr>
          <w:rFonts w:asciiTheme="majorBidi" w:hAnsiTheme="majorBidi" w:cstheme="majorBidi"/>
          <w:color w:val="1F1F1F"/>
          <w:shd w:val="clear" w:color="auto" w:fill="FFFFFF"/>
        </w:rPr>
        <w:t>Th</w:t>
      </w:r>
      <w:r w:rsidRPr="00C60663">
        <w:rPr>
          <w:rFonts w:asciiTheme="majorBidi" w:hAnsiTheme="majorBidi" w:cstheme="majorBidi"/>
          <w:color w:val="1F1F1F"/>
          <w:shd w:val="clear" w:color="auto" w:fill="FFFFFF"/>
        </w:rPr>
        <w:t>is</w:t>
      </w:r>
      <w:r w:rsidRPr="00C60663">
        <w:rPr>
          <w:rFonts w:asciiTheme="majorBidi" w:hAnsiTheme="majorBidi" w:cstheme="majorBidi"/>
          <w:color w:val="1F1F1F"/>
          <w:shd w:val="clear" w:color="auto" w:fill="FFFFFF"/>
        </w:rPr>
        <w:t xml:space="preserve"> violin plot shows the distribution of survival months across different tumor stages for breast cancer patients.</w:t>
      </w:r>
    </w:p>
    <w:p w14:paraId="5FD6A36E" w14:textId="77777777" w:rsidR="00F24657" w:rsidRPr="00C60663" w:rsidRDefault="00F24657" w:rsidP="00C60663">
      <w:pPr>
        <w:shd w:val="clear" w:color="auto" w:fill="FFFFFF"/>
        <w:spacing w:before="100" w:beforeAutospacing="1" w:line="360" w:lineRule="auto"/>
        <w:jc w:val="both"/>
        <w:rPr>
          <w:rFonts w:asciiTheme="majorBidi" w:hAnsiTheme="majorBidi" w:cstheme="majorBidi"/>
          <w:color w:val="1F1F1F"/>
        </w:rPr>
      </w:pPr>
      <w:r w:rsidRPr="00C60663">
        <w:rPr>
          <w:rFonts w:asciiTheme="majorBidi" w:hAnsiTheme="majorBidi" w:cstheme="majorBidi"/>
          <w:color w:val="1F1F1F"/>
        </w:rPr>
        <w:t>Tumor stage refers to the extent of cancer spread within the body. Typically, lower stages (T1, T2) indicate earlier cancer stages where it's localized or hasn't spread much. Higher stages (T3, T4) represent more advanced cancers that might have spread to lymph nodes or other tissues.</w:t>
      </w:r>
    </w:p>
    <w:p w14:paraId="36A3A76A" w14:textId="77777777" w:rsidR="00F24657" w:rsidRPr="00C60663" w:rsidRDefault="00F24657" w:rsidP="00C60663">
      <w:pPr>
        <w:shd w:val="clear" w:color="auto" w:fill="FFFFFF"/>
        <w:spacing w:before="100" w:beforeAutospacing="1" w:line="360" w:lineRule="auto"/>
        <w:jc w:val="both"/>
        <w:rPr>
          <w:rFonts w:asciiTheme="majorBidi" w:hAnsiTheme="majorBidi" w:cstheme="majorBidi"/>
          <w:color w:val="1F1F1F"/>
        </w:rPr>
      </w:pPr>
      <w:r w:rsidRPr="00C60663">
        <w:rPr>
          <w:rFonts w:asciiTheme="majorBidi" w:hAnsiTheme="majorBidi" w:cstheme="majorBidi"/>
          <w:color w:val="1F1F1F"/>
        </w:rPr>
        <w:t>The violin-shaped parts of the plot represent the distribution of survival months for each tumor stage (T1, T2, T3, and T4). The wider area of the violin signifies a higher density of data points at that survival month range.</w:t>
      </w:r>
    </w:p>
    <w:p w14:paraId="1FDF456F" w14:textId="77777777" w:rsidR="00F24657" w:rsidRPr="00C60663" w:rsidRDefault="00F24657" w:rsidP="00C60663">
      <w:pPr>
        <w:shd w:val="clear" w:color="auto" w:fill="FFFFFF"/>
        <w:spacing w:before="100" w:beforeAutospacing="1" w:line="360" w:lineRule="auto"/>
        <w:jc w:val="both"/>
        <w:rPr>
          <w:rFonts w:asciiTheme="majorBidi" w:hAnsiTheme="majorBidi" w:cstheme="majorBidi"/>
          <w:color w:val="1F1F1F"/>
        </w:rPr>
      </w:pPr>
      <w:r w:rsidRPr="00C60663">
        <w:rPr>
          <w:rFonts w:asciiTheme="majorBidi" w:hAnsiTheme="majorBidi" w:cstheme="majorBidi"/>
          <w:color w:val="1F1F1F"/>
        </w:rPr>
        <w:lastRenderedPageBreak/>
        <w:t xml:space="preserve">The violin plot suggests a trend: the median survival month (black line) generally decreases as tumor stage increases (T1 to T4). </w:t>
      </w:r>
      <w:r w:rsidRPr="00C60663">
        <w:rPr>
          <w:rFonts w:asciiTheme="majorBidi" w:hAnsiTheme="majorBidi" w:cstheme="majorBidi"/>
          <w:b/>
          <w:bCs/>
          <w:color w:val="1F1F1F"/>
        </w:rPr>
        <w:t>This indicates a potential correlation between </w:t>
      </w:r>
      <w:r w:rsidRPr="00C60663">
        <w:rPr>
          <w:rStyle w:val="Strong"/>
          <w:rFonts w:asciiTheme="majorBidi" w:eastAsiaTheme="majorEastAsia" w:hAnsiTheme="majorBidi" w:cstheme="majorBidi"/>
          <w:color w:val="1F1F1F"/>
        </w:rPr>
        <w:t>tumor stage and survival</w:t>
      </w:r>
      <w:r w:rsidRPr="00C60663">
        <w:rPr>
          <w:rFonts w:asciiTheme="majorBidi" w:hAnsiTheme="majorBidi" w:cstheme="majorBidi"/>
          <w:color w:val="1F1F1F"/>
        </w:rPr>
        <w:t>. Patients with earlier tumor stages (lower stages) tend to have higher median survival times compared to patients with later stages (higher stages).</w:t>
      </w:r>
    </w:p>
    <w:p w14:paraId="62EAD9EC" w14:textId="77777777" w:rsidR="00F24657" w:rsidRPr="00C60663" w:rsidRDefault="00F24657" w:rsidP="00C60663">
      <w:pPr>
        <w:spacing w:line="360" w:lineRule="auto"/>
        <w:jc w:val="both"/>
        <w:rPr>
          <w:rFonts w:asciiTheme="majorBidi" w:hAnsiTheme="majorBidi" w:cstheme="majorBidi"/>
          <w:b/>
          <w:bCs/>
          <w:color w:val="1F1F1F"/>
          <w:shd w:val="clear" w:color="auto" w:fill="FFFFFF"/>
        </w:rPr>
      </w:pPr>
    </w:p>
    <w:p w14:paraId="547638A5" w14:textId="77777777" w:rsidR="00F24657" w:rsidRPr="00C60663" w:rsidRDefault="00F24657" w:rsidP="00C60663">
      <w:pPr>
        <w:spacing w:line="360" w:lineRule="auto"/>
        <w:jc w:val="both"/>
        <w:rPr>
          <w:rFonts w:asciiTheme="majorBidi" w:hAnsiTheme="majorBidi" w:cstheme="majorBidi"/>
          <w:b/>
          <w:bCs/>
          <w:color w:val="1F1F1F"/>
          <w:shd w:val="clear" w:color="auto" w:fill="FFFFFF"/>
        </w:rPr>
      </w:pPr>
    </w:p>
    <w:p w14:paraId="6BF84763" w14:textId="0808F566" w:rsidR="00F24657" w:rsidRPr="00C60663" w:rsidRDefault="00F24657" w:rsidP="00C60663">
      <w:pPr>
        <w:spacing w:line="360" w:lineRule="auto"/>
        <w:jc w:val="both"/>
        <w:rPr>
          <w:rFonts w:asciiTheme="majorBidi" w:hAnsiTheme="majorBidi" w:cstheme="majorBidi"/>
          <w:b/>
          <w:bCs/>
          <w:color w:val="1F1F1F"/>
          <w:shd w:val="clear" w:color="auto" w:fill="FFFFFF"/>
        </w:rPr>
      </w:pPr>
      <w:r w:rsidRPr="00C60663">
        <w:rPr>
          <w:rFonts w:asciiTheme="majorBidi" w:hAnsiTheme="majorBidi" w:cstheme="majorBidi"/>
          <w:b/>
          <w:bCs/>
          <w:color w:val="1F1F1F"/>
          <w:shd w:val="clear" w:color="auto" w:fill="FFFFFF"/>
        </w:rPr>
        <w:t>T-test result</w:t>
      </w:r>
      <w:r w:rsidRPr="00C60663">
        <w:rPr>
          <w:rFonts w:asciiTheme="majorBidi" w:hAnsiTheme="majorBidi" w:cstheme="majorBidi"/>
          <w:b/>
          <w:bCs/>
          <w:color w:val="1F1F1F"/>
          <w:shd w:val="clear" w:color="auto" w:fill="FFFFFF"/>
        </w:rPr>
        <w:br/>
      </w:r>
    </w:p>
    <w:p w14:paraId="2644C82A" w14:textId="77777777" w:rsidR="00F24657" w:rsidRPr="00C60663" w:rsidRDefault="00F24657" w:rsidP="00C60663">
      <w:pPr>
        <w:shd w:val="clear" w:color="auto" w:fill="FFFFFF"/>
        <w:spacing w:before="100" w:beforeAutospacing="1" w:line="360" w:lineRule="auto"/>
        <w:jc w:val="both"/>
        <w:rPr>
          <w:rFonts w:asciiTheme="majorBidi" w:hAnsiTheme="majorBidi" w:cstheme="majorBidi"/>
          <w:color w:val="1F1F1F"/>
        </w:rPr>
      </w:pPr>
      <w:r w:rsidRPr="00C60663">
        <w:rPr>
          <w:rStyle w:val="Strong"/>
          <w:rFonts w:asciiTheme="majorBidi" w:eastAsiaTheme="majorEastAsia" w:hAnsiTheme="majorBidi" w:cstheme="majorBidi"/>
          <w:color w:val="1F1F1F"/>
        </w:rPr>
        <w:t>T1 vs. T2, T1 vs. T3, and T1 vs. T4:</w:t>
      </w:r>
      <w:r w:rsidRPr="00C60663">
        <w:rPr>
          <w:rFonts w:asciiTheme="majorBidi" w:hAnsiTheme="majorBidi" w:cstheme="majorBidi"/>
          <w:color w:val="1F1F1F"/>
        </w:rPr>
        <w:t xml:space="preserve"> The p-values for these comparisons are all extremely small (0.0000 and 0.0005), which signifies </w:t>
      </w:r>
      <w:r w:rsidRPr="00C60663">
        <w:rPr>
          <w:rFonts w:asciiTheme="majorBidi" w:hAnsiTheme="majorBidi" w:cstheme="majorBidi"/>
          <w:b/>
          <w:bCs/>
          <w:color w:val="1F1F1F"/>
        </w:rPr>
        <w:t>very strong statistical significance</w:t>
      </w:r>
      <w:r w:rsidRPr="00C60663">
        <w:rPr>
          <w:rFonts w:asciiTheme="majorBidi" w:hAnsiTheme="majorBidi" w:cstheme="majorBidi"/>
          <w:color w:val="1F1F1F"/>
        </w:rPr>
        <w:t>. This suggests that the average survival months for patients with T1 tumors are likely different from those with T2, T3, and T4 tumors. There's a very low chance (less than 0.1%) of observing such extreme differences by random chance if there were truly no underlying differences in survival between these stages.</w:t>
      </w:r>
    </w:p>
    <w:p w14:paraId="536C12C4" w14:textId="77777777" w:rsidR="00F24657" w:rsidRPr="00C60663" w:rsidRDefault="00F24657" w:rsidP="00C60663">
      <w:pPr>
        <w:spacing w:line="360" w:lineRule="auto"/>
        <w:jc w:val="both"/>
        <w:rPr>
          <w:rFonts w:asciiTheme="majorBidi" w:hAnsiTheme="majorBidi" w:cstheme="majorBidi"/>
          <w:b/>
          <w:bCs/>
          <w:color w:val="1F1F1F"/>
          <w:shd w:val="clear" w:color="auto" w:fill="FFFFFF"/>
        </w:rPr>
      </w:pPr>
    </w:p>
    <w:p w14:paraId="74E8F68A" w14:textId="77777777" w:rsidR="00DD5989" w:rsidRPr="00C60663" w:rsidRDefault="00DD5989" w:rsidP="00C60663">
      <w:pPr>
        <w:spacing w:line="360" w:lineRule="auto"/>
        <w:jc w:val="both"/>
        <w:rPr>
          <w:rFonts w:asciiTheme="majorBidi" w:hAnsiTheme="majorBidi" w:cstheme="majorBidi"/>
          <w:b/>
          <w:bCs/>
          <w:color w:val="1F1F1F"/>
          <w:shd w:val="clear" w:color="auto" w:fill="FFFFFF"/>
        </w:rPr>
      </w:pPr>
    </w:p>
    <w:p w14:paraId="449D9FDC" w14:textId="04D2870A" w:rsidR="00DD5989" w:rsidRPr="00C60663" w:rsidRDefault="00DD5989" w:rsidP="00C60663">
      <w:pPr>
        <w:spacing w:line="360" w:lineRule="auto"/>
        <w:jc w:val="both"/>
        <w:rPr>
          <w:rFonts w:asciiTheme="majorBidi" w:hAnsiTheme="majorBidi" w:cstheme="majorBidi"/>
          <w:b/>
          <w:bCs/>
          <w:color w:val="1F1F1F"/>
          <w:shd w:val="clear" w:color="auto" w:fill="FFFFFF"/>
        </w:rPr>
      </w:pPr>
      <w:r w:rsidRPr="00C60663">
        <w:rPr>
          <w:rFonts w:asciiTheme="majorBidi" w:hAnsiTheme="majorBidi" w:cstheme="majorBidi"/>
          <w:b/>
          <w:bCs/>
          <w:color w:val="1F1F1F"/>
          <w:shd w:val="clear" w:color="auto" w:fill="FFFFFF"/>
        </w:rPr>
        <w:t>Plot 9:</w:t>
      </w:r>
    </w:p>
    <w:p w14:paraId="7A862C8E" w14:textId="77777777" w:rsidR="00DD5989" w:rsidRPr="00C60663" w:rsidRDefault="00DD5989" w:rsidP="00C60663">
      <w:pPr>
        <w:spacing w:line="360" w:lineRule="auto"/>
        <w:jc w:val="both"/>
        <w:rPr>
          <w:rFonts w:asciiTheme="majorBidi" w:hAnsiTheme="majorBidi" w:cstheme="majorBidi"/>
          <w:b/>
          <w:bCs/>
          <w:color w:val="1F1F1F"/>
          <w:shd w:val="clear" w:color="auto" w:fill="FFFFFF"/>
        </w:rPr>
      </w:pPr>
    </w:p>
    <w:p w14:paraId="2464BDE4" w14:textId="13CFD6E7" w:rsidR="00DD5989" w:rsidRPr="00C60663" w:rsidRDefault="00DD5989" w:rsidP="00C60663">
      <w:pPr>
        <w:spacing w:line="360" w:lineRule="auto"/>
        <w:jc w:val="both"/>
        <w:rPr>
          <w:rFonts w:asciiTheme="majorBidi" w:hAnsiTheme="majorBidi" w:cstheme="majorBidi"/>
          <w:color w:val="0D0D0D"/>
          <w:shd w:val="clear" w:color="auto" w:fill="FFFFFF"/>
        </w:rPr>
      </w:pPr>
      <w:r w:rsidRPr="00C60663">
        <w:rPr>
          <w:rFonts w:asciiTheme="majorBidi" w:hAnsiTheme="majorBidi" w:cstheme="majorBidi"/>
          <w:color w:val="0D0D0D"/>
          <w:shd w:val="clear" w:color="auto" w:fill="FFFFFF"/>
        </w:rPr>
        <w:t>The boxplot displays the distribution of ages among breast cancer patients categorized by the grade of cancer</w:t>
      </w:r>
      <w:r w:rsidRPr="00C60663">
        <w:rPr>
          <w:rFonts w:asciiTheme="majorBidi" w:hAnsiTheme="majorBidi" w:cstheme="majorBidi"/>
          <w:color w:val="0D0D0D"/>
          <w:shd w:val="clear" w:color="auto" w:fill="FFFFFF"/>
        </w:rPr>
        <w:t xml:space="preserve">. </w:t>
      </w:r>
      <w:r w:rsidRPr="00C60663">
        <w:rPr>
          <w:rFonts w:asciiTheme="majorBidi" w:hAnsiTheme="majorBidi" w:cstheme="majorBidi"/>
          <w:color w:val="1F1F1F"/>
          <w:shd w:val="clear" w:color="auto" w:fill="FFFFFF"/>
        </w:rPr>
        <w:t>T</w:t>
      </w:r>
      <w:r w:rsidRPr="00C60663">
        <w:rPr>
          <w:rFonts w:asciiTheme="majorBidi" w:hAnsiTheme="majorBidi" w:cstheme="majorBidi"/>
          <w:color w:val="1F1F1F"/>
          <w:shd w:val="clear" w:color="auto" w:fill="FFFFFF"/>
        </w:rPr>
        <w:t>he boxplot shows a possible correlation between age and grade of breast cancer.</w:t>
      </w:r>
    </w:p>
    <w:p w14:paraId="7F4D5B2F" w14:textId="77777777" w:rsidR="00DD5989" w:rsidRPr="00C60663" w:rsidRDefault="00DD5989" w:rsidP="00C60663">
      <w:pPr>
        <w:spacing w:line="360" w:lineRule="auto"/>
        <w:jc w:val="both"/>
        <w:rPr>
          <w:rFonts w:asciiTheme="majorBidi" w:hAnsiTheme="majorBidi" w:cstheme="majorBidi"/>
          <w:b/>
          <w:bCs/>
          <w:color w:val="1F1F1F"/>
          <w:shd w:val="clear" w:color="auto" w:fill="FFFFFF"/>
        </w:rPr>
      </w:pPr>
    </w:p>
    <w:p w14:paraId="1233F27B" w14:textId="47D7949B" w:rsidR="00C60663" w:rsidRPr="00C60663" w:rsidRDefault="00C60663" w:rsidP="00C60663">
      <w:pPr>
        <w:spacing w:line="360" w:lineRule="auto"/>
        <w:jc w:val="both"/>
        <w:rPr>
          <w:rFonts w:asciiTheme="majorBidi" w:hAnsiTheme="majorBidi" w:cstheme="majorBidi"/>
          <w:color w:val="0D0D0D"/>
          <w:shd w:val="clear" w:color="auto" w:fill="FFFFFF"/>
        </w:rPr>
      </w:pPr>
      <w:r w:rsidRPr="00C60663">
        <w:rPr>
          <w:rFonts w:asciiTheme="majorBidi" w:hAnsiTheme="majorBidi" w:cstheme="majorBidi"/>
          <w:b/>
          <w:bCs/>
          <w:color w:val="1F1F1F"/>
          <w:shd w:val="clear" w:color="auto" w:fill="FFFFFF"/>
        </w:rPr>
        <w:t>T-test</w:t>
      </w:r>
      <w:r w:rsidRPr="00C60663">
        <w:rPr>
          <w:rFonts w:asciiTheme="majorBidi" w:hAnsiTheme="majorBidi" w:cstheme="majorBidi"/>
          <w:b/>
          <w:bCs/>
          <w:color w:val="1F1F1F"/>
          <w:shd w:val="clear" w:color="auto" w:fill="FFFFFF"/>
        </w:rPr>
        <w:br/>
      </w:r>
      <w:r w:rsidRPr="00C60663">
        <w:rPr>
          <w:rFonts w:asciiTheme="majorBidi" w:hAnsiTheme="majorBidi" w:cstheme="majorBidi"/>
          <w:b/>
          <w:bCs/>
          <w:color w:val="1F1F1F"/>
          <w:shd w:val="clear" w:color="auto" w:fill="FFFFFF"/>
        </w:rPr>
        <w:br/>
      </w:r>
      <w:r w:rsidRPr="00C60663">
        <w:rPr>
          <w:rFonts w:asciiTheme="majorBidi" w:hAnsiTheme="majorBidi" w:cstheme="majorBidi"/>
          <w:color w:val="0D0D0D"/>
          <w:shd w:val="clear" w:color="auto" w:fill="FFFFFF"/>
        </w:rPr>
        <w:t>Grades 1 and 3, as well as Grades 2 and 3, exhibit significant differences in age. However, there's no significant age difference between Grade 1 and Grade anaplastic; Grade IV, nor between Grade 2 and Grade anaplastic; Grade IV, or between Grade 3 and Grade anaplastic; Grade IV. These findings underscore the importance of considering age variations across cancer grades in treatment planning and prognosis assessment.</w:t>
      </w:r>
    </w:p>
    <w:p w14:paraId="4D6DE9D5" w14:textId="77777777" w:rsidR="00C60663" w:rsidRPr="00C60663" w:rsidRDefault="00C60663" w:rsidP="00C60663">
      <w:pPr>
        <w:spacing w:line="360" w:lineRule="auto"/>
        <w:jc w:val="both"/>
        <w:rPr>
          <w:rFonts w:asciiTheme="majorBidi" w:hAnsiTheme="majorBidi" w:cstheme="majorBidi"/>
          <w:color w:val="0D0D0D"/>
          <w:shd w:val="clear" w:color="auto" w:fill="FFFFFF"/>
        </w:rPr>
      </w:pPr>
    </w:p>
    <w:p w14:paraId="66665DD5" w14:textId="3B7D50D1" w:rsidR="00C60663" w:rsidRPr="00C60663" w:rsidRDefault="00C60663" w:rsidP="00C60663">
      <w:pPr>
        <w:spacing w:line="360" w:lineRule="auto"/>
        <w:jc w:val="both"/>
        <w:rPr>
          <w:rFonts w:asciiTheme="majorBidi" w:hAnsiTheme="majorBidi" w:cstheme="majorBidi"/>
          <w:color w:val="0D0D0D"/>
          <w:shd w:val="clear" w:color="auto" w:fill="FFFFFF"/>
        </w:rPr>
      </w:pPr>
      <w:r w:rsidRPr="00C60663">
        <w:rPr>
          <w:rFonts w:asciiTheme="majorBidi" w:hAnsiTheme="majorBidi" w:cstheme="majorBidi"/>
          <w:color w:val="0D0D0D"/>
          <w:shd w:val="clear" w:color="auto" w:fill="FFFFFF"/>
        </w:rPr>
        <w:t>Plot 10:</w:t>
      </w:r>
    </w:p>
    <w:p w14:paraId="723F5D8B" w14:textId="683F1385" w:rsidR="00C60663" w:rsidRPr="00C60663" w:rsidRDefault="00C60663" w:rsidP="00C60663">
      <w:pPr>
        <w:spacing w:line="360" w:lineRule="auto"/>
        <w:jc w:val="both"/>
        <w:rPr>
          <w:rFonts w:asciiTheme="majorBidi" w:hAnsiTheme="majorBidi" w:cstheme="majorBidi"/>
          <w:color w:val="0D0D0D"/>
          <w:shd w:val="clear" w:color="auto" w:fill="FFFFFF"/>
        </w:rPr>
      </w:pPr>
      <w:r w:rsidRPr="00C60663">
        <w:rPr>
          <w:rFonts w:asciiTheme="majorBidi" w:hAnsiTheme="majorBidi" w:cstheme="majorBidi"/>
          <w:color w:val="0D0D0D"/>
          <w:shd w:val="clear" w:color="auto" w:fill="FFFFFF"/>
        </w:rPr>
        <w:lastRenderedPageBreak/>
        <w:t>Th</w:t>
      </w:r>
      <w:r w:rsidRPr="00C60663">
        <w:rPr>
          <w:rFonts w:asciiTheme="majorBidi" w:hAnsiTheme="majorBidi" w:cstheme="majorBidi"/>
          <w:color w:val="0D0D0D"/>
          <w:shd w:val="clear" w:color="auto" w:fill="FFFFFF"/>
        </w:rPr>
        <w:t>is</w:t>
      </w:r>
      <w:r w:rsidRPr="00C60663">
        <w:rPr>
          <w:rFonts w:asciiTheme="majorBidi" w:hAnsiTheme="majorBidi" w:cstheme="majorBidi"/>
          <w:color w:val="0D0D0D"/>
          <w:shd w:val="clear" w:color="auto" w:fill="FFFFFF"/>
        </w:rPr>
        <w:t xml:space="preserve"> scatter plot shows the relationship between tumor size and survival months for breast cancer patients. </w:t>
      </w:r>
    </w:p>
    <w:p w14:paraId="48B2AF9D" w14:textId="77777777" w:rsidR="00C60663" w:rsidRDefault="00C60663" w:rsidP="00C60663">
      <w:pPr>
        <w:spacing w:line="360" w:lineRule="auto"/>
        <w:jc w:val="both"/>
        <w:rPr>
          <w:rFonts w:asciiTheme="majorBidi" w:hAnsiTheme="majorBidi" w:cstheme="majorBidi"/>
          <w:color w:val="0D0D0D"/>
          <w:shd w:val="clear" w:color="auto" w:fill="FFFFFF"/>
        </w:rPr>
      </w:pPr>
      <w:r w:rsidRPr="00C60663">
        <w:rPr>
          <w:rFonts w:asciiTheme="majorBidi" w:hAnsiTheme="majorBidi" w:cstheme="majorBidi"/>
          <w:color w:val="0D0D0D"/>
          <w:shd w:val="clear" w:color="auto" w:fill="FFFFFF"/>
        </w:rPr>
        <w:t>There appears to be no clear linear relationship between tumor size and survival months. The data points are scattered throughout the plot, and there's no distinct upward or downward trend. This suggests that tumor size might not be a strong predictor of survival months in this dataset.</w:t>
      </w:r>
    </w:p>
    <w:p w14:paraId="0E198DB9" w14:textId="77777777" w:rsidR="00C60663" w:rsidRDefault="00C60663" w:rsidP="00C60663">
      <w:pPr>
        <w:spacing w:line="360" w:lineRule="auto"/>
        <w:jc w:val="both"/>
        <w:rPr>
          <w:rFonts w:asciiTheme="majorBidi" w:hAnsiTheme="majorBidi" w:cstheme="majorBidi"/>
          <w:color w:val="0D0D0D"/>
          <w:shd w:val="clear" w:color="auto" w:fill="FFFFFF"/>
        </w:rPr>
      </w:pPr>
    </w:p>
    <w:p w14:paraId="25C4654F" w14:textId="77777777" w:rsidR="00BB22B7" w:rsidRDefault="00BB22B7" w:rsidP="00C60663">
      <w:pPr>
        <w:spacing w:line="360" w:lineRule="auto"/>
        <w:jc w:val="both"/>
        <w:rPr>
          <w:rFonts w:asciiTheme="majorBidi" w:hAnsiTheme="majorBidi" w:cstheme="majorBidi"/>
          <w:color w:val="0D0D0D"/>
          <w:shd w:val="clear" w:color="auto" w:fill="FFFFFF"/>
        </w:rPr>
      </w:pPr>
    </w:p>
    <w:p w14:paraId="1D03C55C" w14:textId="0E84CCB4" w:rsidR="00C60663" w:rsidRDefault="00BB22B7" w:rsidP="00C60663">
      <w:pPr>
        <w:spacing w:line="360" w:lineRule="auto"/>
        <w:jc w:val="both"/>
        <w:rPr>
          <w:rFonts w:asciiTheme="majorBidi" w:hAnsiTheme="majorBidi" w:cstheme="majorBidi"/>
          <w:color w:val="0D0D0D"/>
          <w:shd w:val="clear" w:color="auto" w:fill="FFFFFF"/>
        </w:rPr>
      </w:pPr>
      <w:r>
        <w:rPr>
          <w:rFonts w:asciiTheme="majorBidi" w:hAnsiTheme="majorBidi" w:cstheme="majorBidi"/>
          <w:color w:val="0D0D0D"/>
          <w:shd w:val="clear" w:color="auto" w:fill="FFFFFF"/>
        </w:rPr>
        <w:t>Plot 11:</w:t>
      </w:r>
    </w:p>
    <w:p w14:paraId="01F6F334" w14:textId="0662986A" w:rsidR="00BB22B7" w:rsidRDefault="00BB22B7" w:rsidP="00BB22B7">
      <w:pPr>
        <w:spacing w:line="360" w:lineRule="auto"/>
        <w:jc w:val="both"/>
        <w:rPr>
          <w:rFonts w:ascii="Helvetica Neue" w:hAnsi="Helvetica Neue"/>
          <w:color w:val="1F1F1F"/>
          <w:shd w:val="clear" w:color="auto" w:fill="FFFFFF"/>
        </w:rPr>
      </w:pPr>
      <w:r>
        <w:rPr>
          <w:rFonts w:ascii="Helvetica Neue" w:hAnsi="Helvetica Neue"/>
          <w:color w:val="1F1F1F"/>
          <w:shd w:val="clear" w:color="auto" w:fill="FFFFFF"/>
        </w:rPr>
        <w:t xml:space="preserve">This </w:t>
      </w:r>
      <w:r>
        <w:rPr>
          <w:rFonts w:ascii="Helvetica Neue" w:hAnsi="Helvetica Neue"/>
          <w:color w:val="1F1F1F"/>
          <w:shd w:val="clear" w:color="auto" w:fill="FFFFFF"/>
        </w:rPr>
        <w:t>boxplot shows the distribution of survival months for breast cancer patients across different N stages (N1, N2, and N3). N stage in breast cancer refers to lymph node involvement. Higher N stages generally indicate a more advanced cancer stage where the cancer has spread to lymph nodes</w:t>
      </w:r>
      <w:r>
        <w:rPr>
          <w:rFonts w:ascii="Helvetica Neue" w:hAnsi="Helvetica Neue"/>
          <w:color w:val="1F1F1F"/>
          <w:shd w:val="clear" w:color="auto" w:fill="FFFFFF"/>
        </w:rPr>
        <w:t>.</w:t>
      </w:r>
    </w:p>
    <w:p w14:paraId="698D601F" w14:textId="77777777" w:rsidR="00BB22B7" w:rsidRDefault="00BB22B7" w:rsidP="00BB22B7">
      <w:pPr>
        <w:spacing w:line="360" w:lineRule="auto"/>
        <w:jc w:val="both"/>
        <w:rPr>
          <w:rFonts w:ascii="Helvetica Neue" w:hAnsi="Helvetica Neue"/>
          <w:color w:val="1F1F1F"/>
          <w:shd w:val="clear" w:color="auto" w:fill="FFFFFF"/>
        </w:rPr>
      </w:pPr>
    </w:p>
    <w:p w14:paraId="2D3B3BCD" w14:textId="77777777" w:rsidR="00BB22B7" w:rsidRPr="00BB22B7" w:rsidRDefault="00BB22B7" w:rsidP="00BB22B7">
      <w:pPr>
        <w:spacing w:line="360" w:lineRule="auto"/>
        <w:jc w:val="both"/>
        <w:rPr>
          <w:rFonts w:ascii="Helvetica Neue" w:hAnsi="Helvetica Neue"/>
          <w:color w:val="1F1F1F"/>
          <w:shd w:val="clear" w:color="auto" w:fill="FFFFFF"/>
        </w:rPr>
      </w:pPr>
      <w:r w:rsidRPr="00BB22B7">
        <w:rPr>
          <w:rFonts w:ascii="Helvetica Neue" w:hAnsi="Helvetica Neue"/>
          <w:color w:val="1F1F1F"/>
          <w:shd w:val="clear" w:color="auto" w:fill="FFFFFF"/>
        </w:rPr>
        <w:t xml:space="preserve">The median survival month appears to decrease as N stage increases (N1 to N3). This suggests a </w:t>
      </w:r>
      <w:r w:rsidRPr="00BB22B7">
        <w:rPr>
          <w:rFonts w:ascii="Helvetica Neue" w:hAnsi="Helvetica Neue"/>
          <w:b/>
          <w:bCs/>
          <w:color w:val="1F1F1F"/>
          <w:shd w:val="clear" w:color="auto" w:fill="FFFFFF"/>
        </w:rPr>
        <w:t>potential negative correlation between N stage and survival months</w:t>
      </w:r>
      <w:r w:rsidRPr="00BB22B7">
        <w:rPr>
          <w:rFonts w:ascii="Helvetica Neue" w:hAnsi="Helvetica Neue"/>
          <w:color w:val="1F1F1F"/>
          <w:shd w:val="clear" w:color="auto" w:fill="FFFFFF"/>
        </w:rPr>
        <w:t>. Patients with higher N stages (more lymph node involvement) tend to have lower median survival times compared to patients with lower N stages.</w:t>
      </w:r>
    </w:p>
    <w:p w14:paraId="6AC1479F" w14:textId="77777777" w:rsidR="00BB22B7" w:rsidRDefault="00BB22B7" w:rsidP="00BB22B7">
      <w:pPr>
        <w:spacing w:line="360" w:lineRule="auto"/>
        <w:jc w:val="both"/>
        <w:rPr>
          <w:rFonts w:ascii="Helvetica Neue" w:hAnsi="Helvetica Neue"/>
          <w:color w:val="1F1F1F"/>
          <w:shd w:val="clear" w:color="auto" w:fill="FFFFFF"/>
        </w:rPr>
      </w:pPr>
    </w:p>
    <w:p w14:paraId="02C0B9C1" w14:textId="7A878849" w:rsidR="00BB22B7" w:rsidRDefault="00BB22B7" w:rsidP="00BB22B7">
      <w:pPr>
        <w:spacing w:line="360" w:lineRule="auto"/>
        <w:jc w:val="both"/>
        <w:rPr>
          <w:rFonts w:ascii="Helvetica Neue" w:hAnsi="Helvetica Neue"/>
          <w:color w:val="1F1F1F"/>
          <w:shd w:val="clear" w:color="auto" w:fill="FFFFFF"/>
        </w:rPr>
      </w:pPr>
      <w:r>
        <w:rPr>
          <w:rFonts w:ascii="Helvetica Neue" w:hAnsi="Helvetica Neue"/>
          <w:color w:val="1F1F1F"/>
          <w:shd w:val="clear" w:color="auto" w:fill="FFFFFF"/>
        </w:rPr>
        <w:t>The</w:t>
      </w:r>
      <w:r>
        <w:rPr>
          <w:rFonts w:ascii="Helvetica Neue" w:hAnsi="Helvetica Neue"/>
          <w:color w:val="1F1F1F"/>
          <w:shd w:val="clear" w:color="auto" w:fill="FFFFFF"/>
        </w:rPr>
        <w:t xml:space="preserve">significant p-value (indicates that the distributions are unlikely to be the same across all stages. In other words, there's a </w:t>
      </w:r>
      <w:r w:rsidRPr="00BB22B7">
        <w:rPr>
          <w:rFonts w:ascii="Helvetica Neue" w:hAnsi="Helvetica Neue"/>
          <w:b/>
          <w:bCs/>
          <w:color w:val="1F1F1F"/>
          <w:shd w:val="clear" w:color="auto" w:fill="FFFFFF"/>
        </w:rPr>
        <w:t>statistically significant difference in survival months between the N stage groups</w:t>
      </w:r>
      <w:r>
        <w:rPr>
          <w:rFonts w:ascii="Helvetica Neue" w:hAnsi="Helvetica Neue"/>
          <w:color w:val="1F1F1F"/>
          <w:shd w:val="clear" w:color="auto" w:fill="FFFFFF"/>
        </w:rPr>
        <w:t>.</w:t>
      </w:r>
    </w:p>
    <w:p w14:paraId="5D450C5D" w14:textId="77777777" w:rsidR="00A30901" w:rsidRDefault="00A30901" w:rsidP="00BB22B7">
      <w:pPr>
        <w:spacing w:line="360" w:lineRule="auto"/>
        <w:jc w:val="both"/>
        <w:rPr>
          <w:rFonts w:ascii="Helvetica Neue" w:hAnsi="Helvetica Neue"/>
          <w:color w:val="1F1F1F"/>
          <w:shd w:val="clear" w:color="auto" w:fill="FFFFFF"/>
        </w:rPr>
      </w:pPr>
    </w:p>
    <w:p w14:paraId="163E4302" w14:textId="06495CFC" w:rsidR="00A30901" w:rsidRDefault="00A30901" w:rsidP="00BB22B7">
      <w:pPr>
        <w:spacing w:line="360" w:lineRule="auto"/>
        <w:jc w:val="both"/>
        <w:rPr>
          <w:rFonts w:ascii="Helvetica Neue" w:hAnsi="Helvetica Neue"/>
          <w:color w:val="1F1F1F"/>
          <w:shd w:val="clear" w:color="auto" w:fill="FFFFFF"/>
        </w:rPr>
      </w:pPr>
      <w:r>
        <w:rPr>
          <w:rFonts w:ascii="Helvetica Neue" w:hAnsi="Helvetica Neue"/>
          <w:color w:val="1F1F1F"/>
          <w:shd w:val="clear" w:color="auto" w:fill="FFFFFF"/>
        </w:rPr>
        <w:t>Plot 12:</w:t>
      </w:r>
    </w:p>
    <w:p w14:paraId="377DE43F" w14:textId="75000819" w:rsidR="00A30901" w:rsidRDefault="0001099D" w:rsidP="00BB22B7">
      <w:pPr>
        <w:spacing w:line="360" w:lineRule="auto"/>
        <w:jc w:val="both"/>
        <w:rPr>
          <w:rFonts w:ascii="Helvetica Neue" w:hAnsi="Helvetica Neue"/>
          <w:color w:val="1F1F1F"/>
          <w:shd w:val="clear" w:color="auto" w:fill="FFFFFF"/>
        </w:rPr>
      </w:pPr>
      <w:r>
        <w:rPr>
          <w:rFonts w:ascii="Helvetica Neue" w:hAnsi="Helvetica Neue"/>
          <w:color w:val="1F1F1F"/>
          <w:shd w:val="clear" w:color="auto" w:fill="FFFFFF"/>
        </w:rPr>
        <w:t>Th</w:t>
      </w:r>
      <w:r>
        <w:rPr>
          <w:rFonts w:ascii="Helvetica Neue" w:hAnsi="Helvetica Neue"/>
          <w:color w:val="1F1F1F"/>
          <w:shd w:val="clear" w:color="auto" w:fill="FFFFFF"/>
        </w:rPr>
        <w:t>is</w:t>
      </w:r>
      <w:r>
        <w:rPr>
          <w:rFonts w:ascii="Helvetica Neue" w:hAnsi="Helvetica Neue"/>
          <w:color w:val="1F1F1F"/>
          <w:shd w:val="clear" w:color="auto" w:fill="FFFFFF"/>
        </w:rPr>
        <w:t xml:space="preserve"> box plot shows the distribution of tumor sizes in breast cancer patients categorized by whether they are alive or dead. The very small p-value (0.0000) from the t-test indicates a statistically significant difference in tumor sizes between the two groups.</w:t>
      </w:r>
    </w:p>
    <w:p w14:paraId="4EC6C6E6" w14:textId="77777777" w:rsidR="0001099D" w:rsidRDefault="0001099D" w:rsidP="00BB22B7">
      <w:pPr>
        <w:spacing w:line="360" w:lineRule="auto"/>
        <w:jc w:val="both"/>
        <w:rPr>
          <w:rFonts w:ascii="Helvetica Neue" w:hAnsi="Helvetica Neue"/>
          <w:color w:val="1F1F1F"/>
          <w:shd w:val="clear" w:color="auto" w:fill="FFFFFF"/>
        </w:rPr>
      </w:pPr>
    </w:p>
    <w:p w14:paraId="43B6A11E" w14:textId="77777777" w:rsidR="0001099D" w:rsidRDefault="0001099D" w:rsidP="0001099D">
      <w:pPr>
        <w:spacing w:line="360" w:lineRule="auto"/>
        <w:jc w:val="both"/>
        <w:rPr>
          <w:rFonts w:ascii="Helvetica Neue" w:hAnsi="Helvetica Neue"/>
          <w:color w:val="1F1F1F"/>
          <w:shd w:val="clear" w:color="auto" w:fill="FFFFFF"/>
        </w:rPr>
      </w:pPr>
      <w:r w:rsidRPr="0001099D">
        <w:rPr>
          <w:rFonts w:ascii="Helvetica Neue" w:hAnsi="Helvetica Neue"/>
          <w:color w:val="1F1F1F"/>
          <w:shd w:val="clear" w:color="auto" w:fill="FFFFFF"/>
        </w:rPr>
        <w:t>The p-value of 0.0000 signifies a very strong statistical significance. This means it's highly unlikely (less than 0.1%) that we would observe such a difference in average tumor sizes between the two groups if there were truly no underlying difference in reality.</w:t>
      </w:r>
    </w:p>
    <w:p w14:paraId="559A76F9" w14:textId="4CED3548" w:rsidR="0001099D" w:rsidRDefault="0001099D" w:rsidP="0001099D">
      <w:pPr>
        <w:spacing w:line="360" w:lineRule="auto"/>
        <w:jc w:val="both"/>
        <w:rPr>
          <w:rFonts w:ascii="Helvetica Neue" w:hAnsi="Helvetica Neue"/>
          <w:color w:val="1F1F1F"/>
          <w:shd w:val="clear" w:color="auto" w:fill="FFFFFF"/>
        </w:rPr>
      </w:pPr>
      <w:r>
        <w:rPr>
          <w:rFonts w:ascii="Helvetica Neue" w:hAnsi="Helvetica Neue"/>
          <w:color w:val="1F1F1F"/>
          <w:shd w:val="clear" w:color="auto" w:fill="FFFFFF"/>
        </w:rPr>
        <w:lastRenderedPageBreak/>
        <w:t>Plot13:</w:t>
      </w:r>
    </w:p>
    <w:p w14:paraId="0597651B" w14:textId="700F20FB" w:rsidR="0001099D" w:rsidRDefault="00615DCA" w:rsidP="0001099D">
      <w:pPr>
        <w:spacing w:line="360" w:lineRule="auto"/>
        <w:jc w:val="both"/>
        <w:rPr>
          <w:rFonts w:ascii="Helvetica Neue" w:hAnsi="Helvetica Neue"/>
          <w:color w:val="1F1F1F"/>
          <w:shd w:val="clear" w:color="auto" w:fill="FFFFFF"/>
        </w:rPr>
      </w:pPr>
      <w:r>
        <w:rPr>
          <w:rFonts w:ascii="Helvetica Neue" w:hAnsi="Helvetica Neue"/>
          <w:color w:val="1F1F1F"/>
          <w:shd w:val="clear" w:color="auto" w:fill="FFFFFF"/>
        </w:rPr>
        <w:t>This plot</w:t>
      </w:r>
      <w:r>
        <w:rPr>
          <w:rFonts w:ascii="Helvetica Neue" w:hAnsi="Helvetica Neue"/>
          <w:color w:val="1F1F1F"/>
          <w:shd w:val="clear" w:color="auto" w:fill="FFFFFF"/>
        </w:rPr>
        <w:t xml:space="preserve"> </w:t>
      </w:r>
      <w:r>
        <w:rPr>
          <w:rFonts w:ascii="Helvetica Neue" w:hAnsi="Helvetica Neue"/>
          <w:color w:val="1F1F1F"/>
          <w:shd w:val="clear" w:color="auto" w:fill="FFFFFF"/>
        </w:rPr>
        <w:t>shoes</w:t>
      </w:r>
      <w:r>
        <w:rPr>
          <w:rFonts w:ascii="Helvetica Neue" w:hAnsi="Helvetica Neue"/>
          <w:color w:val="1F1F1F"/>
          <w:shd w:val="clear" w:color="auto" w:fill="FFFFFF"/>
        </w:rPr>
        <w:t xml:space="preserve"> the distribution of survival months for breast cancer patients categorized by their race (White, Black, and Other).</w:t>
      </w:r>
      <w:r>
        <w:rPr>
          <w:rFonts w:ascii="Helvetica Neue" w:hAnsi="Helvetica Neue"/>
          <w:color w:val="1F1F1F"/>
          <w:shd w:val="clear" w:color="auto" w:fill="FFFFFF"/>
        </w:rPr>
        <w:t xml:space="preserve"> </w:t>
      </w:r>
    </w:p>
    <w:p w14:paraId="2703F3A6" w14:textId="708A20B3" w:rsidR="00694CA5" w:rsidRPr="0001099D" w:rsidRDefault="00694CA5" w:rsidP="0001099D">
      <w:pPr>
        <w:spacing w:line="360" w:lineRule="auto"/>
        <w:jc w:val="both"/>
        <w:rPr>
          <w:rFonts w:ascii="Helvetica Neue" w:hAnsi="Helvetica Neue"/>
          <w:color w:val="1F1F1F"/>
          <w:shd w:val="clear" w:color="auto" w:fill="FFFFFF"/>
        </w:rPr>
      </w:pPr>
      <w:r>
        <w:rPr>
          <w:rFonts w:ascii="Helvetica Neue" w:hAnsi="Helvetica Neue"/>
          <w:color w:val="1F1F1F"/>
          <w:shd w:val="clear" w:color="auto" w:fill="FFFFFF"/>
        </w:rPr>
        <w:t>The results from the t-tests along with the box plot suggest a statistically significant difference in survival months between some racial groups in breast cancer patients.</w:t>
      </w:r>
    </w:p>
    <w:p w14:paraId="61B7FFE9" w14:textId="77777777" w:rsidR="00694CA5" w:rsidRDefault="00694CA5" w:rsidP="00694CA5">
      <w:pPr>
        <w:shd w:val="clear" w:color="auto" w:fill="FFFFFF"/>
        <w:spacing w:before="100" w:beforeAutospacing="1"/>
        <w:rPr>
          <w:rFonts w:ascii="Helvetica Neue" w:hAnsi="Helvetica Neue"/>
          <w:color w:val="1F1F1F"/>
        </w:rPr>
      </w:pPr>
      <w:r>
        <w:rPr>
          <w:rFonts w:ascii="Helvetica Neue" w:hAnsi="Helvetica Neue"/>
          <w:color w:val="1F1F1F"/>
        </w:rPr>
        <w:t>Th</w:t>
      </w:r>
      <w:r>
        <w:rPr>
          <w:rFonts w:ascii="Helvetica Neue" w:hAnsi="Helvetica Neue"/>
          <w:color w:val="1F1F1F"/>
        </w:rPr>
        <w:t>e</w:t>
      </w:r>
      <w:r>
        <w:rPr>
          <w:rFonts w:ascii="Helvetica Neue" w:hAnsi="Helvetica Neue"/>
          <w:color w:val="1F1F1F"/>
        </w:rPr>
        <w:t xml:space="preserve"> very small p-value</w:t>
      </w:r>
      <w:r>
        <w:rPr>
          <w:rFonts w:ascii="Helvetica Neue" w:hAnsi="Helvetica Neue"/>
          <w:color w:val="1F1F1F"/>
        </w:rPr>
        <w:t xml:space="preserve"> of </w:t>
      </w:r>
      <w:r>
        <w:rPr>
          <w:rStyle w:val="Strong"/>
          <w:rFonts w:ascii="Helvetica Neue" w:eastAsiaTheme="majorEastAsia" w:hAnsi="Helvetica Neue"/>
          <w:color w:val="1F1F1F"/>
        </w:rPr>
        <w:t>White vs. Black (p-value = 0.000449)</w:t>
      </w:r>
      <w:r>
        <w:rPr>
          <w:rFonts w:ascii="Helvetica Neue" w:hAnsi="Helvetica Neue"/>
          <w:color w:val="1F1F1F"/>
        </w:rPr>
        <w:t xml:space="preserve"> indicates a statistically significant difference in survival months between white and black patients. </w:t>
      </w:r>
    </w:p>
    <w:p w14:paraId="003D29E7" w14:textId="33BC3C5A" w:rsidR="00694CA5" w:rsidRDefault="00694CA5" w:rsidP="00694CA5">
      <w:pPr>
        <w:shd w:val="clear" w:color="auto" w:fill="FFFFFF"/>
        <w:spacing w:before="100" w:beforeAutospacing="1"/>
        <w:rPr>
          <w:rFonts w:ascii="Helvetica Neue" w:hAnsi="Helvetica Neue"/>
          <w:color w:val="1F1F1F"/>
        </w:rPr>
      </w:pPr>
      <w:r>
        <w:rPr>
          <w:rFonts w:ascii="Helvetica Neue" w:hAnsi="Helvetica Neue"/>
          <w:color w:val="1F1F1F"/>
        </w:rPr>
        <w:t xml:space="preserve">Similar to the White vs. Black comparison, </w:t>
      </w:r>
      <w:r>
        <w:rPr>
          <w:rFonts w:ascii="Helvetica Neue" w:hAnsi="Helvetica Neue"/>
          <w:color w:val="1F1F1F"/>
        </w:rPr>
        <w:t xml:space="preserve">the p-value of </w:t>
      </w:r>
      <w:r>
        <w:rPr>
          <w:rStyle w:val="Strong"/>
          <w:rFonts w:ascii="Helvetica Neue" w:eastAsiaTheme="majorEastAsia" w:hAnsi="Helvetica Neue"/>
          <w:color w:val="1F1F1F"/>
        </w:rPr>
        <w:t>Black vs. Other (p-value = 0.000687)</w:t>
      </w:r>
      <w:r>
        <w:rPr>
          <w:rStyle w:val="Strong"/>
          <w:rFonts w:ascii="Helvetica Neue" w:eastAsiaTheme="majorEastAsia" w:hAnsi="Helvetica Neue"/>
          <w:color w:val="1F1F1F"/>
        </w:rPr>
        <w:t xml:space="preserve"> </w:t>
      </w:r>
      <w:r>
        <w:rPr>
          <w:rFonts w:ascii="Helvetica Neue" w:hAnsi="Helvetica Neue"/>
          <w:color w:val="1F1F1F"/>
        </w:rPr>
        <w:t>is also very small, signifying another statistically significant difference in survival months.</w:t>
      </w:r>
    </w:p>
    <w:p w14:paraId="46A0B6D6" w14:textId="710B17B7" w:rsidR="0001099D" w:rsidRDefault="00694CA5" w:rsidP="00694CA5">
      <w:pPr>
        <w:shd w:val="clear" w:color="auto" w:fill="FFFFFF"/>
        <w:spacing w:before="100" w:beforeAutospacing="1"/>
        <w:rPr>
          <w:rFonts w:ascii="Helvetica Neue" w:hAnsi="Helvetica Neue"/>
          <w:color w:val="1F1F1F"/>
        </w:rPr>
      </w:pPr>
      <w:r>
        <w:rPr>
          <w:rFonts w:ascii="Helvetica Neue" w:hAnsi="Helvetica Neue"/>
          <w:color w:val="1F1F1F"/>
        </w:rPr>
        <w:t>p-value</w:t>
      </w:r>
      <w:r>
        <w:rPr>
          <w:rFonts w:ascii="Helvetica Neue" w:hAnsi="Helvetica Neue"/>
          <w:color w:val="1F1F1F"/>
        </w:rPr>
        <w:t xml:space="preserve"> of </w:t>
      </w:r>
      <w:r>
        <w:rPr>
          <w:rStyle w:val="Strong"/>
          <w:rFonts w:ascii="Helvetica Neue" w:eastAsiaTheme="majorEastAsia" w:hAnsi="Helvetica Neue"/>
          <w:color w:val="1F1F1F"/>
        </w:rPr>
        <w:t>White vs. Other (p-value = 0.1996)</w:t>
      </w:r>
      <w:r>
        <w:rPr>
          <w:rFonts w:ascii="Helvetica Neue" w:hAnsi="Helvetica Neue"/>
          <w:color w:val="1F1F1F"/>
        </w:rPr>
        <w:t xml:space="preserve"> is higher than the usual threshold for significance (often 0.05). It suggests that the evidence for a difference in survival months between white and other races is not as strong. </w:t>
      </w:r>
    </w:p>
    <w:p w14:paraId="0F278905" w14:textId="77777777" w:rsidR="00694CA5" w:rsidRDefault="00694CA5" w:rsidP="00694CA5">
      <w:pPr>
        <w:shd w:val="clear" w:color="auto" w:fill="FFFFFF"/>
        <w:spacing w:before="100" w:beforeAutospacing="1"/>
        <w:rPr>
          <w:rFonts w:ascii="Helvetica Neue" w:hAnsi="Helvetica Neue"/>
          <w:color w:val="1F1F1F"/>
        </w:rPr>
      </w:pPr>
    </w:p>
    <w:p w14:paraId="3CD7746D" w14:textId="5915E1C8" w:rsidR="00694CA5" w:rsidRDefault="00694CA5" w:rsidP="00694CA5">
      <w:pPr>
        <w:shd w:val="clear" w:color="auto" w:fill="FFFFFF"/>
        <w:spacing w:before="100" w:beforeAutospacing="1"/>
        <w:rPr>
          <w:rFonts w:ascii="Helvetica Neue" w:hAnsi="Helvetica Neue"/>
          <w:color w:val="1F1F1F"/>
        </w:rPr>
      </w:pPr>
      <w:r>
        <w:rPr>
          <w:rFonts w:ascii="Helvetica Neue" w:hAnsi="Helvetica Neue"/>
          <w:color w:val="1F1F1F"/>
        </w:rPr>
        <w:t>Plot 14:</w:t>
      </w:r>
    </w:p>
    <w:p w14:paraId="256D5BDE" w14:textId="77777777" w:rsidR="00694CA5" w:rsidRPr="00BB22B7" w:rsidRDefault="00694CA5" w:rsidP="00694CA5">
      <w:pPr>
        <w:shd w:val="clear" w:color="auto" w:fill="FFFFFF"/>
        <w:spacing w:before="100" w:beforeAutospacing="1"/>
        <w:rPr>
          <w:rFonts w:ascii="Helvetica Neue" w:hAnsi="Helvetica Neue"/>
          <w:color w:val="1F1F1F"/>
          <w:shd w:val="clear" w:color="auto" w:fill="FFFFFF"/>
        </w:rPr>
      </w:pPr>
    </w:p>
    <w:p w14:paraId="6E23C193" w14:textId="77777777" w:rsidR="00C60663" w:rsidRPr="00BB22B7" w:rsidRDefault="00C60663" w:rsidP="00C60663">
      <w:pPr>
        <w:spacing w:line="360" w:lineRule="auto"/>
        <w:jc w:val="both"/>
        <w:rPr>
          <w:rFonts w:ascii="Helvetica Neue" w:hAnsi="Helvetica Neue"/>
          <w:color w:val="1F1F1F"/>
          <w:shd w:val="clear" w:color="auto" w:fill="FFFFFF"/>
        </w:rPr>
      </w:pPr>
    </w:p>
    <w:sectPr w:rsidR="00C60663" w:rsidRPr="00BB22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5DA"/>
    <w:multiLevelType w:val="multilevel"/>
    <w:tmpl w:val="5728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044CB"/>
    <w:multiLevelType w:val="multilevel"/>
    <w:tmpl w:val="B17E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76B98"/>
    <w:multiLevelType w:val="multilevel"/>
    <w:tmpl w:val="E45A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B7985"/>
    <w:multiLevelType w:val="multilevel"/>
    <w:tmpl w:val="9158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74261"/>
    <w:multiLevelType w:val="multilevel"/>
    <w:tmpl w:val="83D2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F1550"/>
    <w:multiLevelType w:val="multilevel"/>
    <w:tmpl w:val="B9B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830D6"/>
    <w:multiLevelType w:val="multilevel"/>
    <w:tmpl w:val="7FC2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B7434"/>
    <w:multiLevelType w:val="multilevel"/>
    <w:tmpl w:val="9244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BD4996"/>
    <w:multiLevelType w:val="multilevel"/>
    <w:tmpl w:val="9DF0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F6EAC"/>
    <w:multiLevelType w:val="multilevel"/>
    <w:tmpl w:val="2C8A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63B22"/>
    <w:multiLevelType w:val="multilevel"/>
    <w:tmpl w:val="6846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7015E7"/>
    <w:multiLevelType w:val="multilevel"/>
    <w:tmpl w:val="083A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CD60DF"/>
    <w:multiLevelType w:val="multilevel"/>
    <w:tmpl w:val="4812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307455">
    <w:abstractNumId w:val="9"/>
  </w:num>
  <w:num w:numId="2" w16cid:durableId="1750233186">
    <w:abstractNumId w:val="5"/>
  </w:num>
  <w:num w:numId="3" w16cid:durableId="132991730">
    <w:abstractNumId w:val="7"/>
  </w:num>
  <w:num w:numId="4" w16cid:durableId="504592028">
    <w:abstractNumId w:val="6"/>
  </w:num>
  <w:num w:numId="5" w16cid:durableId="1942881032">
    <w:abstractNumId w:val="10"/>
  </w:num>
  <w:num w:numId="6" w16cid:durableId="712388200">
    <w:abstractNumId w:val="2"/>
  </w:num>
  <w:num w:numId="7" w16cid:durableId="1728914541">
    <w:abstractNumId w:val="8"/>
  </w:num>
  <w:num w:numId="8" w16cid:durableId="1056659795">
    <w:abstractNumId w:val="0"/>
  </w:num>
  <w:num w:numId="9" w16cid:durableId="872037257">
    <w:abstractNumId w:val="12"/>
  </w:num>
  <w:num w:numId="10" w16cid:durableId="1062481073">
    <w:abstractNumId w:val="1"/>
  </w:num>
  <w:num w:numId="11" w16cid:durableId="710034992">
    <w:abstractNumId w:val="3"/>
  </w:num>
  <w:num w:numId="12" w16cid:durableId="280303906">
    <w:abstractNumId w:val="4"/>
  </w:num>
  <w:num w:numId="13" w16cid:durableId="13469014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BF"/>
    <w:rsid w:val="0001099D"/>
    <w:rsid w:val="000A3752"/>
    <w:rsid w:val="000B39D4"/>
    <w:rsid w:val="000E67B7"/>
    <w:rsid w:val="00135D69"/>
    <w:rsid w:val="001B3DEE"/>
    <w:rsid w:val="001C076F"/>
    <w:rsid w:val="001C4676"/>
    <w:rsid w:val="001C68D3"/>
    <w:rsid w:val="0020343A"/>
    <w:rsid w:val="00215543"/>
    <w:rsid w:val="00247A8B"/>
    <w:rsid w:val="002C37E3"/>
    <w:rsid w:val="003311F5"/>
    <w:rsid w:val="00363071"/>
    <w:rsid w:val="003C18AE"/>
    <w:rsid w:val="003D65D3"/>
    <w:rsid w:val="004429EE"/>
    <w:rsid w:val="00471B7F"/>
    <w:rsid w:val="004A272A"/>
    <w:rsid w:val="004A33BF"/>
    <w:rsid w:val="004A794C"/>
    <w:rsid w:val="004D5DC9"/>
    <w:rsid w:val="00511ACE"/>
    <w:rsid w:val="00537FF9"/>
    <w:rsid w:val="00554795"/>
    <w:rsid w:val="0057688F"/>
    <w:rsid w:val="0060299A"/>
    <w:rsid w:val="00615DCA"/>
    <w:rsid w:val="00694AD1"/>
    <w:rsid w:val="00694CA5"/>
    <w:rsid w:val="006F01A4"/>
    <w:rsid w:val="007244DA"/>
    <w:rsid w:val="007704FA"/>
    <w:rsid w:val="007C3C7F"/>
    <w:rsid w:val="00864AEE"/>
    <w:rsid w:val="008B0622"/>
    <w:rsid w:val="008F4CE9"/>
    <w:rsid w:val="009440A2"/>
    <w:rsid w:val="00972CA9"/>
    <w:rsid w:val="009A14CD"/>
    <w:rsid w:val="009E137C"/>
    <w:rsid w:val="00A30901"/>
    <w:rsid w:val="00A65DC5"/>
    <w:rsid w:val="00AA76BF"/>
    <w:rsid w:val="00B06446"/>
    <w:rsid w:val="00B354C5"/>
    <w:rsid w:val="00B718BE"/>
    <w:rsid w:val="00BA1CA7"/>
    <w:rsid w:val="00BB22B7"/>
    <w:rsid w:val="00C30C55"/>
    <w:rsid w:val="00C34C77"/>
    <w:rsid w:val="00C46089"/>
    <w:rsid w:val="00C60663"/>
    <w:rsid w:val="00C6269D"/>
    <w:rsid w:val="00CA76CA"/>
    <w:rsid w:val="00D04014"/>
    <w:rsid w:val="00D323D8"/>
    <w:rsid w:val="00D969AA"/>
    <w:rsid w:val="00DB0DB8"/>
    <w:rsid w:val="00DD355C"/>
    <w:rsid w:val="00DD5989"/>
    <w:rsid w:val="00E967D3"/>
    <w:rsid w:val="00EE21DB"/>
    <w:rsid w:val="00F24657"/>
    <w:rsid w:val="00F77721"/>
  </w:rsids>
  <m:mathPr>
    <m:mathFont m:val="Cambria Math"/>
    <m:brkBin m:val="before"/>
    <m:brkBinSub m:val="--"/>
    <m:smallFrac m:val="0"/>
    <m:dispDef/>
    <m:lMargin m:val="0"/>
    <m:rMargin m:val="0"/>
    <m:defJc m:val="centerGroup"/>
    <m:wrapIndent m:val="1440"/>
    <m:intLim m:val="subSup"/>
    <m:naryLim m:val="undOvr"/>
  </m:mathPr>
  <w:themeFontLang w:val="en-NO" w:bidi="ar-SA"/>
  <w:clrSchemeMapping w:bg1="light1" w:t1="dark1" w:bg2="light2" w:t2="dark2" w:accent1="accent1" w:accent2="accent2" w:accent3="accent3" w:accent4="accent4" w:accent5="accent5" w:accent6="accent6" w:hyperlink="hyperlink" w:followedHyperlink="followedHyperlink"/>
  <w:decimalSymbol w:val=","/>
  <w:listSeparator w:val=","/>
  <w14:docId w14:val="39DEF2D3"/>
  <w15:chartTrackingRefBased/>
  <w15:docId w15:val="{DCB374C8-51B7-844F-9FFC-E84F6C90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65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A7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6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6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6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6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6B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AA76B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AA76B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AA76B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AA76B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AA76B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A76B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A76B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A76B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A76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6B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A76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6B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A76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76BF"/>
    <w:rPr>
      <w:i/>
      <w:iCs/>
      <w:color w:val="404040" w:themeColor="text1" w:themeTint="BF"/>
      <w:lang w:val="en-US"/>
    </w:rPr>
  </w:style>
  <w:style w:type="paragraph" w:styleId="ListParagraph">
    <w:name w:val="List Paragraph"/>
    <w:basedOn w:val="Normal"/>
    <w:uiPriority w:val="34"/>
    <w:qFormat/>
    <w:rsid w:val="00AA76BF"/>
    <w:pPr>
      <w:ind w:left="720"/>
      <w:contextualSpacing/>
    </w:pPr>
  </w:style>
  <w:style w:type="character" w:styleId="IntenseEmphasis">
    <w:name w:val="Intense Emphasis"/>
    <w:basedOn w:val="DefaultParagraphFont"/>
    <w:uiPriority w:val="21"/>
    <w:qFormat/>
    <w:rsid w:val="00AA76BF"/>
    <w:rPr>
      <w:i/>
      <w:iCs/>
      <w:color w:val="0F4761" w:themeColor="accent1" w:themeShade="BF"/>
    </w:rPr>
  </w:style>
  <w:style w:type="paragraph" w:styleId="IntenseQuote">
    <w:name w:val="Intense Quote"/>
    <w:basedOn w:val="Normal"/>
    <w:next w:val="Normal"/>
    <w:link w:val="IntenseQuoteChar"/>
    <w:uiPriority w:val="30"/>
    <w:qFormat/>
    <w:rsid w:val="00AA7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6BF"/>
    <w:rPr>
      <w:i/>
      <w:iCs/>
      <w:color w:val="0F4761" w:themeColor="accent1" w:themeShade="BF"/>
      <w:lang w:val="en-US"/>
    </w:rPr>
  </w:style>
  <w:style w:type="character" w:styleId="IntenseReference">
    <w:name w:val="Intense Reference"/>
    <w:basedOn w:val="DefaultParagraphFont"/>
    <w:uiPriority w:val="32"/>
    <w:qFormat/>
    <w:rsid w:val="00AA76BF"/>
    <w:rPr>
      <w:b/>
      <w:bCs/>
      <w:smallCaps/>
      <w:color w:val="0F4761" w:themeColor="accent1" w:themeShade="BF"/>
      <w:spacing w:val="5"/>
    </w:rPr>
  </w:style>
  <w:style w:type="paragraph" w:styleId="NormalWeb">
    <w:name w:val="Normal (Web)"/>
    <w:basedOn w:val="Normal"/>
    <w:uiPriority w:val="99"/>
    <w:semiHidden/>
    <w:unhideWhenUsed/>
    <w:rsid w:val="00CA76CA"/>
    <w:pPr>
      <w:spacing w:before="100" w:beforeAutospacing="1" w:after="100" w:afterAutospacing="1"/>
    </w:pPr>
  </w:style>
  <w:style w:type="character" w:styleId="Strong">
    <w:name w:val="Strong"/>
    <w:basedOn w:val="DefaultParagraphFont"/>
    <w:uiPriority w:val="22"/>
    <w:qFormat/>
    <w:rsid w:val="00CA76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0520">
      <w:bodyDiv w:val="1"/>
      <w:marLeft w:val="0"/>
      <w:marRight w:val="0"/>
      <w:marTop w:val="0"/>
      <w:marBottom w:val="0"/>
      <w:divBdr>
        <w:top w:val="none" w:sz="0" w:space="0" w:color="auto"/>
        <w:left w:val="none" w:sz="0" w:space="0" w:color="auto"/>
        <w:bottom w:val="none" w:sz="0" w:space="0" w:color="auto"/>
        <w:right w:val="none" w:sz="0" w:space="0" w:color="auto"/>
      </w:divBdr>
      <w:divsChild>
        <w:div w:id="813914105">
          <w:marLeft w:val="0"/>
          <w:marRight w:val="0"/>
          <w:marTop w:val="0"/>
          <w:marBottom w:val="0"/>
          <w:divBdr>
            <w:top w:val="none" w:sz="0" w:space="0" w:color="auto"/>
            <w:left w:val="none" w:sz="0" w:space="0" w:color="auto"/>
            <w:bottom w:val="none" w:sz="0" w:space="0" w:color="auto"/>
            <w:right w:val="none" w:sz="0" w:space="0" w:color="auto"/>
          </w:divBdr>
        </w:div>
      </w:divsChild>
    </w:div>
    <w:div w:id="40981158">
      <w:bodyDiv w:val="1"/>
      <w:marLeft w:val="0"/>
      <w:marRight w:val="0"/>
      <w:marTop w:val="0"/>
      <w:marBottom w:val="0"/>
      <w:divBdr>
        <w:top w:val="none" w:sz="0" w:space="0" w:color="auto"/>
        <w:left w:val="none" w:sz="0" w:space="0" w:color="auto"/>
        <w:bottom w:val="none" w:sz="0" w:space="0" w:color="auto"/>
        <w:right w:val="none" w:sz="0" w:space="0" w:color="auto"/>
      </w:divBdr>
    </w:div>
    <w:div w:id="439375248">
      <w:bodyDiv w:val="1"/>
      <w:marLeft w:val="0"/>
      <w:marRight w:val="0"/>
      <w:marTop w:val="0"/>
      <w:marBottom w:val="0"/>
      <w:divBdr>
        <w:top w:val="none" w:sz="0" w:space="0" w:color="auto"/>
        <w:left w:val="none" w:sz="0" w:space="0" w:color="auto"/>
        <w:bottom w:val="none" w:sz="0" w:space="0" w:color="auto"/>
        <w:right w:val="none" w:sz="0" w:space="0" w:color="auto"/>
      </w:divBdr>
    </w:div>
    <w:div w:id="615016918">
      <w:bodyDiv w:val="1"/>
      <w:marLeft w:val="0"/>
      <w:marRight w:val="0"/>
      <w:marTop w:val="0"/>
      <w:marBottom w:val="0"/>
      <w:divBdr>
        <w:top w:val="none" w:sz="0" w:space="0" w:color="auto"/>
        <w:left w:val="none" w:sz="0" w:space="0" w:color="auto"/>
        <w:bottom w:val="none" w:sz="0" w:space="0" w:color="auto"/>
        <w:right w:val="none" w:sz="0" w:space="0" w:color="auto"/>
      </w:divBdr>
    </w:div>
    <w:div w:id="666590044">
      <w:bodyDiv w:val="1"/>
      <w:marLeft w:val="0"/>
      <w:marRight w:val="0"/>
      <w:marTop w:val="0"/>
      <w:marBottom w:val="0"/>
      <w:divBdr>
        <w:top w:val="none" w:sz="0" w:space="0" w:color="auto"/>
        <w:left w:val="none" w:sz="0" w:space="0" w:color="auto"/>
        <w:bottom w:val="none" w:sz="0" w:space="0" w:color="auto"/>
        <w:right w:val="none" w:sz="0" w:space="0" w:color="auto"/>
      </w:divBdr>
    </w:div>
    <w:div w:id="707029222">
      <w:bodyDiv w:val="1"/>
      <w:marLeft w:val="0"/>
      <w:marRight w:val="0"/>
      <w:marTop w:val="0"/>
      <w:marBottom w:val="0"/>
      <w:divBdr>
        <w:top w:val="none" w:sz="0" w:space="0" w:color="auto"/>
        <w:left w:val="none" w:sz="0" w:space="0" w:color="auto"/>
        <w:bottom w:val="none" w:sz="0" w:space="0" w:color="auto"/>
        <w:right w:val="none" w:sz="0" w:space="0" w:color="auto"/>
      </w:divBdr>
    </w:div>
    <w:div w:id="834104082">
      <w:bodyDiv w:val="1"/>
      <w:marLeft w:val="0"/>
      <w:marRight w:val="0"/>
      <w:marTop w:val="0"/>
      <w:marBottom w:val="0"/>
      <w:divBdr>
        <w:top w:val="none" w:sz="0" w:space="0" w:color="auto"/>
        <w:left w:val="none" w:sz="0" w:space="0" w:color="auto"/>
        <w:bottom w:val="none" w:sz="0" w:space="0" w:color="auto"/>
        <w:right w:val="none" w:sz="0" w:space="0" w:color="auto"/>
      </w:divBdr>
    </w:div>
    <w:div w:id="1055858916">
      <w:bodyDiv w:val="1"/>
      <w:marLeft w:val="0"/>
      <w:marRight w:val="0"/>
      <w:marTop w:val="0"/>
      <w:marBottom w:val="0"/>
      <w:divBdr>
        <w:top w:val="none" w:sz="0" w:space="0" w:color="auto"/>
        <w:left w:val="none" w:sz="0" w:space="0" w:color="auto"/>
        <w:bottom w:val="none" w:sz="0" w:space="0" w:color="auto"/>
        <w:right w:val="none" w:sz="0" w:space="0" w:color="auto"/>
      </w:divBdr>
    </w:div>
    <w:div w:id="1133061737">
      <w:bodyDiv w:val="1"/>
      <w:marLeft w:val="0"/>
      <w:marRight w:val="0"/>
      <w:marTop w:val="0"/>
      <w:marBottom w:val="0"/>
      <w:divBdr>
        <w:top w:val="none" w:sz="0" w:space="0" w:color="auto"/>
        <w:left w:val="none" w:sz="0" w:space="0" w:color="auto"/>
        <w:bottom w:val="none" w:sz="0" w:space="0" w:color="auto"/>
        <w:right w:val="none" w:sz="0" w:space="0" w:color="auto"/>
      </w:divBdr>
    </w:div>
    <w:div w:id="1199708578">
      <w:bodyDiv w:val="1"/>
      <w:marLeft w:val="0"/>
      <w:marRight w:val="0"/>
      <w:marTop w:val="0"/>
      <w:marBottom w:val="0"/>
      <w:divBdr>
        <w:top w:val="none" w:sz="0" w:space="0" w:color="auto"/>
        <w:left w:val="none" w:sz="0" w:space="0" w:color="auto"/>
        <w:bottom w:val="none" w:sz="0" w:space="0" w:color="auto"/>
        <w:right w:val="none" w:sz="0" w:space="0" w:color="auto"/>
      </w:divBdr>
    </w:div>
    <w:div w:id="1596984015">
      <w:bodyDiv w:val="1"/>
      <w:marLeft w:val="0"/>
      <w:marRight w:val="0"/>
      <w:marTop w:val="0"/>
      <w:marBottom w:val="0"/>
      <w:divBdr>
        <w:top w:val="none" w:sz="0" w:space="0" w:color="auto"/>
        <w:left w:val="none" w:sz="0" w:space="0" w:color="auto"/>
        <w:bottom w:val="none" w:sz="0" w:space="0" w:color="auto"/>
        <w:right w:val="none" w:sz="0" w:space="0" w:color="auto"/>
      </w:divBdr>
    </w:div>
    <w:div w:id="1720204065">
      <w:bodyDiv w:val="1"/>
      <w:marLeft w:val="0"/>
      <w:marRight w:val="0"/>
      <w:marTop w:val="0"/>
      <w:marBottom w:val="0"/>
      <w:divBdr>
        <w:top w:val="none" w:sz="0" w:space="0" w:color="auto"/>
        <w:left w:val="none" w:sz="0" w:space="0" w:color="auto"/>
        <w:bottom w:val="none" w:sz="0" w:space="0" w:color="auto"/>
        <w:right w:val="none" w:sz="0" w:space="0" w:color="auto"/>
      </w:divBdr>
    </w:div>
    <w:div w:id="1943872820">
      <w:bodyDiv w:val="1"/>
      <w:marLeft w:val="0"/>
      <w:marRight w:val="0"/>
      <w:marTop w:val="0"/>
      <w:marBottom w:val="0"/>
      <w:divBdr>
        <w:top w:val="none" w:sz="0" w:space="0" w:color="auto"/>
        <w:left w:val="none" w:sz="0" w:space="0" w:color="auto"/>
        <w:bottom w:val="none" w:sz="0" w:space="0" w:color="auto"/>
        <w:right w:val="none" w:sz="0" w:space="0" w:color="auto"/>
      </w:divBdr>
      <w:divsChild>
        <w:div w:id="1916935514">
          <w:marLeft w:val="0"/>
          <w:marRight w:val="0"/>
          <w:marTop w:val="0"/>
          <w:marBottom w:val="0"/>
          <w:divBdr>
            <w:top w:val="single" w:sz="2" w:space="0" w:color="E3E3E3"/>
            <w:left w:val="single" w:sz="2" w:space="0" w:color="E3E3E3"/>
            <w:bottom w:val="single" w:sz="2" w:space="0" w:color="E3E3E3"/>
            <w:right w:val="single" w:sz="2" w:space="0" w:color="E3E3E3"/>
          </w:divBdr>
          <w:divsChild>
            <w:div w:id="68160472">
              <w:marLeft w:val="0"/>
              <w:marRight w:val="0"/>
              <w:marTop w:val="0"/>
              <w:marBottom w:val="0"/>
              <w:divBdr>
                <w:top w:val="single" w:sz="2" w:space="0" w:color="E3E3E3"/>
                <w:left w:val="single" w:sz="2" w:space="0" w:color="E3E3E3"/>
                <w:bottom w:val="single" w:sz="2" w:space="0" w:color="E3E3E3"/>
                <w:right w:val="single" w:sz="2" w:space="0" w:color="E3E3E3"/>
              </w:divBdr>
              <w:divsChild>
                <w:div w:id="102530657">
                  <w:marLeft w:val="0"/>
                  <w:marRight w:val="0"/>
                  <w:marTop w:val="0"/>
                  <w:marBottom w:val="0"/>
                  <w:divBdr>
                    <w:top w:val="single" w:sz="2" w:space="0" w:color="E3E3E3"/>
                    <w:left w:val="single" w:sz="2" w:space="0" w:color="E3E3E3"/>
                    <w:bottom w:val="single" w:sz="2" w:space="0" w:color="E3E3E3"/>
                    <w:right w:val="single" w:sz="2" w:space="0" w:color="E3E3E3"/>
                  </w:divBdr>
                  <w:divsChild>
                    <w:div w:id="1005283148">
                      <w:marLeft w:val="0"/>
                      <w:marRight w:val="0"/>
                      <w:marTop w:val="0"/>
                      <w:marBottom w:val="0"/>
                      <w:divBdr>
                        <w:top w:val="single" w:sz="2" w:space="0" w:color="E3E3E3"/>
                        <w:left w:val="single" w:sz="2" w:space="0" w:color="E3E3E3"/>
                        <w:bottom w:val="single" w:sz="2" w:space="0" w:color="E3E3E3"/>
                        <w:right w:val="single" w:sz="2" w:space="0" w:color="E3E3E3"/>
                      </w:divBdr>
                      <w:divsChild>
                        <w:div w:id="13919504">
                          <w:marLeft w:val="0"/>
                          <w:marRight w:val="0"/>
                          <w:marTop w:val="0"/>
                          <w:marBottom w:val="0"/>
                          <w:divBdr>
                            <w:top w:val="single" w:sz="2" w:space="0" w:color="E3E3E3"/>
                            <w:left w:val="single" w:sz="2" w:space="0" w:color="E3E3E3"/>
                            <w:bottom w:val="single" w:sz="2" w:space="0" w:color="E3E3E3"/>
                            <w:right w:val="single" w:sz="2" w:space="0" w:color="E3E3E3"/>
                          </w:divBdr>
                          <w:divsChild>
                            <w:div w:id="1093478289">
                              <w:marLeft w:val="0"/>
                              <w:marRight w:val="0"/>
                              <w:marTop w:val="0"/>
                              <w:marBottom w:val="0"/>
                              <w:divBdr>
                                <w:top w:val="single" w:sz="2" w:space="0" w:color="E3E3E3"/>
                                <w:left w:val="single" w:sz="2" w:space="0" w:color="E3E3E3"/>
                                <w:bottom w:val="single" w:sz="2" w:space="0" w:color="E3E3E3"/>
                                <w:right w:val="single" w:sz="2" w:space="0" w:color="E3E3E3"/>
                              </w:divBdr>
                              <w:divsChild>
                                <w:div w:id="2094466423">
                                  <w:marLeft w:val="0"/>
                                  <w:marRight w:val="0"/>
                                  <w:marTop w:val="100"/>
                                  <w:marBottom w:val="100"/>
                                  <w:divBdr>
                                    <w:top w:val="single" w:sz="2" w:space="0" w:color="E3E3E3"/>
                                    <w:left w:val="single" w:sz="2" w:space="0" w:color="E3E3E3"/>
                                    <w:bottom w:val="single" w:sz="2" w:space="0" w:color="E3E3E3"/>
                                    <w:right w:val="single" w:sz="2" w:space="0" w:color="E3E3E3"/>
                                  </w:divBdr>
                                  <w:divsChild>
                                    <w:div w:id="770854587">
                                      <w:marLeft w:val="0"/>
                                      <w:marRight w:val="0"/>
                                      <w:marTop w:val="0"/>
                                      <w:marBottom w:val="0"/>
                                      <w:divBdr>
                                        <w:top w:val="single" w:sz="2" w:space="0" w:color="E3E3E3"/>
                                        <w:left w:val="single" w:sz="2" w:space="0" w:color="E3E3E3"/>
                                        <w:bottom w:val="single" w:sz="2" w:space="0" w:color="E3E3E3"/>
                                        <w:right w:val="single" w:sz="2" w:space="0" w:color="E3E3E3"/>
                                      </w:divBdr>
                                      <w:divsChild>
                                        <w:div w:id="711878187">
                                          <w:marLeft w:val="0"/>
                                          <w:marRight w:val="0"/>
                                          <w:marTop w:val="0"/>
                                          <w:marBottom w:val="0"/>
                                          <w:divBdr>
                                            <w:top w:val="single" w:sz="2" w:space="0" w:color="E3E3E3"/>
                                            <w:left w:val="single" w:sz="2" w:space="0" w:color="E3E3E3"/>
                                            <w:bottom w:val="single" w:sz="2" w:space="0" w:color="E3E3E3"/>
                                            <w:right w:val="single" w:sz="2" w:space="0" w:color="E3E3E3"/>
                                          </w:divBdr>
                                          <w:divsChild>
                                            <w:div w:id="925265185">
                                              <w:marLeft w:val="0"/>
                                              <w:marRight w:val="0"/>
                                              <w:marTop w:val="0"/>
                                              <w:marBottom w:val="0"/>
                                              <w:divBdr>
                                                <w:top w:val="single" w:sz="2" w:space="0" w:color="E3E3E3"/>
                                                <w:left w:val="single" w:sz="2" w:space="0" w:color="E3E3E3"/>
                                                <w:bottom w:val="single" w:sz="2" w:space="0" w:color="E3E3E3"/>
                                                <w:right w:val="single" w:sz="2" w:space="0" w:color="E3E3E3"/>
                                              </w:divBdr>
                                              <w:divsChild>
                                                <w:div w:id="733695486">
                                                  <w:marLeft w:val="0"/>
                                                  <w:marRight w:val="0"/>
                                                  <w:marTop w:val="0"/>
                                                  <w:marBottom w:val="0"/>
                                                  <w:divBdr>
                                                    <w:top w:val="single" w:sz="2" w:space="0" w:color="E3E3E3"/>
                                                    <w:left w:val="single" w:sz="2" w:space="0" w:color="E3E3E3"/>
                                                    <w:bottom w:val="single" w:sz="2" w:space="0" w:color="E3E3E3"/>
                                                    <w:right w:val="single" w:sz="2" w:space="0" w:color="E3E3E3"/>
                                                  </w:divBdr>
                                                  <w:divsChild>
                                                    <w:div w:id="1284582417">
                                                      <w:marLeft w:val="0"/>
                                                      <w:marRight w:val="0"/>
                                                      <w:marTop w:val="0"/>
                                                      <w:marBottom w:val="0"/>
                                                      <w:divBdr>
                                                        <w:top w:val="single" w:sz="2" w:space="0" w:color="E3E3E3"/>
                                                        <w:left w:val="single" w:sz="2" w:space="0" w:color="E3E3E3"/>
                                                        <w:bottom w:val="single" w:sz="2" w:space="0" w:color="E3E3E3"/>
                                                        <w:right w:val="single" w:sz="2" w:space="0" w:color="E3E3E3"/>
                                                      </w:divBdr>
                                                      <w:divsChild>
                                                        <w:div w:id="1073158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3841775">
          <w:marLeft w:val="0"/>
          <w:marRight w:val="0"/>
          <w:marTop w:val="0"/>
          <w:marBottom w:val="0"/>
          <w:divBdr>
            <w:top w:val="none" w:sz="0" w:space="0" w:color="auto"/>
            <w:left w:val="none" w:sz="0" w:space="0" w:color="auto"/>
            <w:bottom w:val="none" w:sz="0" w:space="0" w:color="auto"/>
            <w:right w:val="none" w:sz="0" w:space="0" w:color="auto"/>
          </w:divBdr>
          <w:divsChild>
            <w:div w:id="2032145241">
              <w:marLeft w:val="0"/>
              <w:marRight w:val="0"/>
              <w:marTop w:val="0"/>
              <w:marBottom w:val="0"/>
              <w:divBdr>
                <w:top w:val="single" w:sz="2" w:space="0" w:color="E3E3E3"/>
                <w:left w:val="single" w:sz="2" w:space="0" w:color="E3E3E3"/>
                <w:bottom w:val="single" w:sz="2" w:space="0" w:color="E3E3E3"/>
                <w:right w:val="single" w:sz="2" w:space="0" w:color="E3E3E3"/>
              </w:divBdr>
              <w:divsChild>
                <w:div w:id="1657999007">
                  <w:marLeft w:val="0"/>
                  <w:marRight w:val="0"/>
                  <w:marTop w:val="0"/>
                  <w:marBottom w:val="0"/>
                  <w:divBdr>
                    <w:top w:val="single" w:sz="2" w:space="0" w:color="E3E3E3"/>
                    <w:left w:val="single" w:sz="2" w:space="0" w:color="E3E3E3"/>
                    <w:bottom w:val="single" w:sz="2" w:space="0" w:color="E3E3E3"/>
                    <w:right w:val="single" w:sz="2" w:space="0" w:color="E3E3E3"/>
                  </w:divBdr>
                  <w:divsChild>
                    <w:div w:id="1216040888">
                      <w:marLeft w:val="0"/>
                      <w:marRight w:val="0"/>
                      <w:marTop w:val="0"/>
                      <w:marBottom w:val="0"/>
                      <w:divBdr>
                        <w:top w:val="single" w:sz="6" w:space="0" w:color="auto"/>
                        <w:left w:val="single" w:sz="6" w:space="0" w:color="auto"/>
                        <w:bottom w:val="single" w:sz="6" w:space="0" w:color="auto"/>
                        <w:right w:val="single" w:sz="6" w:space="0" w:color="auto"/>
                      </w:divBdr>
                      <w:divsChild>
                        <w:div w:id="1423061508">
                          <w:marLeft w:val="0"/>
                          <w:marRight w:val="0"/>
                          <w:marTop w:val="0"/>
                          <w:marBottom w:val="0"/>
                          <w:divBdr>
                            <w:top w:val="none" w:sz="0" w:space="0" w:color="auto"/>
                            <w:left w:val="none" w:sz="0" w:space="0" w:color="auto"/>
                            <w:bottom w:val="none" w:sz="0" w:space="0" w:color="auto"/>
                            <w:right w:val="none" w:sz="0" w:space="0" w:color="auto"/>
                          </w:divBdr>
                          <w:divsChild>
                            <w:div w:id="725840095">
                              <w:marLeft w:val="0"/>
                              <w:marRight w:val="0"/>
                              <w:marTop w:val="0"/>
                              <w:marBottom w:val="0"/>
                              <w:divBdr>
                                <w:top w:val="none" w:sz="0" w:space="0" w:color="auto"/>
                                <w:left w:val="none" w:sz="0" w:space="0" w:color="auto"/>
                                <w:bottom w:val="none" w:sz="0" w:space="0" w:color="auto"/>
                                <w:right w:val="none" w:sz="0" w:space="0" w:color="auto"/>
                              </w:divBdr>
                              <w:divsChild>
                                <w:div w:id="608584503">
                                  <w:marLeft w:val="0"/>
                                  <w:marRight w:val="0"/>
                                  <w:marTop w:val="0"/>
                                  <w:marBottom w:val="0"/>
                                  <w:divBdr>
                                    <w:top w:val="none" w:sz="0" w:space="0" w:color="auto"/>
                                    <w:left w:val="none" w:sz="0" w:space="0" w:color="auto"/>
                                    <w:bottom w:val="none" w:sz="0" w:space="0" w:color="auto"/>
                                    <w:right w:val="none" w:sz="0" w:space="0" w:color="auto"/>
                                  </w:divBdr>
                                  <w:divsChild>
                                    <w:div w:id="1796295306">
                                      <w:marLeft w:val="0"/>
                                      <w:marRight w:val="0"/>
                                      <w:marTop w:val="0"/>
                                      <w:marBottom w:val="0"/>
                                      <w:divBdr>
                                        <w:top w:val="none" w:sz="0" w:space="0" w:color="auto"/>
                                        <w:left w:val="none" w:sz="0" w:space="0" w:color="auto"/>
                                        <w:bottom w:val="none" w:sz="0" w:space="0" w:color="auto"/>
                                        <w:right w:val="none" w:sz="0" w:space="0" w:color="auto"/>
                                      </w:divBdr>
                                      <w:divsChild>
                                        <w:div w:id="1647003068">
                                          <w:marLeft w:val="0"/>
                                          <w:marRight w:val="0"/>
                                          <w:marTop w:val="0"/>
                                          <w:marBottom w:val="0"/>
                                          <w:divBdr>
                                            <w:top w:val="none" w:sz="0" w:space="0" w:color="auto"/>
                                            <w:left w:val="none" w:sz="0" w:space="0" w:color="auto"/>
                                            <w:bottom w:val="none" w:sz="0" w:space="0" w:color="auto"/>
                                            <w:right w:val="none" w:sz="0" w:space="0" w:color="auto"/>
                                          </w:divBdr>
                                          <w:divsChild>
                                            <w:div w:id="6486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57949">
      <w:bodyDiv w:val="1"/>
      <w:marLeft w:val="0"/>
      <w:marRight w:val="0"/>
      <w:marTop w:val="0"/>
      <w:marBottom w:val="0"/>
      <w:divBdr>
        <w:top w:val="none" w:sz="0" w:space="0" w:color="auto"/>
        <w:left w:val="none" w:sz="0" w:space="0" w:color="auto"/>
        <w:bottom w:val="none" w:sz="0" w:space="0" w:color="auto"/>
        <w:right w:val="none" w:sz="0" w:space="0" w:color="auto"/>
      </w:divBdr>
    </w:div>
    <w:div w:id="209272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Mushtaq AL-Rubaye</dc:creator>
  <cp:keywords/>
  <dc:description/>
  <cp:lastModifiedBy>Mushtaq AL-Rubaye</cp:lastModifiedBy>
  <cp:revision>15</cp:revision>
  <dcterms:created xsi:type="dcterms:W3CDTF">2024-04-12T11:33:00Z</dcterms:created>
  <dcterms:modified xsi:type="dcterms:W3CDTF">2024-04-12T23:26:00Z</dcterms:modified>
</cp:coreProperties>
</file>