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95F0" w14:textId="77777777" w:rsidR="00C25EB3" w:rsidRDefault="00C25EB3" w:rsidP="00C25EB3">
      <w:pPr>
        <w:pStyle w:val="Title"/>
        <w:rPr>
          <w:color w:val="C8102E"/>
        </w:rPr>
      </w:pPr>
      <w:r>
        <w:rPr>
          <w:color w:val="C8102E"/>
        </w:rPr>
        <w:t>Supply Chain Issues Review</w:t>
      </w:r>
    </w:p>
    <w:p w14:paraId="3B54B258" w14:textId="77777777" w:rsidR="00C25EB3" w:rsidRDefault="00C25EB3" w:rsidP="00C25EB3">
      <w:pPr>
        <w:pStyle w:val="Heading1"/>
        <w:rPr>
          <w:rFonts w:cstheme="minorBidi"/>
        </w:rPr>
      </w:pPr>
      <w:r>
        <w:rPr>
          <w:rFonts w:cstheme="minorBidi"/>
        </w:rPr>
        <w:t>Introduction</w:t>
      </w:r>
    </w:p>
    <w:p w14:paraId="5C39250B" w14:textId="77777777" w:rsidR="00DB3511" w:rsidRDefault="00DB3511">
      <w:r>
        <w:t>This report reviews critical supply chain issues affecting three components—BIND567, COMP042, and COMP043—and their potential impact on production continuity and FDA compliance. The analysis is based on the attached escalation email and supporting supply chain data, with a focus on current risks, business implications, and immediate actions needed to stabilize supply and reduce regulatory exposure.</w:t>
      </w:r>
    </w:p>
    <w:p w14:paraId="6FD16230" w14:textId="77777777" w:rsidR="00C25EB3" w:rsidRDefault="00C25EB3" w:rsidP="00C25EB3">
      <w:pPr>
        <w:pStyle w:val="Heading1"/>
        <w:rPr>
          <w:rFonts w:cstheme="minorBidi"/>
        </w:rPr>
      </w:pPr>
      <w:r>
        <w:rPr>
          <w:rFonts w:cstheme="minorBidi"/>
        </w:rPr>
        <w:t>Outline of the Business Problem</w:t>
      </w:r>
    </w:p>
    <w:p w14:paraId="1E22BF8F" w14:textId="77777777" w:rsidR="00DB3511" w:rsidRDefault="00DB3511">
      <w:r>
        <w:t xml:space="preserve">The business problem is driven by a combination of quality failures, unreliable deliveries, limited traceability, and supplier performance concerns across critical components in the supply chain. For BIND567, recent batches have shown quality control inconsistencies and stability concerns, </w:t>
      </w:r>
      <w:proofErr w:type="gramStart"/>
      <w:r>
        <w:t>creating</w:t>
      </w:r>
      <w:proofErr w:type="gramEnd"/>
      <w:r>
        <w:t xml:space="preserve"> production delays and increasing the risk of non-compliance. For COMP042, delays, incorrect lot information, and weak traceability processes create documentation and contamination risks that can compromise regulatory readiness. For COMP043, supplier GMP </w:t>
      </w:r>
      <w:proofErr w:type="gramStart"/>
      <w:r>
        <w:t>concerns,</w:t>
      </w:r>
      <w:proofErr w:type="gramEnd"/>
      <w:r>
        <w:t xml:space="preserve"> purity issues, and erratic deliveries raise the likelihood of stockouts and interruptions to manufacturing operations. Supporting data indicates that these components carry meaningful delivery and performance risks, including delayed receipt dates, lead time variability, and in the case of COMP043, a notably elevated defect rate. Collectively, these issues threaten production continuity, increase operational costs, and expose the business to potential FDA findings, penalties, and reputational damage.</w:t>
      </w:r>
    </w:p>
    <w:p w14:paraId="01B37E81" w14:textId="77777777" w:rsidR="00C25EB3" w:rsidRDefault="00C25EB3" w:rsidP="00C25EB3">
      <w:pPr>
        <w:pStyle w:val="Heading1"/>
        <w:rPr>
          <w:rFonts w:cstheme="minorBidi"/>
        </w:rPr>
      </w:pPr>
      <w:r>
        <w:rPr>
          <w:rFonts w:cstheme="minorBidi"/>
        </w:rPr>
        <w:t>Action Items</w:t>
      </w:r>
    </w:p>
    <w:p w14:paraId="0D8AAFC9" w14:textId="77777777" w:rsidR="00DB3511" w:rsidRDefault="00DB3511" w:rsidP="00DB3511">
      <w:pPr>
        <w:pStyle w:val="ListParagraph"/>
        <w:numPr>
          <w:ilvl w:val="0"/>
          <w:numId w:val="1"/>
        </w:numPr>
      </w:pPr>
      <w:r>
        <w:t xml:space="preserve">Convene an immediate cross-functional review with procurement, quality assurance, regulatory affairs, and supply chain management to </w:t>
      </w:r>
      <w:proofErr w:type="gramStart"/>
      <w:r>
        <w:t>align on</w:t>
      </w:r>
      <w:proofErr w:type="gramEnd"/>
      <w:r>
        <w:t xml:space="preserve"> containment and recovery actions.</w:t>
      </w:r>
    </w:p>
    <w:p w14:paraId="1C865DB5" w14:textId="77777777" w:rsidR="00DB3511" w:rsidRDefault="00DB3511" w:rsidP="00DB3511">
      <w:pPr>
        <w:pStyle w:val="ListParagraph"/>
        <w:numPr>
          <w:ilvl w:val="0"/>
          <w:numId w:val="1"/>
        </w:numPr>
      </w:pPr>
      <w:r>
        <w:t>Validate all current batches of BIND567, with priority focus on molecular consistency, stability, and manufacturing impact.</w:t>
      </w:r>
    </w:p>
    <w:p w14:paraId="69C59842" w14:textId="77777777" w:rsidR="00DB3511" w:rsidRDefault="00DB3511" w:rsidP="00DB3511">
      <w:pPr>
        <w:pStyle w:val="ListParagraph"/>
        <w:numPr>
          <w:ilvl w:val="0"/>
          <w:numId w:val="1"/>
        </w:numPr>
      </w:pPr>
      <w:r>
        <w:t>Establish full traceability controls for COMP042, including verification of lot numbers, origin records, and handling documentation.</w:t>
      </w:r>
    </w:p>
    <w:p w14:paraId="5C6EFBF5" w14:textId="77777777" w:rsidR="00DB3511" w:rsidRDefault="00DB3511" w:rsidP="00DB3511">
      <w:pPr>
        <w:pStyle w:val="ListParagraph"/>
        <w:numPr>
          <w:ilvl w:val="0"/>
          <w:numId w:val="1"/>
        </w:numPr>
      </w:pPr>
      <w:r>
        <w:t xml:space="preserve">Engage the supplier for COMP043 to address GMP and purity </w:t>
      </w:r>
      <w:proofErr w:type="gramStart"/>
      <w:r>
        <w:t>concerns, and</w:t>
      </w:r>
      <w:proofErr w:type="gramEnd"/>
      <w:r>
        <w:t xml:space="preserve"> assess whether an alternative qualified source is required.</w:t>
      </w:r>
    </w:p>
    <w:p w14:paraId="28C4D9FF" w14:textId="77777777" w:rsidR="00DB3511" w:rsidRDefault="00DB3511" w:rsidP="00DB3511">
      <w:pPr>
        <w:pStyle w:val="ListParagraph"/>
        <w:numPr>
          <w:ilvl w:val="0"/>
          <w:numId w:val="1"/>
        </w:numPr>
      </w:pPr>
      <w:r>
        <w:t xml:space="preserve">Use expedited shipping, adjusted order cycles, and higher inventory buffers </w:t>
      </w:r>
      <w:proofErr w:type="gramStart"/>
      <w:r>
        <w:t>where</w:t>
      </w:r>
      <w:proofErr w:type="gramEnd"/>
      <w:r>
        <w:t xml:space="preserve"> appropriate to reduce short-term supply disruption.</w:t>
      </w:r>
    </w:p>
    <w:p w14:paraId="22EBC602" w14:textId="77777777" w:rsidR="00DB3511" w:rsidRDefault="00DB3511" w:rsidP="00DB3511">
      <w:pPr>
        <w:pStyle w:val="ListParagraph"/>
        <w:numPr>
          <w:ilvl w:val="0"/>
          <w:numId w:val="1"/>
        </w:numPr>
      </w:pPr>
      <w:r>
        <w:lastRenderedPageBreak/>
        <w:t>Improve supplier collaboration on forecasting, demand planning, and delivery performance monitoring for all three components.</w:t>
      </w:r>
    </w:p>
    <w:p w14:paraId="4A18014F" w14:textId="77777777" w:rsidR="00DB3511" w:rsidRDefault="00DB3511" w:rsidP="00DB3511">
      <w:pPr>
        <w:pStyle w:val="ListParagraph"/>
        <w:numPr>
          <w:ilvl w:val="0"/>
          <w:numId w:val="1"/>
        </w:numPr>
      </w:pPr>
      <w:r>
        <w:t>Track defect rates, lead time variance, supplier reliability, and inventory coverage through a recurring management review until risk levels normalize.</w:t>
      </w:r>
    </w:p>
    <w:p w14:paraId="078589B1" w14:textId="77777777" w:rsidR="00C25EB3" w:rsidRDefault="00C25EB3" w:rsidP="00C25EB3">
      <w:pPr>
        <w:pStyle w:val="Heading1"/>
        <w:rPr>
          <w:rFonts w:cstheme="minorBidi"/>
        </w:rPr>
      </w:pPr>
      <w:r>
        <w:rPr>
          <w:rFonts w:cstheme="minorBidi"/>
        </w:rPr>
        <w:t>Conclusion</w:t>
      </w:r>
    </w:p>
    <w:p w14:paraId="562CD5AC" w14:textId="77777777" w:rsidR="00DB3511" w:rsidRDefault="00DB3511">
      <w:r>
        <w:t>The current supply chain issues represent a material operational and compliance risk that requires immediate and coordinated intervention. The combination of quality concerns, supplier variability, documentation gaps, and delivery instability across BIND567, COMP042, and COMP043 could disrupt manufacturing and compromise FDA compliance if not resolved quickly. By implementing focused containment measures, strengthening supplier oversight, and improving planning and traceability controls, the organization can reduce near-term disruption and build a more resilient, compliant supply chain.</w:t>
      </w:r>
    </w:p>
    <w:sectPr w:rsidR="00DB3511" w:rsidSect="00DB3511">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341D6"/>
    <w:multiLevelType w:val="multilevel"/>
    <w:tmpl w:val="0EF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55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A4"/>
    <w:rsid w:val="00747BEA"/>
    <w:rsid w:val="009F1BA4"/>
    <w:rsid w:val="00C25EB3"/>
    <w:rsid w:val="00D778AD"/>
    <w:rsid w:val="00DB3511"/>
    <w:rsid w:val="00EE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3E02"/>
  <w15:chartTrackingRefBased/>
  <w15:docId w15:val="{E85384FB-8AE4-4A9A-8925-0B56B7AF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A4"/>
    <w:rPr>
      <w:rFonts w:eastAsiaTheme="majorEastAsia" w:cstheme="majorBidi"/>
      <w:color w:val="272727" w:themeColor="text1" w:themeTint="D8"/>
    </w:rPr>
  </w:style>
  <w:style w:type="paragraph" w:styleId="Title">
    <w:name w:val="Title"/>
    <w:basedOn w:val="Normal"/>
    <w:next w:val="Normal"/>
    <w:link w:val="TitleChar"/>
    <w:uiPriority w:val="10"/>
    <w:qFormat/>
    <w:rsid w:val="009F1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A4"/>
    <w:pPr>
      <w:spacing w:before="160"/>
      <w:jc w:val="center"/>
    </w:pPr>
    <w:rPr>
      <w:i/>
      <w:iCs/>
      <w:color w:val="404040" w:themeColor="text1" w:themeTint="BF"/>
    </w:rPr>
  </w:style>
  <w:style w:type="character" w:customStyle="1" w:styleId="QuoteChar">
    <w:name w:val="Quote Char"/>
    <w:basedOn w:val="DefaultParagraphFont"/>
    <w:link w:val="Quote"/>
    <w:uiPriority w:val="29"/>
    <w:rsid w:val="009F1BA4"/>
    <w:rPr>
      <w:i/>
      <w:iCs/>
      <w:color w:val="404040" w:themeColor="text1" w:themeTint="BF"/>
    </w:rPr>
  </w:style>
  <w:style w:type="paragraph" w:styleId="ListParagraph">
    <w:name w:val="List Paragraph"/>
    <w:basedOn w:val="Normal"/>
    <w:uiPriority w:val="34"/>
    <w:qFormat/>
    <w:rsid w:val="009F1BA4"/>
    <w:pPr>
      <w:ind w:left="720"/>
      <w:contextualSpacing/>
    </w:pPr>
  </w:style>
  <w:style w:type="character" w:styleId="IntenseEmphasis">
    <w:name w:val="Intense Emphasis"/>
    <w:basedOn w:val="DefaultParagraphFont"/>
    <w:uiPriority w:val="21"/>
    <w:qFormat/>
    <w:rsid w:val="009F1BA4"/>
    <w:rPr>
      <w:i/>
      <w:iCs/>
      <w:color w:val="0F4761" w:themeColor="accent1" w:themeShade="BF"/>
    </w:rPr>
  </w:style>
  <w:style w:type="paragraph" w:styleId="IntenseQuote">
    <w:name w:val="Intense Quote"/>
    <w:basedOn w:val="Normal"/>
    <w:next w:val="Normal"/>
    <w:link w:val="IntenseQuoteChar"/>
    <w:uiPriority w:val="30"/>
    <w:qFormat/>
    <w:rsid w:val="009F1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BA4"/>
    <w:rPr>
      <w:i/>
      <w:iCs/>
      <w:color w:val="0F4761" w:themeColor="accent1" w:themeShade="BF"/>
    </w:rPr>
  </w:style>
  <w:style w:type="character" w:styleId="IntenseReference">
    <w:name w:val="Intense Reference"/>
    <w:basedOn w:val="DefaultParagraphFont"/>
    <w:uiPriority w:val="32"/>
    <w:qFormat/>
    <w:rsid w:val="009F1B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424</Words>
  <Characters>2715</Characters>
  <Application>Microsoft Office Word</Application>
  <DocSecurity>0</DocSecurity>
  <Lines>77</Lines>
  <Paragraphs>44</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Rudnikova, Maria [JANRU]</dc:creator>
  <cp:keywords/>
  <dc:description/>
  <cp:lastModifiedBy>Rudnikova, Maria [JANRU]</cp:lastModifiedBy>
  <cp:revision>3</cp:revision>
  <dcterms:created xsi:type="dcterms:W3CDTF">2026-05-25T19:13:00Z</dcterms:created>
  <dcterms:modified xsi:type="dcterms:W3CDTF">2026-05-25T19:21:00Z</dcterms:modified>
</cp:coreProperties>
</file>