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E3BC" w14:textId="77777777" w:rsidR="00DF337B" w:rsidRDefault="00DF337B">
      <w:pPr>
        <w:pStyle w:val="Title"/>
      </w:pPr>
      <w:r>
        <w:t>Supply Chain Risk and Compliance Report</w:t>
      </w:r>
    </w:p>
    <w:p w14:paraId="3AD13E0E" w14:textId="77777777" w:rsidR="008E24CA" w:rsidRDefault="008E24CA">
      <w:pPr>
        <w:pStyle w:val="Heading1"/>
        <w:divId w:val="776868142"/>
        <w:rPr>
          <w:rFonts w:cstheme="minorBidi"/>
        </w:rPr>
      </w:pPr>
      <w:r>
        <w:rPr>
          <w:rFonts w:cstheme="minorBidi"/>
        </w:rPr>
        <w:t>Executive Summary</w:t>
      </w:r>
    </w:p>
    <w:p w14:paraId="08466E97" w14:textId="77777777" w:rsidR="008E24CA" w:rsidRDefault="008E24CA">
      <w:pPr>
        <w:divId w:val="776868142"/>
        <w:rPr>
          <w:rFonts w:cs="Times New Roman"/>
        </w:rPr>
      </w:pPr>
      <w:r>
        <w:t>This Supply Chain Issue Analysis Report outlines critical challenges associated with three components: BIND567, COMP042, and COMP043. These issues relate to delayed or variable receipt timing, supplier performance, inventory planning, and medium-level risk conditions that could affect production continuity, quality controls, and FDA compliance expectations. Each component has been assessed using the analysis worksheet inputs and supporting metrics from the source dataset, and targeted recommendations are provided to reduce operational exposure and strengthen supply resilience.</w:t>
      </w:r>
    </w:p>
    <w:p w14:paraId="62B4AF7A" w14:textId="77777777" w:rsidR="008E24CA" w:rsidRDefault="008E24CA">
      <w:pPr>
        <w:pStyle w:val="Heading1"/>
        <w:divId w:val="1251042607"/>
        <w:rPr>
          <w:rFonts w:cstheme="minorBidi"/>
        </w:rPr>
      </w:pPr>
      <w:r>
        <w:rPr>
          <w:rFonts w:cstheme="minorBidi"/>
        </w:rPr>
        <w:t>Component Overview</w:t>
      </w:r>
    </w:p>
    <w:p w14:paraId="48BCC0B3" w14:textId="77777777" w:rsidR="008E24CA" w:rsidRDefault="008E24CA">
      <w:pPr>
        <w:pStyle w:val="Heading2"/>
        <w:divId w:val="1251042607"/>
        <w:rPr>
          <w:rFonts w:cstheme="minorBidi"/>
        </w:rPr>
      </w:pPr>
      <w:r>
        <w:rPr>
          <w:rFonts w:cstheme="minorBidi"/>
        </w:rPr>
        <w:t>1. BIND567</w:t>
      </w:r>
    </w:p>
    <w:p w14:paraId="0C3963A7" w14:textId="77777777" w:rsidR="008E24CA" w:rsidRDefault="008E24CA">
      <w:pPr>
        <w:divId w:val="1251042607"/>
        <w:rPr>
          <w:rFonts w:cs="Times New Roman"/>
        </w:rPr>
      </w:pPr>
      <w:r>
        <w:rPr>
          <w:b/>
          <w:bCs/>
        </w:rPr>
        <w:t>Supplier:</w:t>
      </w:r>
      <w:r>
        <w:t xml:space="preserve"> </w:t>
      </w:r>
      <w:proofErr w:type="spellStart"/>
      <w:r>
        <w:t>EcoSupply</w:t>
      </w:r>
      <w:proofErr w:type="spellEnd"/>
    </w:p>
    <w:p w14:paraId="10B0C23B" w14:textId="77777777" w:rsidR="008E24CA" w:rsidRDefault="008E24CA">
      <w:pPr>
        <w:divId w:val="1251042607"/>
      </w:pPr>
      <w:r>
        <w:rPr>
          <w:b/>
          <w:bCs/>
        </w:rPr>
        <w:t>Supply Chain Receipt Date:</w:t>
      </w:r>
      <w:r>
        <w:t xml:space="preserve"> 15-Dec-24</w:t>
      </w:r>
    </w:p>
    <w:p w14:paraId="68180CA0" w14:textId="77777777" w:rsidR="008E24CA" w:rsidRDefault="008E24CA">
      <w:pPr>
        <w:divId w:val="1251042607"/>
      </w:pPr>
      <w:r>
        <w:rPr>
          <w:b/>
          <w:bCs/>
        </w:rPr>
        <w:t>Risk Level:</w:t>
      </w:r>
      <w:r>
        <w:t xml:space="preserve"> Medium</w:t>
      </w:r>
    </w:p>
    <w:p w14:paraId="7DA942FE" w14:textId="77777777" w:rsidR="008E24CA" w:rsidRDefault="008E24CA">
      <w:pPr>
        <w:divId w:val="1251042607"/>
      </w:pPr>
      <w:r>
        <w:rPr>
          <w:b/>
          <w:bCs/>
        </w:rPr>
        <w:t>Delivery Timeline:</w:t>
      </w:r>
      <w:r>
        <w:t xml:space="preserve"> 10 days</w:t>
      </w:r>
    </w:p>
    <w:p w14:paraId="617C078D" w14:textId="77777777" w:rsidR="008E24CA" w:rsidRDefault="008E24CA">
      <w:pPr>
        <w:divId w:val="1251042607"/>
      </w:pPr>
      <w:r>
        <w:rPr>
          <w:b/>
          <w:bCs/>
        </w:rPr>
        <w:t>Issue Summary:</w:t>
      </w:r>
      <w:r>
        <w:t xml:space="preserve"> The component has a confirmed delay, with receipt scheduled close to critical production deadlines. </w:t>
      </w:r>
      <w:proofErr w:type="spellStart"/>
      <w:r>
        <w:t>EcoSupply's</w:t>
      </w:r>
      <w:proofErr w:type="spellEnd"/>
      <w:r>
        <w:t xml:space="preserve"> reliability and defect rates warrant further review, given the importance of consistent supply for regulated products.</w:t>
      </w:r>
    </w:p>
    <w:p w14:paraId="6E3AA109" w14:textId="77777777" w:rsidR="008E24CA" w:rsidRDefault="008E24CA">
      <w:pPr>
        <w:pStyle w:val="Heading2"/>
        <w:divId w:val="1251042607"/>
        <w:rPr>
          <w:rFonts w:cstheme="minorBidi"/>
        </w:rPr>
      </w:pPr>
      <w:r>
        <w:rPr>
          <w:rFonts w:cstheme="minorBidi"/>
        </w:rPr>
        <w:t>2. COMP042</w:t>
      </w:r>
    </w:p>
    <w:p w14:paraId="5A40B6ED" w14:textId="77777777" w:rsidR="008E24CA" w:rsidRDefault="008E24CA">
      <w:pPr>
        <w:divId w:val="1251042607"/>
        <w:rPr>
          <w:rFonts w:cs="Times New Roman"/>
        </w:rPr>
      </w:pPr>
      <w:r>
        <w:rPr>
          <w:b/>
          <w:bCs/>
        </w:rPr>
        <w:t>Supplier:</w:t>
      </w:r>
      <w:r>
        <w:t xml:space="preserve"> </w:t>
      </w:r>
      <w:proofErr w:type="spellStart"/>
      <w:r>
        <w:t>PrimeLogistics</w:t>
      </w:r>
      <w:proofErr w:type="spellEnd"/>
    </w:p>
    <w:p w14:paraId="7FB68839" w14:textId="77777777" w:rsidR="008E24CA" w:rsidRDefault="008E24CA">
      <w:pPr>
        <w:divId w:val="1251042607"/>
      </w:pPr>
      <w:r>
        <w:rPr>
          <w:b/>
          <w:bCs/>
        </w:rPr>
        <w:t>Supply Chain Receipt Date:</w:t>
      </w:r>
      <w:r>
        <w:t xml:space="preserve"> 18-Dec-24</w:t>
      </w:r>
    </w:p>
    <w:p w14:paraId="1894E2A7" w14:textId="77777777" w:rsidR="008E24CA" w:rsidRDefault="008E24CA">
      <w:pPr>
        <w:divId w:val="1251042607"/>
      </w:pPr>
      <w:r>
        <w:rPr>
          <w:b/>
          <w:bCs/>
        </w:rPr>
        <w:t>Risk Level:</w:t>
      </w:r>
      <w:r>
        <w:t xml:space="preserve"> Medium</w:t>
      </w:r>
    </w:p>
    <w:p w14:paraId="22C7E288" w14:textId="77777777" w:rsidR="008E24CA" w:rsidRDefault="008E24CA">
      <w:pPr>
        <w:divId w:val="1251042607"/>
      </w:pPr>
      <w:r>
        <w:rPr>
          <w:b/>
          <w:bCs/>
        </w:rPr>
        <w:t>Delivery Timeline:</w:t>
      </w:r>
      <w:r>
        <w:t xml:space="preserve"> 13 days</w:t>
      </w:r>
    </w:p>
    <w:p w14:paraId="694A4848" w14:textId="77777777" w:rsidR="008E24CA" w:rsidRDefault="008E24CA">
      <w:pPr>
        <w:divId w:val="1251042607"/>
      </w:pPr>
      <w:r>
        <w:rPr>
          <w:b/>
          <w:bCs/>
        </w:rPr>
        <w:t>Issue Summary:</w:t>
      </w:r>
      <w:r>
        <w:t xml:space="preserve"> </w:t>
      </w:r>
      <w:proofErr w:type="spellStart"/>
      <w:r>
        <w:t>PrimeLogistics</w:t>
      </w:r>
      <w:proofErr w:type="spellEnd"/>
      <w:r>
        <w:t xml:space="preserve"> has experienced lead time variances that pose additional risks for this component. A 13-day timeline exceeds typical thresholds and may necessitate expedited shipping, </w:t>
      </w:r>
      <w:proofErr w:type="gramStart"/>
      <w:r>
        <w:t>increasing</w:t>
      </w:r>
      <w:proofErr w:type="gramEnd"/>
      <w:r>
        <w:t xml:space="preserve"> cost pressure and reducing operational flexibility.</w:t>
      </w:r>
    </w:p>
    <w:p w14:paraId="61C3D9EE" w14:textId="77777777" w:rsidR="008E24CA" w:rsidRDefault="008E24CA">
      <w:pPr>
        <w:pStyle w:val="Heading2"/>
        <w:divId w:val="1251042607"/>
        <w:rPr>
          <w:rFonts w:cstheme="minorBidi"/>
        </w:rPr>
      </w:pPr>
      <w:r>
        <w:rPr>
          <w:rFonts w:cstheme="minorBidi"/>
        </w:rPr>
        <w:t>3. COMP043</w:t>
      </w:r>
    </w:p>
    <w:p w14:paraId="318C6F41" w14:textId="77777777" w:rsidR="008E24CA" w:rsidRDefault="008E24CA">
      <w:pPr>
        <w:divId w:val="1251042607"/>
        <w:rPr>
          <w:rFonts w:cs="Times New Roman"/>
        </w:rPr>
      </w:pPr>
      <w:r>
        <w:rPr>
          <w:b/>
          <w:bCs/>
        </w:rPr>
        <w:t>Supplier:</w:t>
      </w:r>
      <w:r>
        <w:t xml:space="preserve"> NextGen Pharma</w:t>
      </w:r>
    </w:p>
    <w:p w14:paraId="7394EAC0" w14:textId="77777777" w:rsidR="008E24CA" w:rsidRDefault="008E24CA">
      <w:pPr>
        <w:divId w:val="1251042607"/>
      </w:pPr>
      <w:r>
        <w:rPr>
          <w:b/>
          <w:bCs/>
        </w:rPr>
        <w:lastRenderedPageBreak/>
        <w:t>Supply Chain Receipt Date:</w:t>
      </w:r>
      <w:r>
        <w:t xml:space="preserve"> 19-Dec-24</w:t>
      </w:r>
    </w:p>
    <w:p w14:paraId="32FEB54C" w14:textId="77777777" w:rsidR="008E24CA" w:rsidRDefault="008E24CA">
      <w:pPr>
        <w:divId w:val="1251042607"/>
      </w:pPr>
      <w:r>
        <w:rPr>
          <w:b/>
          <w:bCs/>
        </w:rPr>
        <w:t>Risk Level:</w:t>
      </w:r>
      <w:r>
        <w:t xml:space="preserve"> Medium</w:t>
      </w:r>
    </w:p>
    <w:p w14:paraId="707DEDA9" w14:textId="77777777" w:rsidR="008E24CA" w:rsidRDefault="008E24CA">
      <w:pPr>
        <w:divId w:val="1251042607"/>
      </w:pPr>
      <w:r>
        <w:rPr>
          <w:b/>
          <w:bCs/>
        </w:rPr>
        <w:t>Delivery Timeline:</w:t>
      </w:r>
      <w:r>
        <w:t xml:space="preserve"> 8 days</w:t>
      </w:r>
    </w:p>
    <w:p w14:paraId="2A13706B" w14:textId="77777777" w:rsidR="008E24CA" w:rsidRDefault="008E24CA">
      <w:pPr>
        <w:divId w:val="1251042607"/>
      </w:pPr>
      <w:r>
        <w:rPr>
          <w:b/>
          <w:bCs/>
        </w:rPr>
        <w:t>Issue Summary:</w:t>
      </w:r>
      <w:r>
        <w:t xml:space="preserve"> Delays from NextGen Pharma highlight systemic challenges, including forecasting inaccuracies and inventory mismanagement. These issues could disrupt production continuity and create additional compliance pressure if not addressed proactively.</w:t>
      </w:r>
    </w:p>
    <w:p w14:paraId="731ABFDA" w14:textId="77777777" w:rsidR="008E24CA" w:rsidRDefault="008E24CA">
      <w:pPr>
        <w:pStyle w:val="Heading1"/>
        <w:divId w:val="856890463"/>
        <w:rPr>
          <w:rFonts w:cstheme="minorBidi"/>
        </w:rPr>
      </w:pPr>
      <w:r>
        <w:rPr>
          <w:rFonts w:cstheme="minorBidi"/>
        </w:rPr>
        <w:t>Implications for FDA Compliance</w:t>
      </w:r>
    </w:p>
    <w:p w14:paraId="643F0CBF" w14:textId="77777777" w:rsidR="008E24CA" w:rsidRDefault="008E24CA">
      <w:pPr>
        <w:divId w:val="856890463"/>
        <w:rPr>
          <w:rFonts w:cs="Times New Roman"/>
        </w:rPr>
      </w:pPr>
      <w:r>
        <w:rPr>
          <w:b/>
          <w:bCs/>
        </w:rPr>
        <w:t>Continuity of Supply:</w:t>
      </w:r>
      <w:r>
        <w:t xml:space="preserve"> FDA expectations for regulated manufacturing require stable and uninterrupted component availability to support compliant production processes.</w:t>
      </w:r>
    </w:p>
    <w:p w14:paraId="61D8F3A5" w14:textId="77777777" w:rsidR="008E24CA" w:rsidRDefault="008E24CA">
      <w:pPr>
        <w:divId w:val="856890463"/>
      </w:pPr>
      <w:r>
        <w:rPr>
          <w:b/>
          <w:bCs/>
        </w:rPr>
        <w:t>Documentation and Traceability:</w:t>
      </w:r>
      <w:r>
        <w:t xml:space="preserve"> Late deliveries, expediting decisions, or supplier adjustments require disciplined documentation to avoid audit gaps and maintain traceability.</w:t>
      </w:r>
    </w:p>
    <w:p w14:paraId="5B07EF3C" w14:textId="77777777" w:rsidR="008E24CA" w:rsidRDefault="008E24CA">
      <w:pPr>
        <w:divId w:val="856890463"/>
      </w:pPr>
      <w:r>
        <w:rPr>
          <w:b/>
          <w:bCs/>
        </w:rPr>
        <w:t>Risk of Production Downtime:</w:t>
      </w:r>
      <w:r>
        <w:t xml:space="preserve"> Missing or delayed components can interrupt production schedules, create batch-release pressure, and increase the likelihood of procedural deviations.</w:t>
      </w:r>
    </w:p>
    <w:p w14:paraId="5A71B905" w14:textId="77777777" w:rsidR="008E24CA" w:rsidRDefault="008E24CA">
      <w:pPr>
        <w:divId w:val="856890463"/>
      </w:pPr>
      <w:r>
        <w:rPr>
          <w:b/>
          <w:bCs/>
        </w:rPr>
        <w:t>Quality Concerns:</w:t>
      </w:r>
      <w:r>
        <w:t xml:space="preserve"> Components with higher defect rates, weaker supplier consistency, or planning inaccuracies may increase the risk of nonconforming material, rework, or corrective actions.</w:t>
      </w:r>
    </w:p>
    <w:p w14:paraId="563F3F55" w14:textId="77777777" w:rsidR="008E24CA" w:rsidRDefault="008E24CA">
      <w:pPr>
        <w:pStyle w:val="Heading1"/>
        <w:divId w:val="1926299839"/>
        <w:rPr>
          <w:rFonts w:cstheme="minorBidi"/>
        </w:rPr>
      </w:pPr>
      <w:r>
        <w:rPr>
          <w:rFonts w:cstheme="minorBidi"/>
        </w:rPr>
        <w:t>Root Cause Analysis</w:t>
      </w:r>
    </w:p>
    <w:p w14:paraId="536D7F69" w14:textId="77777777" w:rsidR="008E24CA" w:rsidRDefault="008E24CA">
      <w:pPr>
        <w:pStyle w:val="Heading2"/>
        <w:divId w:val="1926299839"/>
        <w:rPr>
          <w:rFonts w:cstheme="minorBidi"/>
        </w:rPr>
      </w:pPr>
      <w:r>
        <w:rPr>
          <w:rFonts w:cstheme="minorBidi"/>
        </w:rPr>
        <w:t>BIND567</w:t>
      </w:r>
    </w:p>
    <w:p w14:paraId="2ABDCFB0" w14:textId="77777777" w:rsidR="008E24CA" w:rsidRDefault="008E24CA">
      <w:pPr>
        <w:divId w:val="1926299839"/>
        <w:rPr>
          <w:rFonts w:cs="Times New Roman"/>
        </w:rPr>
      </w:pPr>
      <w:r>
        <w:rPr>
          <w:b/>
          <w:bCs/>
        </w:rPr>
        <w:t>Supplier Analysis:</w:t>
      </w:r>
      <w:r>
        <w:t xml:space="preserve"> </w:t>
      </w:r>
      <w:proofErr w:type="spellStart"/>
      <w:r>
        <w:t>EcoSupply</w:t>
      </w:r>
      <w:proofErr w:type="spellEnd"/>
      <w:r>
        <w:t xml:space="preserve"> shows generally strong reliability, but the component remains exposed because receipt timing is close to critical deadlines and long-cycle replenishment reduces flexibility.</w:t>
      </w:r>
    </w:p>
    <w:p w14:paraId="4ED56608" w14:textId="77777777" w:rsidR="008E24CA" w:rsidRDefault="008E24CA">
      <w:pPr>
        <w:divId w:val="1926299839"/>
      </w:pPr>
      <w:r>
        <w:rPr>
          <w:b/>
          <w:bCs/>
        </w:rPr>
        <w:t>Risk Factors:</w:t>
      </w:r>
      <w:r>
        <w:t xml:space="preserve"> Medium risk with limited contingency planning. High dependence on </w:t>
      </w:r>
      <w:proofErr w:type="spellStart"/>
      <w:r>
        <w:t>EcoSupply</w:t>
      </w:r>
      <w:proofErr w:type="spellEnd"/>
      <w:r>
        <w:t xml:space="preserve"> consistency increases vulnerability when timing slips.</w:t>
      </w:r>
    </w:p>
    <w:p w14:paraId="6BB82B9A" w14:textId="77777777" w:rsidR="008E24CA" w:rsidRDefault="008E24CA">
      <w:pPr>
        <w:pStyle w:val="Heading2"/>
        <w:divId w:val="1926299839"/>
        <w:rPr>
          <w:rFonts w:cstheme="minorBidi"/>
        </w:rPr>
      </w:pPr>
      <w:r>
        <w:rPr>
          <w:rFonts w:cstheme="minorBidi"/>
        </w:rPr>
        <w:t>COMP042</w:t>
      </w:r>
    </w:p>
    <w:p w14:paraId="136DA5F7" w14:textId="77777777" w:rsidR="008E24CA" w:rsidRDefault="008E24CA">
      <w:pPr>
        <w:divId w:val="1926299839"/>
        <w:rPr>
          <w:rFonts w:cs="Times New Roman"/>
        </w:rPr>
      </w:pPr>
      <w:r>
        <w:rPr>
          <w:b/>
          <w:bCs/>
        </w:rPr>
        <w:t>Supplier Analysis:</w:t>
      </w:r>
      <w:r>
        <w:t xml:space="preserve"> </w:t>
      </w:r>
      <w:proofErr w:type="spellStart"/>
      <w:r>
        <w:t>PrimeLogistics</w:t>
      </w:r>
      <w:proofErr w:type="spellEnd"/>
      <w:r>
        <w:t xml:space="preserve"> shows lead time variance that weakens delivery predictability. This creates planning inefficiencies and may require reactive logistics interventions.</w:t>
      </w:r>
    </w:p>
    <w:p w14:paraId="7084A14F" w14:textId="77777777" w:rsidR="008E24CA" w:rsidRDefault="008E24CA">
      <w:pPr>
        <w:divId w:val="1926299839"/>
      </w:pPr>
      <w:r>
        <w:rPr>
          <w:b/>
          <w:bCs/>
        </w:rPr>
        <w:t>Risk Factors:</w:t>
      </w:r>
      <w:r>
        <w:t xml:space="preserve"> Medium risk with significant variability in supplier performance and a greater chance of cost escalation through expediting.</w:t>
      </w:r>
    </w:p>
    <w:p w14:paraId="2B2D56D3" w14:textId="77777777" w:rsidR="008E24CA" w:rsidRDefault="008E24CA">
      <w:pPr>
        <w:pStyle w:val="Heading2"/>
        <w:divId w:val="1926299839"/>
        <w:rPr>
          <w:rFonts w:cstheme="minorBidi"/>
        </w:rPr>
      </w:pPr>
      <w:r>
        <w:rPr>
          <w:rFonts w:cstheme="minorBidi"/>
        </w:rPr>
        <w:lastRenderedPageBreak/>
        <w:t>COMP043</w:t>
      </w:r>
    </w:p>
    <w:p w14:paraId="0568B1B3" w14:textId="77777777" w:rsidR="008E24CA" w:rsidRDefault="008E24CA">
      <w:pPr>
        <w:divId w:val="1926299839"/>
        <w:rPr>
          <w:rFonts w:cs="Times New Roman"/>
        </w:rPr>
      </w:pPr>
      <w:r>
        <w:rPr>
          <w:b/>
          <w:bCs/>
        </w:rPr>
        <w:t>Supplier Analysis:</w:t>
      </w:r>
      <w:r>
        <w:t xml:space="preserve"> NextGen Pharma appears challenged in aligning supply timing with demand needs, indicating weaknesses in forecasting and replenishment coordination.</w:t>
      </w:r>
    </w:p>
    <w:p w14:paraId="1C75D9BA" w14:textId="77777777" w:rsidR="008E24CA" w:rsidRDefault="008E24CA">
      <w:pPr>
        <w:divId w:val="1926299839"/>
      </w:pPr>
      <w:r>
        <w:rPr>
          <w:b/>
          <w:bCs/>
        </w:rPr>
        <w:t>Risk Factors:</w:t>
      </w:r>
      <w:r>
        <w:t xml:space="preserve"> Medium risk with potential defect exposure and inventory imbalance, highlighting the need for stronger supplier communication and tighter planning controls.</w:t>
      </w:r>
    </w:p>
    <w:p w14:paraId="07709217" w14:textId="77777777" w:rsidR="008E24CA" w:rsidRDefault="008E24CA">
      <w:pPr>
        <w:pStyle w:val="Heading1"/>
        <w:divId w:val="913006941"/>
        <w:rPr>
          <w:rFonts w:cstheme="minorBidi"/>
        </w:rPr>
      </w:pPr>
      <w:r>
        <w:rPr>
          <w:rFonts w:cstheme="minorBidi"/>
        </w:rPr>
        <w:t>Proposed Mitigation Strategies</w:t>
      </w:r>
    </w:p>
    <w:p w14:paraId="04A12319" w14:textId="77777777" w:rsidR="008E24CA" w:rsidRDefault="008E24CA">
      <w:pPr>
        <w:pStyle w:val="Heading2"/>
        <w:divId w:val="913006941"/>
        <w:rPr>
          <w:rFonts w:cstheme="minorBidi"/>
        </w:rPr>
      </w:pPr>
      <w:r>
        <w:rPr>
          <w:rFonts w:cstheme="minorBidi"/>
        </w:rPr>
        <w:t>General Strategies</w:t>
      </w:r>
    </w:p>
    <w:p w14:paraId="34CC260A" w14:textId="77777777" w:rsidR="008E24CA" w:rsidRDefault="008E24CA">
      <w:pPr>
        <w:divId w:val="913006941"/>
        <w:rPr>
          <w:rFonts w:cs="Times New Roman"/>
        </w:rPr>
      </w:pPr>
      <w:r>
        <w:rPr>
          <w:b/>
          <w:bCs/>
        </w:rPr>
        <w:t>Expedited Shipping:</w:t>
      </w:r>
      <w:r>
        <w:t xml:space="preserve"> Increase shipping priority for delayed components when needed to protect critical production timelines.</w:t>
      </w:r>
    </w:p>
    <w:p w14:paraId="16DC0AB4" w14:textId="77777777" w:rsidR="008E24CA" w:rsidRDefault="008E24CA">
      <w:pPr>
        <w:divId w:val="913006941"/>
      </w:pPr>
      <w:r>
        <w:rPr>
          <w:b/>
          <w:bCs/>
        </w:rPr>
        <w:t>Alternative Suppliers:</w:t>
      </w:r>
      <w:r>
        <w:t xml:space="preserve"> Identify and qualify secondary suppliers for components with recurring variability or limited contingency coverage.</w:t>
      </w:r>
    </w:p>
    <w:p w14:paraId="1293504B" w14:textId="77777777" w:rsidR="008E24CA" w:rsidRDefault="008E24CA">
      <w:pPr>
        <w:divId w:val="913006941"/>
      </w:pPr>
      <w:r>
        <w:rPr>
          <w:b/>
          <w:bCs/>
        </w:rPr>
        <w:t>Safety Stock Adjustment:</w:t>
      </w:r>
      <w:r>
        <w:t xml:space="preserve"> </w:t>
      </w:r>
      <w:proofErr w:type="gramStart"/>
      <w:r>
        <w:t>Reassess safety</w:t>
      </w:r>
      <w:proofErr w:type="gramEnd"/>
      <w:r>
        <w:t xml:space="preserve"> stock levels to ensure appropriate buffers against delays and forecast volatility.</w:t>
      </w:r>
    </w:p>
    <w:p w14:paraId="387C09DD" w14:textId="77777777" w:rsidR="008E24CA" w:rsidRDefault="008E24CA">
      <w:pPr>
        <w:divId w:val="913006941"/>
      </w:pPr>
      <w:r>
        <w:rPr>
          <w:b/>
          <w:bCs/>
        </w:rPr>
        <w:t>Enhanced Monitoring:</w:t>
      </w:r>
      <w:r>
        <w:t xml:space="preserve"> Strengthen monitoring of delivery performance, defect trends, and inventory exposure through regular supply reviews and analytics.</w:t>
      </w:r>
    </w:p>
    <w:p w14:paraId="09933B1B" w14:textId="77777777" w:rsidR="008E24CA" w:rsidRDefault="008E24CA">
      <w:pPr>
        <w:divId w:val="913006941"/>
      </w:pPr>
      <w:r>
        <w:rPr>
          <w:b/>
          <w:bCs/>
        </w:rPr>
        <w:t>Supplier Audits:</w:t>
      </w:r>
      <w:r>
        <w:t xml:space="preserve"> Conduct focused supplier performance and quality audits where recurring issues indicate systemic risk.</w:t>
      </w:r>
    </w:p>
    <w:p w14:paraId="704F29C9" w14:textId="77777777" w:rsidR="008E24CA" w:rsidRDefault="008E24CA">
      <w:pPr>
        <w:pStyle w:val="Heading2"/>
        <w:divId w:val="913006941"/>
        <w:rPr>
          <w:rFonts w:cstheme="minorBidi"/>
        </w:rPr>
      </w:pPr>
      <w:r>
        <w:rPr>
          <w:rFonts w:cstheme="minorBidi"/>
        </w:rPr>
        <w:t>Component-Specific Strategies</w:t>
      </w:r>
    </w:p>
    <w:p w14:paraId="2802FFF4" w14:textId="77777777" w:rsidR="008E24CA" w:rsidRDefault="008E24CA">
      <w:pPr>
        <w:divId w:val="913006941"/>
        <w:rPr>
          <w:rFonts w:cs="Times New Roman"/>
        </w:rPr>
      </w:pPr>
      <w:r>
        <w:rPr>
          <w:b/>
          <w:bCs/>
        </w:rPr>
        <w:t>BIND567:</w:t>
      </w:r>
      <w:r>
        <w:t xml:space="preserve"> Negotiate expedited shipping terms with </w:t>
      </w:r>
      <w:proofErr w:type="spellStart"/>
      <w:r>
        <w:t>EcoSupply</w:t>
      </w:r>
      <w:proofErr w:type="spellEnd"/>
      <w:r>
        <w:t xml:space="preserve"> and increase inventory buffer to mitigate future delays.</w:t>
      </w:r>
    </w:p>
    <w:p w14:paraId="1621F7E7" w14:textId="77777777" w:rsidR="008E24CA" w:rsidRDefault="008E24CA">
      <w:pPr>
        <w:divId w:val="913006941"/>
      </w:pPr>
      <w:r>
        <w:rPr>
          <w:b/>
          <w:bCs/>
        </w:rPr>
        <w:t>COMP042:</w:t>
      </w:r>
      <w:r>
        <w:t xml:space="preserve"> Collaborate with </w:t>
      </w:r>
      <w:proofErr w:type="spellStart"/>
      <w:r>
        <w:t>PrimeLogistics</w:t>
      </w:r>
      <w:proofErr w:type="spellEnd"/>
      <w:r>
        <w:t xml:space="preserve"> on demand planning and adjust order cycles to account for lead time variances.</w:t>
      </w:r>
    </w:p>
    <w:p w14:paraId="30301E9A" w14:textId="77777777" w:rsidR="008E24CA" w:rsidRDefault="008E24CA">
      <w:pPr>
        <w:divId w:val="913006941"/>
      </w:pPr>
      <w:r>
        <w:rPr>
          <w:b/>
          <w:bCs/>
        </w:rPr>
        <w:t>COMP043:</w:t>
      </w:r>
      <w:r>
        <w:t xml:space="preserve"> Engage NextGen Pharma to improve forecasting accuracy and implement more dynamic inventory replenishment practices.</w:t>
      </w:r>
    </w:p>
    <w:p w14:paraId="0F901099" w14:textId="77777777" w:rsidR="008E24CA" w:rsidRDefault="008E24CA">
      <w:pPr>
        <w:pStyle w:val="Heading1"/>
        <w:divId w:val="1958833217"/>
        <w:rPr>
          <w:rFonts w:cstheme="minorBidi"/>
        </w:rPr>
      </w:pPr>
      <w:r>
        <w:rPr>
          <w:rFonts w:cstheme="minorBidi"/>
        </w:rPr>
        <w:t>Action Plan and Timeline</w:t>
      </w:r>
    </w:p>
    <w:p w14:paraId="24D97029" w14:textId="77777777" w:rsidR="008E24CA" w:rsidRDefault="008E24CA">
      <w:pPr>
        <w:pStyle w:val="Heading2"/>
        <w:divId w:val="1958833217"/>
        <w:rPr>
          <w:rFonts w:cstheme="minorBidi"/>
        </w:rPr>
      </w:pPr>
      <w:r>
        <w:rPr>
          <w:rFonts w:cstheme="minorBidi"/>
        </w:rPr>
        <w:t>Immediate Actions (0-1 Week)</w:t>
      </w:r>
    </w:p>
    <w:p w14:paraId="44B09FAC" w14:textId="77777777" w:rsidR="008E24CA" w:rsidRDefault="008E24CA">
      <w:pPr>
        <w:divId w:val="1958833217"/>
        <w:rPr>
          <w:rFonts w:cs="Times New Roman"/>
        </w:rPr>
      </w:pPr>
      <w:r>
        <w:t>Notify suppliers of schedule sensitivity and request expedited shipping options where timing is at risk. Conduct a rapid review of alternative supply coverage and adjust production plans to protect compliance windows.</w:t>
      </w:r>
    </w:p>
    <w:p w14:paraId="46EA6DF7" w14:textId="77777777" w:rsidR="008E24CA" w:rsidRDefault="008E24CA">
      <w:pPr>
        <w:pStyle w:val="Heading2"/>
        <w:divId w:val="1958833217"/>
        <w:rPr>
          <w:rFonts w:cstheme="minorBidi"/>
        </w:rPr>
      </w:pPr>
      <w:r>
        <w:rPr>
          <w:rFonts w:cstheme="minorBidi"/>
        </w:rPr>
        <w:lastRenderedPageBreak/>
        <w:t>Short-Term Actions (1-3 Weeks)</w:t>
      </w:r>
    </w:p>
    <w:p w14:paraId="2A896676" w14:textId="77777777" w:rsidR="008E24CA" w:rsidRDefault="008E24CA">
      <w:pPr>
        <w:divId w:val="1958833217"/>
        <w:rPr>
          <w:rFonts w:cs="Times New Roman"/>
        </w:rPr>
      </w:pPr>
      <w:r>
        <w:t>Work with suppliers to refine delivery schedules, reduce lead time variability, and update inventory management rules to reflect revised safety stock assumptions. Prepare supporting compliance documentation for any approved mitigation actions.</w:t>
      </w:r>
    </w:p>
    <w:p w14:paraId="742C8C83" w14:textId="77777777" w:rsidR="008E24CA" w:rsidRDefault="008E24CA">
      <w:pPr>
        <w:pStyle w:val="Heading2"/>
        <w:divId w:val="1958833217"/>
        <w:rPr>
          <w:rFonts w:cstheme="minorBidi"/>
        </w:rPr>
      </w:pPr>
      <w:r>
        <w:rPr>
          <w:rFonts w:cstheme="minorBidi"/>
        </w:rPr>
        <w:t>Long-Term Actions (1-3 Months)</w:t>
      </w:r>
    </w:p>
    <w:p w14:paraId="6C178103" w14:textId="77777777" w:rsidR="008E24CA" w:rsidRDefault="008E24CA">
      <w:pPr>
        <w:divId w:val="1958833217"/>
        <w:rPr>
          <w:rFonts w:cs="Times New Roman"/>
        </w:rPr>
      </w:pPr>
      <w:r>
        <w:t>Evaluate supplier performance trends, formalize contingency agreements with secondary suppliers, and implement stronger analytics to improve forecasting, inventory planning, and early risk detection.</w:t>
      </w:r>
    </w:p>
    <w:p w14:paraId="25CE1448" w14:textId="77777777" w:rsidR="008E24CA" w:rsidRDefault="008E24CA">
      <w:pPr>
        <w:pStyle w:val="Heading1"/>
        <w:divId w:val="80223179"/>
        <w:rPr>
          <w:rFonts w:cstheme="minorBidi"/>
        </w:rPr>
      </w:pPr>
      <w:r>
        <w:rPr>
          <w:rFonts w:cstheme="minorBidi"/>
        </w:rPr>
        <w:t>Monitoring and Reporting Framework</w:t>
      </w:r>
    </w:p>
    <w:p w14:paraId="6DECCF44" w14:textId="77777777" w:rsidR="008E24CA" w:rsidRDefault="008E24CA">
      <w:pPr>
        <w:pStyle w:val="Heading2"/>
        <w:divId w:val="80223179"/>
        <w:rPr>
          <w:rFonts w:cstheme="minorBidi"/>
        </w:rPr>
      </w:pPr>
      <w:r>
        <w:rPr>
          <w:rFonts w:cstheme="minorBidi"/>
        </w:rPr>
        <w:t>Key Performance Indicators (KPIs)</w:t>
      </w:r>
    </w:p>
    <w:p w14:paraId="30D85DFD" w14:textId="77777777" w:rsidR="008E24CA" w:rsidRDefault="008E24CA">
      <w:pPr>
        <w:divId w:val="80223179"/>
        <w:rPr>
          <w:rFonts w:cs="Times New Roman"/>
        </w:rPr>
      </w:pPr>
      <w:r>
        <w:rPr>
          <w:b/>
          <w:bCs/>
        </w:rPr>
        <w:t>On-Time Delivery Rate:</w:t>
      </w:r>
      <w:r>
        <w:t xml:space="preserve"> Target at least 95% across strategic suppliers.</w:t>
      </w:r>
    </w:p>
    <w:p w14:paraId="779A772B" w14:textId="77777777" w:rsidR="008E24CA" w:rsidRDefault="008E24CA">
      <w:pPr>
        <w:divId w:val="80223179"/>
      </w:pPr>
      <w:r>
        <w:rPr>
          <w:b/>
          <w:bCs/>
        </w:rPr>
        <w:t>Defect Rate:</w:t>
      </w:r>
      <w:r>
        <w:t xml:space="preserve"> Maintain below 2% for high-priority components wherever feasible.</w:t>
      </w:r>
    </w:p>
    <w:p w14:paraId="7BDA98AA" w14:textId="77777777" w:rsidR="008E24CA" w:rsidRDefault="008E24CA">
      <w:pPr>
        <w:divId w:val="80223179"/>
      </w:pPr>
      <w:r>
        <w:rPr>
          <w:b/>
          <w:bCs/>
        </w:rPr>
        <w:t>Inventory Coverage:</w:t>
      </w:r>
      <w:r>
        <w:t xml:space="preserve"> Monitor inventory levels against reorder points and safety stock to ensure continuity.</w:t>
      </w:r>
    </w:p>
    <w:p w14:paraId="0C1FAF44" w14:textId="77777777" w:rsidR="008E24CA" w:rsidRDefault="008E24CA">
      <w:pPr>
        <w:divId w:val="80223179"/>
      </w:pPr>
      <w:r>
        <w:rPr>
          <w:b/>
          <w:bCs/>
        </w:rPr>
        <w:t>Expedited Shipping Cost:</w:t>
      </w:r>
      <w:r>
        <w:t xml:space="preserve"> Track as an exception metric to prevent overreliance on reactive interventions.</w:t>
      </w:r>
    </w:p>
    <w:p w14:paraId="369380C5" w14:textId="77777777" w:rsidR="008E24CA" w:rsidRDefault="008E24CA">
      <w:pPr>
        <w:pStyle w:val="Heading2"/>
        <w:divId w:val="80223179"/>
        <w:rPr>
          <w:rFonts w:cstheme="minorBidi"/>
        </w:rPr>
      </w:pPr>
      <w:r>
        <w:rPr>
          <w:rFonts w:cstheme="minorBidi"/>
        </w:rPr>
        <w:t>Reporting Cadence</w:t>
      </w:r>
    </w:p>
    <w:p w14:paraId="53BFE0D4" w14:textId="77777777" w:rsidR="008E24CA" w:rsidRDefault="008E24CA">
      <w:pPr>
        <w:divId w:val="80223179"/>
        <w:rPr>
          <w:rFonts w:cs="Times New Roman"/>
        </w:rPr>
      </w:pPr>
      <w:r>
        <w:rPr>
          <w:b/>
          <w:bCs/>
        </w:rPr>
        <w:t>Daily Updates:</w:t>
      </w:r>
      <w:r>
        <w:t xml:space="preserve"> Review critical supply exceptions and shipment changes for at-risk components.</w:t>
      </w:r>
    </w:p>
    <w:p w14:paraId="03210800" w14:textId="77777777" w:rsidR="008E24CA" w:rsidRDefault="008E24CA">
      <w:pPr>
        <w:divId w:val="80223179"/>
      </w:pPr>
      <w:r>
        <w:rPr>
          <w:b/>
          <w:bCs/>
        </w:rPr>
        <w:t>Weekly Summaries:</w:t>
      </w:r>
      <w:r>
        <w:t xml:space="preserve"> Consolidate component status, risk movement, and mitigation actions for operational review.</w:t>
      </w:r>
    </w:p>
    <w:p w14:paraId="253C9974" w14:textId="77777777" w:rsidR="008E24CA" w:rsidRDefault="008E24CA">
      <w:pPr>
        <w:divId w:val="80223179"/>
      </w:pPr>
      <w:r>
        <w:rPr>
          <w:b/>
          <w:bCs/>
        </w:rPr>
        <w:t>Monthly Reviews:</w:t>
      </w:r>
      <w:r>
        <w:t xml:space="preserve"> Assess supplier performance trends, compliance implications, and mitigation effectiveness.</w:t>
      </w:r>
    </w:p>
    <w:p w14:paraId="23A42621" w14:textId="77777777" w:rsidR="008E24CA" w:rsidRDefault="008E24CA">
      <w:pPr>
        <w:pStyle w:val="Heading1"/>
        <w:divId w:val="1815482988"/>
        <w:rPr>
          <w:rFonts w:cstheme="minorBidi"/>
        </w:rPr>
      </w:pPr>
      <w:r>
        <w:rPr>
          <w:rFonts w:cstheme="minorBidi"/>
        </w:rPr>
        <w:t>Conclusion</w:t>
      </w:r>
    </w:p>
    <w:p w14:paraId="6B577E7A" w14:textId="77777777" w:rsidR="008E24CA" w:rsidRDefault="008E24CA">
      <w:pPr>
        <w:divId w:val="1815482988"/>
        <w:rPr>
          <w:rFonts w:cs="Times New Roman"/>
        </w:rPr>
      </w:pPr>
      <w:r>
        <w:t>The supply challenges affecting BIND567, COMP042, and COMP043 present manageable but important risks to continuity, quality, and FDA compliance. By applying the proposed mitigation strategies, action timeline, and monitoring framework, the organization can reduce operational disruption and strengthen control over future supply variability. Sustained supplier engagement, tighter planning discipline, and stronger documentation practices will be essential to maintaining both business continuity and regulatory readiness.</w:t>
      </w:r>
    </w:p>
    <w:p w14:paraId="00E7EB15" w14:textId="77777777" w:rsidR="00DF337B" w:rsidRDefault="00DF337B">
      <w:pPr>
        <w:divId w:val="1523863474"/>
        <w:rPr>
          <w:rFonts w:ascii="Aptos" w:hAnsi="Aptos" w:cs="Times New Roman"/>
        </w:rPr>
      </w:pPr>
      <w:r>
        <w:lastRenderedPageBreak/>
        <w:t xml:space="preserve">This report summarizes supply chain performance and risk indicators from the Expanded Supply Chain Metrics dataset, with attention to delivery reliability, quality, inventory resilience, and supplier performance. The dataset shows that most components operate within manageable ranges, but a smaller set of items displays elevated risk driven by long or highly variable lead times, lower supplier reliability, weaker on-time delivery, higher defect rates, or </w:t>
      </w:r>
      <w:proofErr w:type="gramStart"/>
      <w:r>
        <w:t>backorder</w:t>
      </w:r>
      <w:proofErr w:type="gramEnd"/>
      <w:r>
        <w:t xml:space="preserve"> exposure. These conditions can create downstream pressure on production continuity and increase the likelihood of compliance issues if materials are delayed, quality escapes occur, or documentation and change controls are not updated in time.</w:t>
      </w:r>
    </w:p>
    <w:p w14:paraId="5C32454A" w14:textId="77777777" w:rsidR="00DF337B" w:rsidRDefault="00DF337B">
      <w:pPr>
        <w:divId w:val="1523863474"/>
      </w:pPr>
      <w:r>
        <w:t>Three components stand out for closer monitoring because they are explicitly flagged in the workbook analysis sheet: BIND567, COMP042, and COMP043. In addition, several high-risk entries across the dataset suggest recurring systemic issues such as inconsistent supplier performance, dependence on reactive mitigation actions like expediting, and insufficient inventory buffers for certain demand patterns. Overall, the data indicates a need for stronger preventive controls, supplier governance, and component-level mitigation planning to reduce operational and compliance exposure.</w:t>
      </w:r>
    </w:p>
    <w:p w14:paraId="6D247774" w14:textId="77777777" w:rsidR="00DF337B" w:rsidRDefault="00DF337B">
      <w:pPr>
        <w:divId w:val="425422189"/>
        <w:rPr>
          <w:rFonts w:ascii="Aptos" w:hAnsi="Aptos" w:cs="Times New Roman"/>
        </w:rPr>
      </w:pPr>
      <w:r>
        <w:t>The dataset includes component-level records covering supplier, delivery timeline, raw material cost, risk level, defect rate, production usage, supplier reliability, inventory position, reorder threshold, lead time variance, expedite shipping cost, order size, on-time delivery rate, backorder volume, inspection pass rate, forecast accuracy, and safety stock. These indicators allow a balanced view of supply continuity and potential compliance exposure.</w:t>
      </w:r>
    </w:p>
    <w:p w14:paraId="2B0785BE" w14:textId="77777777" w:rsidR="00DF337B" w:rsidRDefault="00DF337B">
      <w:pPr>
        <w:divId w:val="425422189"/>
      </w:pPr>
      <w:r>
        <w:t xml:space="preserve">BIND567, supplied by </w:t>
      </w:r>
      <w:proofErr w:type="spellStart"/>
      <w:r>
        <w:t>EcoSupply</w:t>
      </w:r>
      <w:proofErr w:type="spellEnd"/>
      <w:r>
        <w:t xml:space="preserve">, is rated medium risk and shows a long delivery timeline of 64 days with very high supplier reliability and on-time delivery performance, but a significant lead time variance of 26 days. This suggests that although the supplier is generally dependable, planning uncertainty remains a concern. COMP042, supplied by </w:t>
      </w:r>
      <w:proofErr w:type="spellStart"/>
      <w:r>
        <w:t>PrimeLogistics</w:t>
      </w:r>
      <w:proofErr w:type="spellEnd"/>
      <w:r>
        <w:t>, is rated medium risk with a 13-day delivery timeline, moderate lead time variance, relatively low supplier reliability compared with stronger performers, and a high forecast accuracy. COMP043, supplied by NextGen Pharma, is also rated medium risk, with an 8-day delivery timeline, strong supplier reliability, a relatively high defect rate, and weaker forecast accuracy than many other items.</w:t>
      </w:r>
    </w:p>
    <w:p w14:paraId="5AA29360" w14:textId="77777777" w:rsidR="00DF337B" w:rsidRDefault="00DF337B">
      <w:pPr>
        <w:divId w:val="425422189"/>
      </w:pPr>
      <w:r>
        <w:t>Across the broader dataset, high-risk components tend to be associated with one or more of the following patterns: lower supplier reliability, elevated defect rates, weaker on-time delivery performance, sizable backorders, or mitigation plans that rely on reactive responses such as expedite shipping or last-minute inventory increases. Medium-risk components often appear stable but still show enough variability to warrant tighter control. Low-risk components generally combine short lead times, acceptable quality results, and stronger supply performance, though some still carry isolated weaknesses that should be monitored.</w:t>
      </w:r>
    </w:p>
    <w:p w14:paraId="3C1683AC" w14:textId="77777777" w:rsidR="00DF337B" w:rsidRDefault="00DF337B">
      <w:pPr>
        <w:divId w:val="1977178174"/>
        <w:rPr>
          <w:rFonts w:ascii="Aptos" w:hAnsi="Aptos" w:cs="Times New Roman"/>
        </w:rPr>
      </w:pPr>
      <w:r>
        <w:lastRenderedPageBreak/>
        <w:t xml:space="preserve">Supply chain instability can translate directly into compliance risk when component shortages, quality variability, or urgent sourcing changes affect validated processes, material specifications, or approved supplier controls. Long or inconsistent delivery timelines may pressure teams to substitute suppliers, accelerate shipments, or alter production schedules, each of </w:t>
      </w:r>
      <w:proofErr w:type="gramStart"/>
      <w:r>
        <w:t>which can</w:t>
      </w:r>
      <w:proofErr w:type="gramEnd"/>
      <w:r>
        <w:t xml:space="preserve"> require documented review and approval. If these actions are taken without proper control, the organization may face deviations from procurement, quality, or manufacturing procedures.</w:t>
      </w:r>
    </w:p>
    <w:p w14:paraId="46C642DD" w14:textId="77777777" w:rsidR="00DF337B" w:rsidRDefault="00DF337B">
      <w:pPr>
        <w:divId w:val="1977178174"/>
      </w:pPr>
      <w:r>
        <w:t xml:space="preserve">Quality-related indicators are especially relevant for compliance. Components with higher defect rates or lower inspection pass rates can increase the probability of nonconforming material entering production or triggering rework, investigations, or batch delays. In regulated environments, this may affect traceability, release timing, and adherence to quality management requirements. Likewise, weak on-time delivery combined with </w:t>
      </w:r>
      <w:proofErr w:type="gramStart"/>
      <w:r>
        <w:t>backorder</w:t>
      </w:r>
      <w:proofErr w:type="gramEnd"/>
      <w:r>
        <w:t xml:space="preserve"> volume can lead to rushed decision-making and reduced margin for proper documentation, escalation, and change control.</w:t>
      </w:r>
    </w:p>
    <w:p w14:paraId="3EFFE8E9" w14:textId="77777777" w:rsidR="00DF337B" w:rsidRDefault="00DF337B">
      <w:pPr>
        <w:divId w:val="1977178174"/>
      </w:pPr>
      <w:r>
        <w:t xml:space="preserve">For the highlighted components, the primary compliance concern differs by profile. BIND567 raises concern from timeline volatility and dependency on long replenishment cycles. COMP042 raises concern </w:t>
      </w:r>
      <w:proofErr w:type="gramStart"/>
      <w:r>
        <w:t>from</w:t>
      </w:r>
      <w:proofErr w:type="gramEnd"/>
      <w:r>
        <w:t xml:space="preserve"> reliability and delivery performance that could drive operational workarounds. COMP043 raises concern from product quality indicators and demand planning weakness, which could increase the risk of inventory imbalance, release issues, or corrective action requirements. As a result, compliance risk should be managed not only through quality review, but also through integrated supply planning, supplier oversight, and formal mitigation governance.</w:t>
      </w:r>
    </w:p>
    <w:p w14:paraId="7032F368" w14:textId="77777777" w:rsidR="00DF337B" w:rsidRDefault="00DF337B">
      <w:pPr>
        <w:divId w:val="701786564"/>
        <w:rPr>
          <w:rFonts w:ascii="Aptos" w:hAnsi="Aptos" w:cs="Times New Roman"/>
        </w:rPr>
      </w:pPr>
      <w:r>
        <w:t xml:space="preserve">The data suggests that supply chain risk is driven by a combination of supplier-side variability, planning gaps, and insufficient preventive controls. First, lead time variance appears to be a major contributor for several components, indicating unstable inbound performance even where average delivery times look acceptable. Second, lower supplier reliability and weaker on-time delivery rates </w:t>
      </w:r>
      <w:proofErr w:type="gramStart"/>
      <w:r>
        <w:t>point</w:t>
      </w:r>
      <w:proofErr w:type="gramEnd"/>
      <w:r>
        <w:t xml:space="preserve"> to inconsistent execution by certain suppliers or logistics partners. Third, quality signals such as elevated defect rates or lower inspection pass rates suggest that some risk is rooted in material conformance rather than only transportation or scheduling.</w:t>
      </w:r>
    </w:p>
    <w:p w14:paraId="6DB0DE54" w14:textId="77777777" w:rsidR="00DF337B" w:rsidRDefault="00DF337B">
      <w:pPr>
        <w:divId w:val="701786564"/>
      </w:pPr>
      <w:r>
        <w:t xml:space="preserve">A further root cause is the apparent reliance on reactive mitigation plans. Many records cite expedite shipping, inventory increases, contract reviews, or alternative sourcing as the primary response. While these are valid tools, they often address symptoms rather than the underlying performance gap. Frequent use of expediting may indicate poor forecast alignment or unstable supplier fulfillment. Repeated inventory increases may point to </w:t>
      </w:r>
      <w:proofErr w:type="gramStart"/>
      <w:r>
        <w:t>inadequate safety</w:t>
      </w:r>
      <w:proofErr w:type="gramEnd"/>
      <w:r>
        <w:t xml:space="preserve"> stock policy or weak confidence in replenishment consistency. Contract reviews and term negotiations may help commercially, but they do not by themselves correct process or quality weaknesses.</w:t>
      </w:r>
    </w:p>
    <w:p w14:paraId="354E3EF7" w14:textId="77777777" w:rsidR="00DF337B" w:rsidRDefault="00DF337B">
      <w:pPr>
        <w:divId w:val="701786564"/>
      </w:pPr>
      <w:r>
        <w:lastRenderedPageBreak/>
        <w:t>At component level, BIND567 appears affected mainly by long replenishment cycles and high lead time volatility. COMP042 appears influenced by a combination of moderate lead time, average-to-weaker reliability, and limited inventory buffer relative to ongoing usage pressure. COMP043 appears driven by quality and planning factors, especially its comparatively high defect rate and lower forecast accuracy. These patterns indicate that no single action will resolve the risks; each component requires mitigation matched to the specific failure mode.</w:t>
      </w:r>
    </w:p>
    <w:p w14:paraId="04E24715" w14:textId="77777777" w:rsidR="00DF337B" w:rsidRDefault="00DF337B">
      <w:pPr>
        <w:pStyle w:val="Heading2"/>
        <w:divId w:val="43648868"/>
        <w:rPr>
          <w:rFonts w:asciiTheme="minorHAnsi" w:hAnsiTheme="minorHAnsi" w:cstheme="minorBidi"/>
        </w:rPr>
      </w:pPr>
      <w:r>
        <w:rPr>
          <w:rFonts w:asciiTheme="minorHAnsi" w:hAnsiTheme="minorHAnsi" w:cstheme="minorBidi"/>
        </w:rPr>
        <w:t>General Mitigation Strategies</w:t>
      </w:r>
    </w:p>
    <w:p w14:paraId="77CD9B43" w14:textId="77777777" w:rsidR="00DF337B" w:rsidRDefault="00DF337B">
      <w:pPr>
        <w:divId w:val="43648868"/>
        <w:rPr>
          <w:rFonts w:ascii="Aptos" w:hAnsi="Aptos" w:cs="Times New Roman"/>
        </w:rPr>
      </w:pPr>
      <w:r>
        <w:t>General mitigation should focus on prevention, not only response. Recommended actions include strengthening supplier scorecards with thresholds for reliability, on-time delivery, defect rate, and lead time variance; increasing review frequency for medium- and high-risk components; aligning safety stock policies to actual demand variability and replenishment risk; and improving forecast discipline for items with recurring mismatch between expected and actual consumption. It is also advisable to formalize escalation rules for supplier performance deterioration and ensure that any sourcing or logistics changes follow documented quality and compliance review.</w:t>
      </w:r>
    </w:p>
    <w:p w14:paraId="25CA40BE" w14:textId="77777777" w:rsidR="00DF337B" w:rsidRDefault="00DF337B">
      <w:pPr>
        <w:divId w:val="43648868"/>
      </w:pPr>
      <w:r>
        <w:t xml:space="preserve">Additional cross-cutting actions include qualifying alternate suppliers in advance for critical components, improving inbound quality surveillance for items with defect concerns, and reducing dependence on expedite shipping as a routine control. Where </w:t>
      </w:r>
      <w:proofErr w:type="gramStart"/>
      <w:r>
        <w:t>contract</w:t>
      </w:r>
      <w:proofErr w:type="gramEnd"/>
      <w:r>
        <w:t xml:space="preserve"> or commercial terms are being renegotiated, service-level expectations should be tied to measurable delivery and quality metrics. This will help convert mitigation planning from reactive firefighting into a controlled operating model.</w:t>
      </w:r>
    </w:p>
    <w:p w14:paraId="5B2285F9" w14:textId="77777777" w:rsidR="00DF337B" w:rsidRDefault="00DF337B">
      <w:pPr>
        <w:pStyle w:val="Heading2"/>
        <w:divId w:val="43648868"/>
        <w:rPr>
          <w:rFonts w:asciiTheme="minorHAnsi" w:hAnsiTheme="minorHAnsi" w:cstheme="minorBidi"/>
        </w:rPr>
      </w:pPr>
      <w:r>
        <w:rPr>
          <w:rFonts w:asciiTheme="minorHAnsi" w:hAnsiTheme="minorHAnsi" w:cstheme="minorBidi"/>
        </w:rPr>
        <w:t>Component-Specific Mitigation Strategies</w:t>
      </w:r>
    </w:p>
    <w:p w14:paraId="567A9033" w14:textId="77777777" w:rsidR="00DF337B" w:rsidRDefault="00DF337B">
      <w:pPr>
        <w:divId w:val="43648868"/>
        <w:rPr>
          <w:rFonts w:ascii="Aptos" w:hAnsi="Aptos" w:cs="Times New Roman"/>
        </w:rPr>
      </w:pPr>
      <w:r>
        <w:rPr>
          <w:b/>
          <w:bCs/>
        </w:rPr>
        <w:t>BIND567:</w:t>
      </w:r>
      <w:r>
        <w:t xml:space="preserve"> Prioritize tighter planning for long replenishment cycles by increasing forward visibility of demand, reassessing reorder points and safety stock, and closely monitoring lead time variance. Because overall supplier reliability is strong, the most useful action may be improved planning discipline and earlier order triggering rather than immediate supplier replacement. A secondary action is to confirm that contingency supply and quality documentation are ready if timing deteriorates further.</w:t>
      </w:r>
    </w:p>
    <w:p w14:paraId="36FAE033" w14:textId="77777777" w:rsidR="00DF337B" w:rsidRDefault="00DF337B">
      <w:pPr>
        <w:divId w:val="43648868"/>
      </w:pPr>
      <w:r>
        <w:rPr>
          <w:b/>
          <w:bCs/>
        </w:rPr>
        <w:t>COMP042:</w:t>
      </w:r>
      <w:r>
        <w:t xml:space="preserve"> Focus on delivery assurance and supplier performance management. Review the logistics and supplier execution model with </w:t>
      </w:r>
      <w:proofErr w:type="spellStart"/>
      <w:r>
        <w:t>PrimeLogistics</w:t>
      </w:r>
      <w:proofErr w:type="spellEnd"/>
      <w:r>
        <w:t>, set a corrective plan for reliability and on-time delivery, and validate whether current inventory coverage is adequate for the component's usage profile. If performance does not improve, prequalifying an alternative source or backup transport route would reduce operational and compliance risk.</w:t>
      </w:r>
    </w:p>
    <w:p w14:paraId="5177DF0A" w14:textId="77777777" w:rsidR="00DF337B" w:rsidRDefault="00DF337B">
      <w:pPr>
        <w:divId w:val="43648868"/>
      </w:pPr>
      <w:r>
        <w:rPr>
          <w:b/>
          <w:bCs/>
        </w:rPr>
        <w:t>COMP043:</w:t>
      </w:r>
      <w:r>
        <w:t xml:space="preserve"> Focus on quality containment and planning accuracy. The relatively high defect rate indicates the need for enhanced incoming inspection, supplier quality review, and root cause follow-up on material defects. At the same time, weaker forecast accuracy should be </w:t>
      </w:r>
      <w:r>
        <w:lastRenderedPageBreak/>
        <w:t xml:space="preserve">addressed through closer demand planning </w:t>
      </w:r>
      <w:proofErr w:type="gramStart"/>
      <w:r>
        <w:t>coordination</w:t>
      </w:r>
      <w:proofErr w:type="gramEnd"/>
      <w:r>
        <w:t xml:space="preserve"> so inventory decisions are not made on unstable assumptions. This combined quality-and-planning approach is likely to be more effective than using inventory increases alone.</w:t>
      </w:r>
    </w:p>
    <w:sectPr w:rsidR="00DF337B" w:rsidSect="00DF337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B3"/>
    <w:rsid w:val="002050B3"/>
    <w:rsid w:val="00747BEA"/>
    <w:rsid w:val="008E24CA"/>
    <w:rsid w:val="00D778AD"/>
    <w:rsid w:val="00DF337B"/>
    <w:rsid w:val="00EE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3741E"/>
  <w15:chartTrackingRefBased/>
  <w15:docId w15:val="{67E56643-A917-4F9E-BBFC-E9483E7A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B3"/>
    <w:rPr>
      <w:rFonts w:eastAsiaTheme="majorEastAsia" w:cstheme="majorBidi"/>
      <w:color w:val="272727" w:themeColor="text1" w:themeTint="D8"/>
    </w:rPr>
  </w:style>
  <w:style w:type="paragraph" w:styleId="Title">
    <w:name w:val="Title"/>
    <w:basedOn w:val="Normal"/>
    <w:next w:val="Normal"/>
    <w:link w:val="TitleChar"/>
    <w:uiPriority w:val="10"/>
    <w:qFormat/>
    <w:rsid w:val="00205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B3"/>
    <w:pPr>
      <w:spacing w:before="160"/>
      <w:jc w:val="center"/>
    </w:pPr>
    <w:rPr>
      <w:i/>
      <w:iCs/>
      <w:color w:val="404040" w:themeColor="text1" w:themeTint="BF"/>
    </w:rPr>
  </w:style>
  <w:style w:type="character" w:customStyle="1" w:styleId="QuoteChar">
    <w:name w:val="Quote Char"/>
    <w:basedOn w:val="DefaultParagraphFont"/>
    <w:link w:val="Quote"/>
    <w:uiPriority w:val="29"/>
    <w:rsid w:val="002050B3"/>
    <w:rPr>
      <w:i/>
      <w:iCs/>
      <w:color w:val="404040" w:themeColor="text1" w:themeTint="BF"/>
    </w:rPr>
  </w:style>
  <w:style w:type="paragraph" w:styleId="ListParagraph">
    <w:name w:val="List Paragraph"/>
    <w:basedOn w:val="Normal"/>
    <w:uiPriority w:val="34"/>
    <w:qFormat/>
    <w:rsid w:val="002050B3"/>
    <w:pPr>
      <w:ind w:left="720"/>
      <w:contextualSpacing/>
    </w:pPr>
  </w:style>
  <w:style w:type="character" w:styleId="IntenseEmphasis">
    <w:name w:val="Intense Emphasis"/>
    <w:basedOn w:val="DefaultParagraphFont"/>
    <w:uiPriority w:val="21"/>
    <w:qFormat/>
    <w:rsid w:val="002050B3"/>
    <w:rPr>
      <w:i/>
      <w:iCs/>
      <w:color w:val="0F4761" w:themeColor="accent1" w:themeShade="BF"/>
    </w:rPr>
  </w:style>
  <w:style w:type="paragraph" w:styleId="IntenseQuote">
    <w:name w:val="Intense Quote"/>
    <w:basedOn w:val="Normal"/>
    <w:next w:val="Normal"/>
    <w:link w:val="IntenseQuoteChar"/>
    <w:uiPriority w:val="30"/>
    <w:qFormat/>
    <w:rsid w:val="00205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B3"/>
    <w:rPr>
      <w:i/>
      <w:iCs/>
      <w:color w:val="0F4761" w:themeColor="accent1" w:themeShade="BF"/>
    </w:rPr>
  </w:style>
  <w:style w:type="character" w:styleId="IntenseReference">
    <w:name w:val="Intense Reference"/>
    <w:basedOn w:val="DefaultParagraphFont"/>
    <w:uiPriority w:val="32"/>
    <w:qFormat/>
    <w:rsid w:val="00205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8868">
      <w:marLeft w:val="0"/>
      <w:marRight w:val="0"/>
      <w:marTop w:val="0"/>
      <w:marBottom w:val="0"/>
      <w:divBdr>
        <w:top w:val="none" w:sz="0" w:space="0" w:color="auto"/>
        <w:left w:val="none" w:sz="0" w:space="0" w:color="auto"/>
        <w:bottom w:val="none" w:sz="0" w:space="0" w:color="auto"/>
        <w:right w:val="none" w:sz="0" w:space="0" w:color="auto"/>
      </w:divBdr>
    </w:div>
    <w:div w:id="425422189">
      <w:marLeft w:val="0"/>
      <w:marRight w:val="0"/>
      <w:marTop w:val="0"/>
      <w:marBottom w:val="0"/>
      <w:divBdr>
        <w:top w:val="none" w:sz="0" w:space="0" w:color="auto"/>
        <w:left w:val="none" w:sz="0" w:space="0" w:color="auto"/>
        <w:bottom w:val="none" w:sz="0" w:space="0" w:color="auto"/>
        <w:right w:val="none" w:sz="0" w:space="0" w:color="auto"/>
      </w:divBdr>
    </w:div>
    <w:div w:id="701786564">
      <w:marLeft w:val="0"/>
      <w:marRight w:val="0"/>
      <w:marTop w:val="0"/>
      <w:marBottom w:val="0"/>
      <w:divBdr>
        <w:top w:val="none" w:sz="0" w:space="0" w:color="auto"/>
        <w:left w:val="none" w:sz="0" w:space="0" w:color="auto"/>
        <w:bottom w:val="none" w:sz="0" w:space="0" w:color="auto"/>
        <w:right w:val="none" w:sz="0" w:space="0" w:color="auto"/>
      </w:divBdr>
    </w:div>
    <w:div w:id="1523863474">
      <w:marLeft w:val="0"/>
      <w:marRight w:val="0"/>
      <w:marTop w:val="0"/>
      <w:marBottom w:val="0"/>
      <w:divBdr>
        <w:top w:val="none" w:sz="0" w:space="0" w:color="auto"/>
        <w:left w:val="none" w:sz="0" w:space="0" w:color="auto"/>
        <w:bottom w:val="none" w:sz="0" w:space="0" w:color="auto"/>
        <w:right w:val="none" w:sz="0" w:space="0" w:color="auto"/>
      </w:divBdr>
      <w:divsChild>
        <w:div w:id="776868142">
          <w:marLeft w:val="0"/>
          <w:marRight w:val="0"/>
          <w:marTop w:val="0"/>
          <w:marBottom w:val="0"/>
          <w:divBdr>
            <w:top w:val="none" w:sz="0" w:space="0" w:color="auto"/>
            <w:left w:val="none" w:sz="0" w:space="0" w:color="auto"/>
            <w:bottom w:val="none" w:sz="0" w:space="0" w:color="auto"/>
            <w:right w:val="none" w:sz="0" w:space="0" w:color="auto"/>
          </w:divBdr>
        </w:div>
        <w:div w:id="1251042607">
          <w:marLeft w:val="0"/>
          <w:marRight w:val="0"/>
          <w:marTop w:val="0"/>
          <w:marBottom w:val="0"/>
          <w:divBdr>
            <w:top w:val="none" w:sz="0" w:space="0" w:color="auto"/>
            <w:left w:val="none" w:sz="0" w:space="0" w:color="auto"/>
            <w:bottom w:val="none" w:sz="0" w:space="0" w:color="auto"/>
            <w:right w:val="none" w:sz="0" w:space="0" w:color="auto"/>
          </w:divBdr>
        </w:div>
        <w:div w:id="856890463">
          <w:marLeft w:val="0"/>
          <w:marRight w:val="0"/>
          <w:marTop w:val="0"/>
          <w:marBottom w:val="0"/>
          <w:divBdr>
            <w:top w:val="none" w:sz="0" w:space="0" w:color="auto"/>
            <w:left w:val="none" w:sz="0" w:space="0" w:color="auto"/>
            <w:bottom w:val="none" w:sz="0" w:space="0" w:color="auto"/>
            <w:right w:val="none" w:sz="0" w:space="0" w:color="auto"/>
          </w:divBdr>
        </w:div>
        <w:div w:id="1926299839">
          <w:marLeft w:val="0"/>
          <w:marRight w:val="0"/>
          <w:marTop w:val="0"/>
          <w:marBottom w:val="0"/>
          <w:divBdr>
            <w:top w:val="none" w:sz="0" w:space="0" w:color="auto"/>
            <w:left w:val="none" w:sz="0" w:space="0" w:color="auto"/>
            <w:bottom w:val="none" w:sz="0" w:space="0" w:color="auto"/>
            <w:right w:val="none" w:sz="0" w:space="0" w:color="auto"/>
          </w:divBdr>
        </w:div>
        <w:div w:id="913006941">
          <w:marLeft w:val="0"/>
          <w:marRight w:val="0"/>
          <w:marTop w:val="0"/>
          <w:marBottom w:val="0"/>
          <w:divBdr>
            <w:top w:val="none" w:sz="0" w:space="0" w:color="auto"/>
            <w:left w:val="none" w:sz="0" w:space="0" w:color="auto"/>
            <w:bottom w:val="none" w:sz="0" w:space="0" w:color="auto"/>
            <w:right w:val="none" w:sz="0" w:space="0" w:color="auto"/>
          </w:divBdr>
        </w:div>
        <w:div w:id="1958833217">
          <w:marLeft w:val="0"/>
          <w:marRight w:val="0"/>
          <w:marTop w:val="0"/>
          <w:marBottom w:val="0"/>
          <w:divBdr>
            <w:top w:val="none" w:sz="0" w:space="0" w:color="auto"/>
            <w:left w:val="none" w:sz="0" w:space="0" w:color="auto"/>
            <w:bottom w:val="none" w:sz="0" w:space="0" w:color="auto"/>
            <w:right w:val="none" w:sz="0" w:space="0" w:color="auto"/>
          </w:divBdr>
        </w:div>
        <w:div w:id="80223179">
          <w:marLeft w:val="0"/>
          <w:marRight w:val="0"/>
          <w:marTop w:val="0"/>
          <w:marBottom w:val="0"/>
          <w:divBdr>
            <w:top w:val="none" w:sz="0" w:space="0" w:color="auto"/>
            <w:left w:val="none" w:sz="0" w:space="0" w:color="auto"/>
            <w:bottom w:val="none" w:sz="0" w:space="0" w:color="auto"/>
            <w:right w:val="none" w:sz="0" w:space="0" w:color="auto"/>
          </w:divBdr>
        </w:div>
        <w:div w:id="1815482988">
          <w:marLeft w:val="0"/>
          <w:marRight w:val="0"/>
          <w:marTop w:val="0"/>
          <w:marBottom w:val="0"/>
          <w:divBdr>
            <w:top w:val="none" w:sz="0" w:space="0" w:color="auto"/>
            <w:left w:val="none" w:sz="0" w:space="0" w:color="auto"/>
            <w:bottom w:val="none" w:sz="0" w:space="0" w:color="auto"/>
            <w:right w:val="none" w:sz="0" w:space="0" w:color="auto"/>
          </w:divBdr>
        </w:div>
      </w:divsChild>
    </w:div>
    <w:div w:id="197717817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8</Pages>
  <Words>2378</Words>
  <Characters>13818</Characters>
  <Application>Microsoft Office Word</Application>
  <DocSecurity>0</DocSecurity>
  <Lines>234</Lines>
  <Paragraphs>114</Paragraphs>
  <ScaleCrop>false</ScaleCrop>
  <Company/>
  <LinksUpToDate>false</LinksUpToDate>
  <CharactersWithSpaces>16082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Rudnikova, Maria [JANRU]</dc:creator>
  <cp:keywords/>
  <dc:description/>
  <cp:lastModifiedBy>Rudnikova, Maria [JANRU]</cp:lastModifiedBy>
  <cp:revision>3</cp:revision>
  <dcterms:created xsi:type="dcterms:W3CDTF">2026-05-25T19:41:00Z</dcterms:created>
  <dcterms:modified xsi:type="dcterms:W3CDTF">2026-05-25T19:49:00Z</dcterms:modified>
</cp:coreProperties>
</file>