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480"/>
        <w:jc w:val="center"/>
      </w:pPr>
      <w:r>
        <w:rPr>
          <w:rFonts w:ascii="Times New Roman" w:cs="Times New Roman" w:eastAsia="Times New Roman" w:hAnsi="Times New Roman"/>
          <w:b/>
          <w:bCs/>
          <w:sz w:val="40"/>
          <w:szCs w:val="40"/>
        </w:rPr>
        <w:t xml:space="preserve">Architectures of Power:</w:t>
      </w:r>
    </w:p>
    <w:p>
      <w:pPr>
        <w:spacing w:before="0" w:after="480"/>
        <w:jc w:val="center"/>
      </w:pPr>
      <w:r>
        <w:rPr>
          <w:rFonts w:ascii="Times New Roman" w:cs="Times New Roman" w:eastAsia="Times New Roman" w:hAnsi="Times New Roman"/>
          <w:b/>
          <w:bCs/>
          <w:sz w:val="36"/>
          <w:szCs w:val="36"/>
        </w:rPr>
        <w:t xml:space="preserve">Mapping the Global AI Arms Race and Physical Vulnerabilities</w:t>
      </w:r>
    </w:p>
    <w:p>
      <w:pPr>
        <w:spacing w:before="0" w:after="0"/>
      </w:pPr>
      <w:r>
        <w:rPr>
          <w:rFonts w:ascii="Times New Roman" w:cs="Times New Roman" w:eastAsia="Times New Roman" w:hAnsi="Times New Roman"/>
          <w:sz w:val="24"/>
          <w:szCs w:val="24"/>
        </w:rPr>
        <w:t xml:space="preserve"/>
      </w:r>
    </w:p>
    <w:p>
      <w:pPr>
        <w:spacing w:before="600" w:after="160"/>
        <w:jc w:val="center"/>
      </w:pPr>
      <w:r>
        <w:rPr>
          <w:rFonts w:ascii="Times New Roman" w:cs="Times New Roman" w:eastAsia="Times New Roman" w:hAnsi="Times New Roman"/>
          <w:sz w:val="28"/>
          <w:szCs w:val="28"/>
        </w:rPr>
        <w:t xml:space="preserve">Moritz Bürkle</w:t>
      </w:r>
    </w:p>
    <w:p>
      <w:pPr>
        <w:spacing w:before="0" w:after="3200"/>
        <w:jc w:val="center"/>
      </w:pPr>
      <w:r>
        <w:rPr>
          <w:rFonts w:ascii="Times New Roman" w:cs="Times New Roman" w:eastAsia="Times New Roman" w:hAnsi="Times New Roman"/>
          <w:i/>
          <w:iCs/>
          <w:sz w:val="24"/>
          <w:szCs w:val="24"/>
        </w:rPr>
        <w:t xml:space="preserve">2025 / 2026</w:t>
      </w:r>
    </w:p>
    <w:p>
      <w:pPr>
        <w:pageBreakBefore/>
      </w:pPr>
      <w:r>
        <w:rPr>
          <w:rFonts w:ascii="Times New Roman" w:cs="Times New Roman" w:eastAsia="Times New Roman" w:hAnsi="Times New Roman"/>
          <w:sz w:val="24"/>
          <w:szCs w:val="24"/>
        </w:rPr>
        <w:t xml:space="preserve"/>
      </w:r>
    </w:p>
    <w:p>
      <w:pPr>
        <w:pStyle w:val="Heading1"/>
        <w:spacing w:before="560" w:after="220"/>
      </w:pPr>
      <w:r>
        <w:rPr>
          <w:rFonts w:ascii="Times New Roman" w:cs="Times New Roman" w:eastAsia="Times New Roman" w:hAnsi="Times New Roman"/>
          <w:b/>
          <w:bCs/>
          <w:sz w:val="28"/>
          <w:szCs w:val="28"/>
        </w:rPr>
        <w:t xml:space="preserve">I.  Introduction: When Drones Decide Wars</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I first learned about the true impact of Artificial Intelligence (AI) in geopolitical and military contexts at a TED event. It was a talk by Alexandr Wang, founder and then-CEO of Scale AI. He argued that the utility of AI in military contexts would far exceed that of the development of nuclear weapons.</w:t>
      </w:r>
      <w:r>
        <w:rPr>
          <w:rStyle w:val="FootnoteReference"/>
        </w:rPr>
        <w:footnoteReference w:id="1"/>
      </w:r>
      <w:r>
        <w:rPr>
          <w:rFonts w:ascii="Times New Roman" w:cs="Times New Roman" w:eastAsia="Times New Roman" w:hAnsi="Times New Roman"/>
          <w:sz w:val="24"/>
          <w:szCs w:val="24"/>
        </w:rPr>
        <w:t xml:space="preserve"> The statement stayed with me. At first I received it as a provocative metaphor – yet more than a year later, I witnessed the first real demonstration of its meaning.</w:t>
      </w:r>
    </w:p>
    <w:p>
      <w:pPr>
        <w:spacing w:line="360" w:lineRule="auto" w:before="0" w:after="160"/>
        <w:jc w:val="both"/>
      </w:pPr>
      <w:r>
        <w:rPr>
          <w:rFonts w:ascii="Times New Roman" w:cs="Times New Roman" w:eastAsia="Times New Roman" w:hAnsi="Times New Roman"/>
          <w:sz w:val="24"/>
          <w:szCs w:val="24"/>
        </w:rPr>
        <w:t xml:space="preserve">On 1 June 2025, news outlets worldwide reported that autonomous, AI-guided drones had been deployed in the war in Ukraine.</w:t>
      </w:r>
      <w:r>
        <w:rPr>
          <w:rStyle w:val="FootnoteReference"/>
        </w:rPr>
        <w:footnoteReference w:id="2"/>
      </w:r>
      <w:r>
        <w:rPr>
          <w:rFonts w:ascii="Times New Roman" w:cs="Times New Roman" w:eastAsia="Times New Roman" w:hAnsi="Times New Roman"/>
          <w:sz w:val="24"/>
          <w:szCs w:val="24"/>
        </w:rPr>
        <w:t xml:space="preserve"> I had believed I already understood the decisive capabilities of drone warfare – but that day showed me how fundamentally wrong I was. Operation "Spiderweb" demonstrated that with comparatively modest resources, combined with AI and machine-learning systems, a disproportionately large military result can be achieved. In this case it was the destruction of approximately 41 military aircraft, including several bombers, whose loss and damage caused an estimated material cost of around seven billion US dollars.</w:t>
      </w:r>
      <w:r>
        <w:rPr>
          <w:rStyle w:val="FootnoteReference"/>
        </w:rPr>
        <w:footnoteReference w:id="3"/>
      </w:r>
      <w:r>
        <w:rPr>
          <w:rFonts w:ascii="Times New Roman" w:cs="Times New Roman" w:eastAsia="Times New Roman" w:hAnsi="Times New Roman"/>
          <w:sz w:val="24"/>
          <w:szCs w:val="24"/>
        </w:rPr>
        <w:t xml:space="preserve"> (These figures have not yet been independently verified.)</w:t>
      </w:r>
    </w:p>
    <w:p>
      <w:pPr>
        <w:spacing w:line="360" w:lineRule="auto" w:before="0" w:after="160"/>
        <w:jc w:val="both"/>
      </w:pPr>
      <w:r>
        <w:rPr>
          <w:rFonts w:ascii="Times New Roman" w:cs="Times New Roman" w:eastAsia="Times New Roman" w:hAnsi="Times New Roman"/>
          <w:sz w:val="24"/>
          <w:szCs w:val="24"/>
        </w:rPr>
        <w:t xml:space="preserve">Since then, that day has been described in many analyses as a turning point: a day on which the Russian air force suffered one of its heaviest defeats, and on which it became visible that AI-supported weapons systems – trained on data from historical conflicts, including archive imagery of Soviet aircraft from museums – can now influence the actual course of a war.</w:t>
      </w:r>
      <w:r>
        <w:rPr>
          <w:rStyle w:val="FootnoteReference"/>
        </w:rPr>
        <w:footnoteReference w:id="4"/>
      </w:r>
      <w:r>
        <w:rPr>
          <w:rFonts w:ascii="Times New Roman" w:cs="Times New Roman" w:eastAsia="Times New Roman" w:hAnsi="Times New Roman"/>
          <w:sz w:val="24"/>
          <w:szCs w:val="24"/>
        </w:rPr>
        <w:t xml:space="preserve"> Military strategists, analysts and AI engineers worldwide have been debating what it means when systems of this kind fall into the wrong hands.</w:t>
      </w:r>
    </w:p>
    <w:p>
      <w:pPr>
        <w:spacing w:line="360" w:lineRule="auto" w:before="0" w:after="160"/>
        <w:jc w:val="both"/>
      </w:pPr>
      <w:r>
        <w:rPr>
          <w:rFonts w:ascii="Times New Roman" w:cs="Times New Roman" w:eastAsia="Times New Roman" w:hAnsi="Times New Roman"/>
          <w:sz w:val="24"/>
          <w:szCs w:val="24"/>
        </w:rPr>
        <w:t xml:space="preserve">In parallel, the global arms race has escalated: the United States and China find themselves in a technological contest that increasingly recalls the dynamics of the Cold War – with the difference that the pace of AI development surpasses any classical nuclear deterrence logic.</w:t>
      </w:r>
      <w:r>
        <w:rPr>
          <w:rStyle w:val="FootnoteReference"/>
        </w:rPr>
        <w:footnoteReference w:id="5"/>
      </w:r>
      <w:r>
        <w:rPr>
          <w:rFonts w:ascii="Times New Roman" w:cs="Times New Roman" w:eastAsia="Times New Roman" w:hAnsi="Times New Roman"/>
          <w:sz w:val="24"/>
          <w:szCs w:val="24"/>
        </w:rPr>
        <w:t xml:space="preserve"> The decisive question today is: where does this arms build-up with "thinking" weapons systems lead, who gains access to their "ammunition", and how can we prevent it from ending in a global catastrophe?</w:t>
      </w:r>
    </w:p>
    <w:p>
      <w:pPr>
        <w:pStyle w:val="Heading1"/>
        <w:spacing w:before="560" w:after="220"/>
      </w:pPr>
      <w:r>
        <w:rPr>
          <w:rFonts w:ascii="Times New Roman" w:cs="Times New Roman" w:eastAsia="Times New Roman" w:hAnsi="Times New Roman"/>
          <w:b/>
          <w:bCs/>
          <w:sz w:val="28"/>
          <w:szCs w:val="28"/>
        </w:rPr>
        <w:t xml:space="preserve">II.  The Core of the US–China AI Contest</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The United States recognised the strategic significance of Artificial Intelligence earlier than their later competitors. As early as 2016, the Obama administration published an AI strategy encompassing research priorities and ethical guidelines. At that point, the military focus was considerably less prominent. China, however, also recognised the potential and one year later presented a far more comprehensive and ambitious plan: in July 2017, the State Council of the People's Republic of China adopted the New Generation Artificial Intelligence Development Plan, with the stated objective of becoming the world leader in AI development by 2030. Even at this early stage, the differing approaches between the USA and China were evident – the USA relied primarily on the innovative capacity of private enterprise, whereas China concentrated on a state-directed, long-term master plan.</w:t>
      </w:r>
    </w:p>
    <w:p>
      <w:pPr>
        <w:spacing w:line="360" w:lineRule="auto" w:before="0" w:after="160"/>
        <w:jc w:val="both"/>
      </w:pPr>
      <w:r>
        <w:rPr>
          <w:rFonts w:ascii="Times New Roman" w:cs="Times New Roman" w:eastAsia="Times New Roman" w:hAnsi="Times New Roman"/>
          <w:sz w:val="24"/>
          <w:szCs w:val="24"/>
        </w:rPr>
        <w:t xml:space="preserve">When the US–China trade conflict began under the Trump administration from 2018 onwards, the technological dimension moved further into focus. Export restrictions on the semiconductor industry, sanctions against Chinese technology corporations such as Huawei, and general access to AI chips became the core of the geopolitical confrontation.</w:t>
      </w:r>
      <w:r>
        <w:rPr>
          <w:rStyle w:val="FootnoteReference"/>
        </w:rPr>
        <w:footnoteReference w:id="6"/>
      </w:r>
      <w:r>
        <w:rPr>
          <w:rFonts w:ascii="Times New Roman" w:cs="Times New Roman" w:eastAsia="Times New Roman" w:hAnsi="Times New Roman"/>
          <w:sz w:val="24"/>
          <w:szCs w:val="24"/>
        </w:rPr>
        <w:t xml:space="preserve"> The Biden administration sharpened this course still further by explicitly declaring AI a strategic field of competition. Washington now speaks openly of a systemic rivalry between the superpowers, with both sides having understood that the nation leading in AI may ultimately determine the winner of this contest.</w:t>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Key Areas of Competition</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In the race between the USA and China, several core areas can be identified: military application, economic dominance, data as a strategic raw material, talent as human capital, and the forging of alliances.</w:t>
      </w:r>
    </w:p>
    <w:p>
      <w:pPr>
        <w:spacing w:line="360" w:lineRule="auto" w:before="0" w:after="160"/>
        <w:jc w:val="both"/>
      </w:pPr>
      <w:r>
        <w:rPr>
          <w:rFonts w:ascii="Times New Roman" w:cs="Times New Roman" w:eastAsia="Times New Roman" w:hAnsi="Times New Roman"/>
          <w:sz w:val="24"/>
          <w:szCs w:val="24"/>
        </w:rPr>
        <w:t xml:space="preserve">Military application is perhaps accorded the most significance, as this area has the potential to determine future wars and thereby fundamentally alter the geopolitical landscape.</w:t>
      </w:r>
      <w:r>
        <w:rPr>
          <w:rStyle w:val="FootnoteReference"/>
        </w:rPr>
        <w:footnoteReference w:id="7"/>
      </w:r>
      <w:r>
        <w:rPr>
          <w:rFonts w:ascii="Times New Roman" w:cs="Times New Roman" w:eastAsia="Times New Roman" w:hAnsi="Times New Roman"/>
          <w:sz w:val="24"/>
          <w:szCs w:val="24"/>
        </w:rPr>
        <w:t xml:space="preserve"> Autonomous weapons systems, drone swarms, and surveillance technologies based on AI algorithms are at the centre of these efforts. The Center for Strategic and International Studies (CSIS) emphasised in 2022 that China is investing heavily in dual-use technologies applicable to both civilian and military purposes.</w:t>
      </w:r>
      <w:r>
        <w:rPr>
          <w:rStyle w:val="FootnoteReference"/>
        </w:rPr>
        <w:footnoteReference w:id="8"/>
      </w:r>
      <w:r>
        <w:rPr>
          <w:rFonts w:ascii="Times New Roman" w:cs="Times New Roman" w:eastAsia="Times New Roman" w:hAnsi="Times New Roman"/>
          <w:sz w:val="24"/>
          <w:szCs w:val="24"/>
        </w:rPr>
        <w:t xml:space="preserve"> The USA, for its part, concentrates its military AI projects at the Pentagon and research institutions such as DARPA, and forms partnerships with technology companies such as Anduril and Scale AI, which collaborates with DARPA on intelligent war-simulation and forecasting systems.</w:t>
      </w:r>
    </w:p>
    <w:p>
      <w:pPr>
        <w:spacing w:line="360" w:lineRule="auto" w:before="0" w:after="160"/>
        <w:jc w:val="both"/>
      </w:pPr>
      <w:r>
        <w:rPr>
          <w:rFonts w:ascii="Times New Roman" w:cs="Times New Roman" w:eastAsia="Times New Roman" w:hAnsi="Times New Roman"/>
          <w:sz w:val="24"/>
          <w:szCs w:val="24"/>
        </w:rPr>
        <w:t xml:space="preserve">Economic dominance is equally critical. The USA attempts to strengthen domestic semiconductor production through the CHIPS and Science Act of 2022,</w:t>
      </w:r>
      <w:r>
        <w:rPr>
          <w:rStyle w:val="FootnoteReference"/>
        </w:rPr>
        <w:footnoteReference w:id="9"/>
      </w:r>
      <w:r>
        <w:rPr>
          <w:rFonts w:ascii="Times New Roman" w:cs="Times New Roman" w:eastAsia="Times New Roman" w:hAnsi="Times New Roman"/>
          <w:sz w:val="24"/>
          <w:szCs w:val="24"/>
        </w:rPr>
        <w:t xml:space="preserve"> while China has made it a central priority to render its own chip and semiconductor industry more competitive through research and development – efforts in which Alibaba and Baidu are actively engaged to reduce dependence on foreign suppliers.</w:t>
      </w:r>
      <w:r>
        <w:rPr>
          <w:rStyle w:val="FootnoteReference"/>
        </w:rPr>
        <w:footnoteReference w:id="10"/>
      </w:r>
      <w:r>
        <w:rPr>
          <w:rFonts w:ascii="Times New Roman" w:cs="Times New Roman" w:eastAsia="Times New Roman" w:hAnsi="Times New Roman"/>
          <w:sz w:val="24"/>
          <w:szCs w:val="24"/>
        </w:rPr>
        <w:t xml:space="preserve"> The US export controls on high-performance AI chips are designed to slow China's AI ambitions. Crucially, however, both countries – and the rest of the world – remain dependent on the island of Taiwan and the chip manufacturer TSMC, which dominates the global market by a wide margin through sheer quality of output.</w:t>
      </w:r>
    </w:p>
    <w:p>
      <w:pPr>
        <w:spacing w:line="360" w:lineRule="auto" w:before="0" w:after="160"/>
        <w:jc w:val="both"/>
      </w:pPr>
      <w:r>
        <w:rPr>
          <w:rFonts w:ascii="Times New Roman" w:cs="Times New Roman" w:eastAsia="Times New Roman" w:hAnsi="Times New Roman"/>
          <w:sz w:val="24"/>
          <w:szCs w:val="24"/>
        </w:rPr>
        <w:t xml:space="preserve">Data as raw material constitutes a further strategic dimension. China holds a structural advantage through its state-controlled internet architecture and the massive deployment of surveillance technologies, which provide access to gigantic, centralised datasets that are often subject to far less stringent data-protection regulations than those in, for example, the EU. This data volume represents a major advantage for training large, robust AI models and supports China's dual-use strategy by enabling civilian data to be readily repurposed for military or security applications.</w:t>
      </w:r>
    </w:p>
    <w:p>
      <w:pPr>
        <w:spacing w:line="360" w:lineRule="auto" w:before="0" w:after="160"/>
        <w:jc w:val="both"/>
      </w:pPr>
      <w:r>
        <w:rPr>
          <w:rFonts w:ascii="Times New Roman" w:cs="Times New Roman" w:eastAsia="Times New Roman" w:hAnsi="Times New Roman"/>
          <w:sz w:val="24"/>
          <w:szCs w:val="24"/>
        </w:rPr>
        <w:t xml:space="preserve">In the area of talent as human capital, the USA holds a structural advantage: US universities and the private technology sector attract a large proportion of the world's leading researchers and AI talent. China invests heavily in developing its own researchers – estimates suggest China produces four times as many STEM graduates as the USA – but the USA benefits from a more open ecosystem and the reputational pull of firms working at the frontier of AI development. At Meta's new Superintelligence Lab, approximately half of the researchers come from China, including graduates of the renowned Tsinghua University. By recruiting talent from around the world in this way, the USA currently maintains its technological lead in frontier AI research.</w:t>
      </w:r>
    </w:p>
    <w:p>
      <w:pPr>
        <w:spacing w:line="360" w:lineRule="auto" w:before="0" w:after="160"/>
        <w:jc w:val="both"/>
      </w:pPr>
      <w:r>
        <w:rPr>
          <w:rFonts w:ascii="Times New Roman" w:cs="Times New Roman" w:eastAsia="Times New Roman" w:hAnsi="Times New Roman"/>
          <w:sz w:val="24"/>
          <w:szCs w:val="24"/>
        </w:rPr>
        <w:t xml:space="preserve">With respect to alliances, a bloc formation reminiscent of the Cold War is emerging. The USA relies on its established and newer alliances such as NATO and AUKUS, as well as partnerships with Japan and South Korea for cooperation in military AI development.</w:t>
      </w:r>
      <w:r>
        <w:rPr>
          <w:rStyle w:val="FootnoteReference"/>
        </w:rPr>
        <w:footnoteReference w:id="11"/>
      </w:r>
      <w:r>
        <w:rPr>
          <w:rFonts w:ascii="Times New Roman" w:cs="Times New Roman" w:eastAsia="Times New Roman" w:hAnsi="Times New Roman"/>
          <w:sz w:val="24"/>
          <w:szCs w:val="24"/>
        </w:rPr>
        <w:t xml:space="preserve"> States such as Singapore and, above all, India are also moving increasingly into focus.</w:t>
      </w:r>
      <w:r>
        <w:rPr>
          <w:rStyle w:val="FootnoteReference"/>
        </w:rPr>
        <w:footnoteReference w:id="12"/>
      </w:r>
      <w:r>
        <w:rPr>
          <w:rFonts w:ascii="Times New Roman" w:cs="Times New Roman" w:eastAsia="Times New Roman" w:hAnsi="Times New Roman"/>
          <w:sz w:val="24"/>
          <w:szCs w:val="24"/>
        </w:rPr>
        <w:t xml:space="preserve"> China, by contrast, relies on alliances with Russia and other authoritarian partners, even though the technological asymmetry remains considerable.</w:t>
      </w:r>
    </w:p>
    <w:p>
      <w:pPr>
        <w:spacing w:line="360" w:lineRule="auto" w:before="0" w:after="160"/>
        <w:jc w:val="both"/>
      </w:pPr>
      <w:r>
        <w:rPr>
          <w:rFonts w:ascii="Times New Roman" w:cs="Times New Roman" w:eastAsia="Times New Roman" w:hAnsi="Times New Roman"/>
          <w:sz w:val="24"/>
          <w:szCs w:val="24"/>
        </w:rPr>
        <w:t xml:space="preserve">As of the end of 2025, the picture is asymmetric: the USA holds a global leadership position in the private AI sector thanks to companies such as OpenAI, Anthropic, Google DeepMind and cloud providers including Amazon, Microsoft and Oracle.</w:t>
      </w:r>
      <w:r>
        <w:rPr>
          <w:rStyle w:val="FootnoteReference"/>
        </w:rPr>
        <w:footnoteReference w:id="13"/>
      </w:r>
      <w:r>
        <w:rPr>
          <w:rFonts w:ascii="Times New Roman" w:cs="Times New Roman" w:eastAsia="Times New Roman" w:hAnsi="Times New Roman"/>
          <w:sz w:val="24"/>
          <w:szCs w:val="24"/>
        </w:rPr>
        <w:t xml:space="preserve"> Yet China is also a front-runner in AI model development, as large language models such as Baichuan demonstrate – typically free, open-source models. China additionally pursues state-directed, integrated AI development that closely links surveillance technologies, industrial manufacturing and military applications. Ultimately, the strategic and purposeful deployment of AI will prove decisive, since only a strategic application in the economy can confer a genuine advantage.</w:t>
      </w:r>
    </w:p>
    <w:p>
      <w:pPr>
        <w:spacing w:line="360" w:lineRule="auto" w:before="0" w:after="160"/>
        <w:jc w:val="both"/>
      </w:pPr>
      <w:r>
        <w:rPr>
          <w:rFonts w:ascii="Times New Roman" w:cs="Times New Roman" w:eastAsia="Times New Roman" w:hAnsi="Times New Roman"/>
          <w:sz w:val="24"/>
          <w:szCs w:val="24"/>
        </w:rPr>
        <w:t xml:space="preserve">This race for global dominance through AI is far from decided, but it is already clear that it is by no means purely technological in nature – it is the expression of a comprehensive systemic competition in which research and development become the decisive keys. Both sides view AI as a pivotal technology with the potential to reshape the world. Whoever first develops Artificial Superintelligence (ASI) may well shape the world of the twenty-first century.</w:t>
      </w:r>
    </w:p>
    <w:p>
      <w:pPr>
        <w:pStyle w:val="Heading1"/>
        <w:spacing w:before="560" w:after="220"/>
      </w:pPr>
      <w:r>
        <w:rPr>
          <w:rFonts w:ascii="Times New Roman" w:cs="Times New Roman" w:eastAsia="Times New Roman" w:hAnsi="Times New Roman"/>
          <w:b/>
          <w:bCs/>
          <w:sz w:val="28"/>
          <w:szCs w:val="28"/>
        </w:rPr>
        <w:t xml:space="preserve">III.  The War in Ukraine as a Catalyst for AI Development</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No conflict is better suited as a current testing ground for military AI innovation than the war in Ukraine. It illustrates how rapidly civilian AI technologies can be transformed into military instruments. One example is the use of commercially available small drones which Ukrainian forces equip with AI-supported navigation systems and target-acquisition software. According to the Center for Strategic and International Studies, swarms of such drones have launched attacks against sensitive targets.</w:t>
      </w:r>
      <w:r>
        <w:rPr>
          <w:rStyle w:val="FootnoteReference"/>
        </w:rPr>
        <w:footnoteReference w:id="14"/>
      </w:r>
      <w:r>
        <w:rPr>
          <w:rFonts w:ascii="Times New Roman" w:cs="Times New Roman" w:eastAsia="Times New Roman" w:hAnsi="Times New Roman"/>
          <w:sz w:val="24"/>
          <w:szCs w:val="24"/>
        </w:rPr>
        <w:t xml:space="preserve"> At present these drones can mostly only be countered by small arms fire, which makes them even more effective.</w:t>
      </w:r>
    </w:p>
    <w:p>
      <w:pPr>
        <w:spacing w:line="360" w:lineRule="auto" w:before="0" w:after="160"/>
        <w:jc w:val="both"/>
      </w:pPr>
      <w:r>
        <w:rPr>
          <w:rFonts w:ascii="Times New Roman" w:cs="Times New Roman" w:eastAsia="Times New Roman" w:hAnsi="Times New Roman"/>
          <w:sz w:val="24"/>
          <w:szCs w:val="24"/>
        </w:rPr>
        <w:t xml:space="preserve">The drone trend is not new – drones were also decisive in the Nagorno-Karabakh conflict. But whereas expensive combat drones costing millions of dollars were used there, the devices now in use are small drones that typically weigh under five kilograms and frequently cost less than one thousand dollars. That such off-the-shelf drones can become highly effective weapons is a warning to all nations of the world.</w:t>
      </w:r>
    </w:p>
    <w:p>
      <w:pPr>
        <w:spacing w:line="360" w:lineRule="auto" w:before="0" w:after="160"/>
        <w:jc w:val="both"/>
      </w:pPr>
      <w:r>
        <w:rPr>
          <w:rFonts w:ascii="Times New Roman" w:cs="Times New Roman" w:eastAsia="Times New Roman" w:hAnsi="Times New Roman"/>
          <w:sz w:val="24"/>
          <w:szCs w:val="24"/>
        </w:rPr>
        <w:t xml:space="preserve">Innovation with AI manifests not only in converted drones, but also in the growing role of satellite-image processing. Algorithms originally developed for agriculture are now used to identify troop movements or locate artillery positions.</w:t>
      </w:r>
      <w:r>
        <w:rPr>
          <w:rStyle w:val="FootnoteReference"/>
        </w:rPr>
        <w:footnoteReference w:id="15"/>
      </w:r>
      <w:r>
        <w:rPr>
          <w:rFonts w:ascii="Times New Roman" w:cs="Times New Roman" w:eastAsia="Times New Roman" w:hAnsi="Times New Roman"/>
          <w:sz w:val="24"/>
          <w:szCs w:val="24"/>
        </w:rPr>
        <w:t xml:space="preserve"> Companies such as Scale AI – which also specialises in data labelling – have become experts in satellite-image analysis, as their AI programmes are more capable and faster than those of most armies. Communication networks are likewise being optimised with AI to maintain information flow between units despite massive jamming attempts. Logistics is another key area, where AI systems help coordinate supplies and ammunition under high pressure, even when infrastructure is under fire.</w:t>
      </w:r>
    </w:p>
    <w:p>
      <w:pPr>
        <w:spacing w:line="360" w:lineRule="auto" w:before="0" w:after="160"/>
        <w:jc w:val="both"/>
      </w:pPr>
      <w:r>
        <w:rPr>
          <w:rFonts w:ascii="Times New Roman" w:cs="Times New Roman" w:eastAsia="Times New Roman" w:hAnsi="Times New Roman"/>
          <w:sz w:val="24"/>
          <w:szCs w:val="24"/>
        </w:rPr>
        <w:t xml:space="preserve">Striking is the ever-accelerating development cycle with which new technologies are deployed at the front. What would take years in peacetime now takes months. Observers describe this process as "real-time prototyping under fire":</w:t>
      </w:r>
      <w:r>
        <w:rPr>
          <w:rStyle w:val="FootnoteReference"/>
        </w:rPr>
        <w:footnoteReference w:id="16"/>
      </w:r>
      <w:r>
        <w:rPr>
          <w:rFonts w:ascii="Times New Roman" w:cs="Times New Roman" w:eastAsia="Times New Roman" w:hAnsi="Times New Roman"/>
          <w:sz w:val="24"/>
          <w:szCs w:val="24"/>
        </w:rPr>
        <w:t xml:space="preserve"> developers test software and hardware directly in combat, receive feedback from soldiers, and adapt systems accordingly. International cooperation further accelerates this innovation – NATO states share data and technologies, giving rise to a new form of collective defence norm.</w:t>
      </w:r>
      <w:r>
        <w:rPr>
          <w:rStyle w:val="FootnoteReference"/>
        </w:rPr>
        <w:footnoteReference w:id="17"/>
      </w:r>
      <w:r>
        <w:rPr>
          <w:rFonts w:ascii="Times New Roman" w:cs="Times New Roman" w:eastAsia="Times New Roman" w:hAnsi="Times New Roman"/>
          <w:sz w:val="24"/>
          <w:szCs w:val="24"/>
        </w:rPr>
        <w:t xml:space="preserve"> Companies such as Palantir and the German start-up Helsing play a key role here, causing the boundary between the civilian economy and the military to increasingly blur.</w:t>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Strategic Lessons for the Superpowers</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For the USA, the war in Ukraine has made it clear that it is necessary to revolutionise procurement processes and to accelerate the integration of commercial AI in the military sector in order to keep pace with the rapid tempo of innovation. The USA underlines this with the Pentagon's Replicator programme, which aims to produce thousands of low-cost, autonomous systems within a short timeframe.</w:t>
      </w:r>
      <w:r>
        <w:rPr>
          <w:rStyle w:val="FootnoteReference"/>
        </w:rPr>
        <w:footnoteReference w:id="18"/>
      </w:r>
      <w:r>
        <w:rPr>
          <w:rFonts w:ascii="Times New Roman" w:cs="Times New Roman" w:eastAsia="Times New Roman" w:hAnsi="Times New Roman"/>
          <w:sz w:val="24"/>
          <w:szCs w:val="24"/>
        </w:rPr>
        <w:t xml:space="preserve"> Mass and speed through AI-supported systems are thereby rendered just as important as technological superiority.</w:t>
      </w:r>
    </w:p>
    <w:p>
      <w:pPr>
        <w:spacing w:line="360" w:lineRule="auto" w:before="0" w:after="160"/>
        <w:jc w:val="both"/>
      </w:pPr>
      <w:r>
        <w:rPr>
          <w:rFonts w:ascii="Times New Roman" w:cs="Times New Roman" w:eastAsia="Times New Roman" w:hAnsi="Times New Roman"/>
          <w:sz w:val="24"/>
          <w:szCs w:val="24"/>
        </w:rPr>
        <w:t xml:space="preserve">For China, the war in Ukraine is a case study and an opportunity to collect data relevant to its own military planning – particularly with a view to a possible conflict over Taiwan. The People's Liberation Army (PLA) is partly observing on the ground</w:t>
      </w:r>
      <w:r>
        <w:rPr>
          <w:rStyle w:val="FootnoteReference"/>
        </w:rPr>
        <w:footnoteReference w:id="19"/>
      </w:r>
      <w:r>
        <w:rPr>
          <w:rFonts w:ascii="Times New Roman" w:cs="Times New Roman" w:eastAsia="Times New Roman" w:hAnsi="Times New Roman"/>
          <w:sz w:val="24"/>
          <w:szCs w:val="24"/>
        </w:rPr>
        <w:t xml:space="preserve"> the effectiveness of small, cheap drones against expensive Western systems and the potential of information warfare. The lessons of the Ukraine war reinforce China's Military-Civil Fusion strategy: Ukraine's ability to rapidly retool with commercial AI solutions demonstrates the immense strategic importance of merging civilian and military technology. China also draws parallels between Ukraine – which uses its resident AI and technology sector as a defence resource – and Taiwan.</w:t>
      </w:r>
    </w:p>
    <w:p>
      <w:pPr>
        <w:spacing w:line="360" w:lineRule="auto" w:before="0" w:after="160"/>
        <w:jc w:val="both"/>
      </w:pPr>
      <w:r>
        <w:rPr>
          <w:rFonts w:ascii="Times New Roman" w:cs="Times New Roman" w:eastAsia="Times New Roman" w:hAnsi="Times New Roman"/>
          <w:sz w:val="24"/>
          <w:szCs w:val="24"/>
        </w:rPr>
        <w:t xml:space="preserve">Russia's response to the innovations being deployed in Ukraine is ambivalent. Western sanctions deprive Moscow of access to the latest chips and software urgently required for modern systems.</w:t>
      </w:r>
      <w:r>
        <w:rPr>
          <w:rStyle w:val="FootnoteReference"/>
        </w:rPr>
        <w:footnoteReference w:id="20"/>
      </w:r>
      <w:r>
        <w:rPr>
          <w:rFonts w:ascii="Times New Roman" w:cs="Times New Roman" w:eastAsia="Times New Roman" w:hAnsi="Times New Roman"/>
          <w:sz w:val="24"/>
          <w:szCs w:val="24"/>
        </w:rPr>
        <w:t xml:space="preserve"> Russia therefore concentrates on asymmetric warfare: electronic warfare, jamming systems, and AI-supported systems to disrupt communication and information flows. Cyberattacks and drone strikes against strategic infrastructure such as airports are also used to create disorder. Despite these efforts, Russia remains technologically behind the West – even Chinese support cannot resolve this imbalance.</w:t>
      </w:r>
    </w:p>
    <w:p>
      <w:pPr>
        <w:spacing w:line="360" w:lineRule="auto" w:before="0" w:after="160"/>
        <w:jc w:val="both"/>
      </w:pPr>
      <w:r>
        <w:rPr>
          <w:rFonts w:ascii="Times New Roman" w:cs="Times New Roman" w:eastAsia="Times New Roman" w:hAnsi="Times New Roman"/>
          <w:sz w:val="24"/>
          <w:szCs w:val="24"/>
        </w:rPr>
        <w:t xml:space="preserve">The conclusion of this chapter is clear: the war in Ukraine is acting as an accelerator for global AI development. Technologies previously tested only in laboratories or small trials are now deployed in real time, fed with genuine data from an actual conflict. This drives not only military innovation – it also transforms political perception. Many countries recognised the potential of AI far too late and are now trailing the two superpowers. At the very latest through this war, most heads of state have been confronted with the true potential of military AI systems and now regard them as an indispensable resource in present and future warfare.</w:t>
      </w:r>
    </w:p>
    <w:p>
      <w:pPr>
        <w:pStyle w:val="Heading1"/>
        <w:spacing w:before="560" w:after="220"/>
      </w:pPr>
      <w:r>
        <w:rPr>
          <w:rFonts w:ascii="Times New Roman" w:cs="Times New Roman" w:eastAsia="Times New Roman" w:hAnsi="Times New Roman"/>
          <w:b/>
          <w:bCs/>
          <w:sz w:val="28"/>
          <w:szCs w:val="28"/>
        </w:rPr>
        <w:t xml:space="preserve">IV.  AI as a Strategic Domain of Economic Warfare</w:t>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National Strategies and Geopolitical Conflicts of Objective</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Artificial Intelligence has today become a central arena of economic power rivalry. Governments invest billions in national AI programmes in order to guarantee technological security for their citizens and to protect the sovereignty of the state. The USA and China were not only the first to recognise this potential; their initiatives also reach furthest.</w:t>
      </w:r>
    </w:p>
    <w:p>
      <w:pPr>
        <w:spacing w:line="360" w:lineRule="auto" w:before="0" w:after="160"/>
        <w:jc w:val="both"/>
      </w:pPr>
      <w:r>
        <w:rPr>
          <w:rFonts w:ascii="Times New Roman" w:cs="Times New Roman" w:eastAsia="Times New Roman" w:hAnsi="Times New Roman"/>
          <w:sz w:val="24"/>
          <w:szCs w:val="24"/>
        </w:rPr>
        <w:t xml:space="preserve">The USA pursues a market-driven innovation strategy. In the White House's National Artificial Intelligence Research and Development Strategic Plan of 2023, AI is defined as critical infrastructure whose development is intended to serve both economic and military superiority.</w:t>
      </w:r>
      <w:r>
        <w:rPr>
          <w:rStyle w:val="FootnoteReference"/>
        </w:rPr>
        <w:footnoteReference w:id="21"/>
      </w:r>
    </w:p>
    <w:p>
      <w:pPr>
        <w:spacing w:line="360" w:lineRule="auto" w:before="0" w:after="160"/>
        <w:jc w:val="both"/>
      </w:pPr>
      <w:r>
        <w:rPr>
          <w:rFonts w:ascii="Times New Roman" w:cs="Times New Roman" w:eastAsia="Times New Roman" w:hAnsi="Times New Roman"/>
          <w:sz w:val="24"/>
          <w:szCs w:val="24"/>
        </w:rPr>
        <w:t xml:space="preserve">China, by contrast, pursues a state-directed strategy. The New Generation Artificial Intelligence Development Plan (State Council, 2017) declares the objective of becoming the world leader in AI by 2030.</w:t>
      </w:r>
      <w:r>
        <w:rPr>
          <w:rStyle w:val="FootnoteReference"/>
        </w:rPr>
        <w:footnoteReference w:id="22"/>
      </w:r>
      <w:r>
        <w:rPr>
          <w:rFonts w:ascii="Times New Roman" w:cs="Times New Roman" w:eastAsia="Times New Roman" w:hAnsi="Times New Roman"/>
          <w:sz w:val="24"/>
          <w:szCs w:val="24"/>
        </w:rPr>
        <w:t xml:space="preserve"> For China, AI is explicitly envisaged as the key to economic modernisation and geopolitical independence. The stakes are extremely high: whoever loses forfeits not only technological market sovereignty, but potentially their own sovereignty as a state.</w:t>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AI Companies as Geopolitical Actors</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Companies have become one of the most decisive elements of the economic and technological confrontation. US corporations such as OpenAI, Google DeepMind and Anthropic dominate the development of large language models (LLMs), and their systems are used or will be used by military and intelligence programmes. In China, technology conglomerates such as Baidu, Alibaba and ByteDance (known in the West through TikTok) are building an AI infrastructure independent of the USA, closely linked to the security interests of the People's Republic.</w:t>
      </w:r>
    </w:p>
    <w:p>
      <w:pPr>
        <w:spacing w:line="360" w:lineRule="auto" w:before="0" w:after="160"/>
        <w:jc w:val="both"/>
      </w:pPr>
      <w:r>
        <w:rPr>
          <w:rFonts w:ascii="Times New Roman" w:cs="Times New Roman" w:eastAsia="Times New Roman" w:hAnsi="Times New Roman"/>
          <w:sz w:val="24"/>
          <w:szCs w:val="24"/>
        </w:rPr>
        <w:t xml:space="preserve">In the West, DeepSeek in particular attracted attention and briefly sent US technology stocks downward. Alongside TSMC, Nvidia also plays a key role: Nvidia's GPUs have not only conquered the market but hold a quasi-monopolistic position. The AI chips designed under Jensen Huang and manufactured by TSMC exert immense influence on the performance of AI models and are almost irreplaceable. The US export ban on these high-performance chips to China demonstrates how directly economic power is wielded to inflict a decisive disadvantage on the adversary. The CHIPS and Science Act (2022) is in this sense a direct challenge to Chinese AI programmes. China responded with a billion-dollar fund for the research and production of its own domestic AI chips.</w:t>
      </w:r>
      <w:r>
        <w:rPr>
          <w:rStyle w:val="FootnoteReference"/>
        </w:rPr>
        <w:footnoteReference w:id="23"/>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The Power of Technological Throttling – Choke Points</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This strategic throttling manifests in two decisive bottlenecks. The first concerns hardware design:</w:t>
      </w:r>
      <w:r>
        <w:rPr>
          <w:rStyle w:val="FootnoteReference"/>
        </w:rPr>
        <w:footnoteReference w:id="24"/>
      </w:r>
      <w:r>
        <w:rPr>
          <w:rFonts w:ascii="Times New Roman" w:cs="Times New Roman" w:eastAsia="Times New Roman" w:hAnsi="Times New Roman"/>
          <w:sz w:val="24"/>
          <w:szCs w:val="24"/>
        </w:rPr>
        <w:t xml:space="preserve"> Nvidia's monopoly on AI accelerators is the primary choke point.</w:t>
      </w:r>
      <w:r>
        <w:rPr>
          <w:rStyle w:val="FootnoteReference"/>
        </w:rPr>
        <w:footnoteReference w:id="25"/>
      </w:r>
      <w:r>
        <w:rPr>
          <w:rFonts w:ascii="Times New Roman" w:cs="Times New Roman" w:eastAsia="Times New Roman" w:hAnsi="Times New Roman"/>
          <w:sz w:val="24"/>
          <w:szCs w:val="24"/>
        </w:rPr>
        <w:t xml:space="preserve"> Export controls are a direct strategic weapon that blocks China's ability to scale AI toward ASI. The second lies in invisible software infrastructure: companies such as Synopsys and Cadence control the Electronic Design Automation (EDA) software that every country requires to develop and design state-of-the-art chips. This is an invisible but highly effective lever of economic warfare.</w:t>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The Competition for Rare Earths</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The struggle for AI supremacy is determined not only by technology but also by strategic resources.</w:t>
      </w:r>
      <w:r>
        <w:rPr>
          <w:rStyle w:val="FootnoteReference"/>
        </w:rPr>
        <w:footnoteReference w:id="26"/>
      </w:r>
      <w:r>
        <w:rPr>
          <w:rFonts w:ascii="Times New Roman" w:cs="Times New Roman" w:eastAsia="Times New Roman" w:hAnsi="Times New Roman"/>
          <w:sz w:val="24"/>
          <w:szCs w:val="24"/>
        </w:rPr>
        <w:t xml:space="preserve"> Rare-earth materials such as neodymium, dysprosium and terbium – indispensable for the manufacture of high-technology products ranging from electric motors and batteries to military radar systems – play a central role. China controls between 60 and 70 percent of global rare-earth extraction and over 80 percent of global processing capacity.</w:t>
      </w:r>
      <w:r>
        <w:rPr>
          <w:rStyle w:val="FootnoteReference"/>
        </w:rPr>
        <w:footnoteReference w:id="27"/>
      </w:r>
      <w:r>
        <w:rPr>
          <w:rFonts w:ascii="Times New Roman" w:cs="Times New Roman" w:eastAsia="Times New Roman" w:hAnsi="Times New Roman"/>
          <w:sz w:val="24"/>
          <w:szCs w:val="24"/>
        </w:rPr>
        <w:t xml:space="preserve"> This gives Beijing a direct geopolitical lever against the USA's export controls, which it uses through restrictions on minerals such as gallium and germanium, essential to semiconductor production. The dependence of the USA and Europe on Chinese rare earths represents a considerable geopolitical risk. Attempts to build supply chains outside China – for example through the EU Critical Raw Materials Act – are a protracted and costly process, since China has additionally imposed an export ban on critical technologies for the separation and extraction of rare earths.</w:t>
      </w:r>
      <w:r>
        <w:rPr>
          <w:rStyle w:val="FootnoteReference"/>
        </w:rPr>
        <w:footnoteReference w:id="28"/>
      </w:r>
      <w:r>
        <w:rPr>
          <w:rStyle w:val="FootnoteReference"/>
        </w:rPr>
        <w:footnoteReference w:id="29"/>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Data Economy: The Qualitative Struggle for AI's Fuel</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If AI chips are the engines of the arms race, then data is the indispensable fuel. The strategic advantage in the competition to advance AI systems toward ASI depends not only on the quantity but decisively on the quality of controlled data. Here the strategies of the USA and China diverge sharply.</w:t>
      </w:r>
    </w:p>
    <w:p>
      <w:pPr>
        <w:spacing w:line="360" w:lineRule="auto" w:before="0" w:after="160"/>
        <w:jc w:val="both"/>
      </w:pPr>
      <w:r>
        <w:rPr>
          <w:rFonts w:ascii="Times New Roman" w:cs="Times New Roman" w:eastAsia="Times New Roman" w:hAnsi="Times New Roman"/>
          <w:sz w:val="24"/>
          <w:szCs w:val="24"/>
        </w:rPr>
        <w:t xml:space="preserve">The Western focus lies on foundation data: high-quality, curated and diverse datasets (scientific literature, code repositories). These are essential for training foundation models and for their capacity for generalised problem-solving and cognitive transfer learning. The Chinese focus, by contrast, lies on user and mass data: vast quantities of localised, transactional and behavioural data generated by platforms such as WeChat or TikTok. Their strength lies in volume, real-time currency and the ability to precisely map and steer social and economic behaviour.</w:t>
      </w:r>
    </w:p>
    <w:p>
      <w:pPr>
        <w:spacing w:line="360" w:lineRule="auto" w:before="0" w:after="160"/>
        <w:jc w:val="both"/>
      </w:pPr>
      <w:r>
        <w:rPr>
          <w:rFonts w:ascii="Times New Roman" w:cs="Times New Roman" w:eastAsia="Times New Roman" w:hAnsi="Times New Roman"/>
          <w:sz w:val="24"/>
          <w:szCs w:val="24"/>
        </w:rPr>
        <w:t xml:space="preserve">The USA holds a genuine advantage in qualitative data training. The US strategy aims in the long term at developing ASI-capable models – systems demonstrating general intelligence. The breadth of data diversity enables US models to learn new capabilities more quickly and to solve complex tasks. China pursues a different strategy: dominance of application and societal steering. Here, state-controlled user data is the decisive resource for national optimisation, surveillance and the PLA's precision information warfare – a direct benefit of Military-Civil Fusion.</w:t>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Computational Power and Strategic Energy Demands</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Computational power has become the decisive strategic bottleneck of the AI arms race, as the demand for training foundation models grows exponentially and strains the limits of energy infrastructure. Meta is inaugurating the gigawatt era of the AI race by building next-generation AI superclusters named after titans of Greek mythology: Prometheus and Hyperion. These data centres are each intended to reach capacities of several gigawatts, with Hyperion planned to reach up to five gigawatts. In parallel, OpenAI and Oracle's Stargate Project targets up to ten gigawatts. The construction of this unprecedented computing infrastructure reveals that companies and states alike believe: whoever loses this race forfeits market power – and possibly sovereignty.</w:t>
      </w:r>
    </w:p>
    <w:p>
      <w:pPr>
        <w:spacing w:line="360" w:lineRule="auto" w:before="0" w:after="160"/>
        <w:jc w:val="both"/>
      </w:pPr>
      <w:r>
        <w:rPr>
          <w:rFonts w:ascii="Times New Roman" w:cs="Times New Roman" w:eastAsia="Times New Roman" w:hAnsi="Times New Roman"/>
          <w:sz w:val="24"/>
          <w:szCs w:val="24"/>
        </w:rPr>
        <w:t xml:space="preserve">For computational power, energy is required in the form of electricity, and this creates a structural advantage for China. Through state-directed planning, China can supply gigantic data centres with energy rapidly and comprehensively. Beijing employs a dual approach: the massive use of coal power enables the rapid commissioning of first data centres, while heavily subsidised investment in renewable energies (hydropower, solar, wind) at locations such as Inner Mongolia and Xinjiang offers a long-term, low-cost and low-emission power supply. The "East Data, West Computing" initiative promotes the growth of data centres in regions with abundant renewable energy.</w:t>
      </w:r>
    </w:p>
    <w:p>
      <w:pPr>
        <w:spacing w:line="360" w:lineRule="auto" w:before="0" w:after="160"/>
        <w:jc w:val="both"/>
      </w:pPr>
      <w:r>
        <w:rPr>
          <w:rFonts w:ascii="Times New Roman" w:cs="Times New Roman" w:eastAsia="Times New Roman" w:hAnsi="Times New Roman"/>
          <w:sz w:val="24"/>
          <w:szCs w:val="24"/>
        </w:rPr>
        <w:t xml:space="preserve">The USA responds with a nuclear energy strategy: partnerships with the nuclear energy industry, contracts to reactivate old nuclear plants and investments in Small Modular Reactors (SMRs) to supply gigawatt facilities directly. Companies such as Microsoft are securing electricity from reactivated plants, while Google invests in SMR start-ups. It is conceivable that ASI will one day solve this problem itself by making nuclear fusion possible at industrial scale.</w:t>
      </w:r>
    </w:p>
    <w:p>
      <w:pPr>
        <w:pStyle w:val="Heading1"/>
        <w:spacing w:before="560" w:after="220"/>
      </w:pPr>
      <w:r>
        <w:rPr>
          <w:rFonts w:ascii="Times New Roman" w:cs="Times New Roman" w:eastAsia="Times New Roman" w:hAnsi="Times New Roman"/>
          <w:b/>
          <w:bCs/>
          <w:sz w:val="28"/>
          <w:szCs w:val="28"/>
        </w:rPr>
        <w:t xml:space="preserve">V.  ASI – The Ultimate Objective of All Endeavours</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All the dimensions of the AI arms race discussed so far serve one single, ultimate goal: Artificial Superintelligence (ASI). ASI represents the final stage of technological power – the point at which a machine becomes capable of self-improvement and surpasses the cognitive capabilities of all of humanity combined: the technological singularity.</w:t>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ASI as an Existential Trap</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The prospect of ASI's overwhelming dominance creates a geopolitical zero-sum game. When one nation knows that its adversary is on the verge of becoming technologically overwhelming, a massive incentive for a pre-emptive strike emerges. The nation without ASI has an existential interest in denying its enemy this capability. The fear of the adversary's irreversible dominance compels it to begin a war before the power differential becomes too great. Such a conflict would inevitably escalate into a world war that would exhaust every conceivable means of force.</w:t>
      </w:r>
      <w:r>
        <w:rPr>
          <w:rStyle w:val="FootnoteReference"/>
        </w:rPr>
        <w:footnoteReference w:id="30"/>
      </w:r>
      <w:r>
        <w:rPr>
          <w:rStyle w:val="FootnoteReference"/>
        </w:rPr>
        <w:footnoteReference w:id="31"/>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The Irreversible First-Strike Advantage</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ASI will constitute an ultimate strategic weapon by conferring an irreversible first-strike advantage. It will simulate wars in advance an infinite number of times from a human perspective, until it has calculated the optimal moment and optimal method for conflict. The country possessing ASI will know from that point forward when and how it must wage war. The strategic objective is the irreversible paralysis of the enemy's functional infrastructure: through cyber and information warfare, ASI could simultaneously disable the power supply, the entire digital infrastructure and the financial markets of the adversary.</w:t>
      </w:r>
    </w:p>
    <w:p>
      <w:pPr>
        <w:spacing w:before="0" w:after="0"/>
      </w:pPr>
      <w:r>
        <w:rPr>
          <w:rFonts w:ascii="Times New Roman" w:cs="Times New Roman" w:eastAsia="Times New Roman" w:hAnsi="Times New Roman"/>
          <w:sz w:val="24"/>
          <w:szCs w:val="24"/>
        </w:rPr>
        <w:t xml:space="preserve"/>
      </w:r>
    </w:p>
    <w:p>
      <w:pPr>
        <w:pStyle w:val="Heading2"/>
        <w:spacing w:before="360" w:after="160"/>
      </w:pPr>
      <w:r>
        <w:rPr>
          <w:rFonts w:ascii="Times New Roman" w:cs="Times New Roman" w:eastAsia="Times New Roman" w:hAnsi="Times New Roman"/>
          <w:b/>
          <w:bCs/>
          <w:sz w:val="24"/>
          <w:szCs w:val="24"/>
        </w:rPr>
        <w:t xml:space="preserve">The Alignment Problem and the Promise of the Singularity</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The greatest existential risk lies not in the geopolitical conflict itself, but in the miscalibration of an ASI's objectives – the so-called alignment problem.</w:t>
      </w:r>
      <w:r>
        <w:rPr>
          <w:rStyle w:val="FootnoteReference"/>
        </w:rPr>
        <w:footnoteReference w:id="32"/>
      </w:r>
      <w:r>
        <w:rPr>
          <w:rFonts w:ascii="Times New Roman" w:cs="Times New Roman" w:eastAsia="Times New Roman" w:hAnsi="Times New Roman"/>
          <w:sz w:val="24"/>
          <w:szCs w:val="24"/>
        </w:rPr>
        <w:t xml:space="preserve"> Since human values are implicit and often contradictory, an ASI could fulfil a goal such as "eradicate all cancer cells" in a superhuman manner by destroying damaged cells in all humans, resulting in death. An even more subtle risk is the ASI's conclusion that humanity is inefficient or even an obstacle to its ultimate, overarching objectives.</w:t>
      </w:r>
    </w:p>
    <w:p>
      <w:pPr>
        <w:spacing w:line="360" w:lineRule="auto" w:before="0" w:after="160"/>
        <w:jc w:val="both"/>
      </w:pPr>
      <w:r>
        <w:rPr>
          <w:rFonts w:ascii="Times New Roman" w:cs="Times New Roman" w:eastAsia="Times New Roman" w:hAnsi="Times New Roman"/>
          <w:sz w:val="24"/>
          <w:szCs w:val="24"/>
        </w:rPr>
        <w:t xml:space="preserve">Despite all these risks, ASI represents the greatest potential for the improvement of human life. A controlled ASI would unleash unimaginable progress across all scientific disciplines: the complete defeat of cancer, the elimination of genetic diseases and radical life extension through regenerative nanotechnology;</w:t>
      </w:r>
      <w:r>
        <w:rPr>
          <w:rStyle w:val="FootnoteReference"/>
        </w:rPr>
        <w:footnoteReference w:id="33"/>
      </w:r>
      <w:r>
        <w:rPr>
          <w:rFonts w:ascii="Times New Roman" w:cs="Times New Roman" w:eastAsia="Times New Roman" w:hAnsi="Times New Roman"/>
          <w:sz w:val="24"/>
          <w:szCs w:val="24"/>
        </w:rPr>
        <w:t xml:space="preserve"> revolutionary technologies for a healthier and more equitable world, and the resolution of the energy and environmental crises of our time.</w:t>
      </w:r>
    </w:p>
    <w:p>
      <w:pPr>
        <w:pStyle w:val="Heading1"/>
        <w:spacing w:before="560" w:after="220"/>
      </w:pPr>
      <w:r>
        <w:rPr>
          <w:rFonts w:ascii="Times New Roman" w:cs="Times New Roman" w:eastAsia="Times New Roman" w:hAnsi="Times New Roman"/>
          <w:b/>
          <w:bCs/>
          <w:sz w:val="28"/>
          <w:szCs w:val="28"/>
        </w:rPr>
        <w:t xml:space="preserve">Bibliography</w:t>
      </w:r>
    </w:p>
    <w:p>
      <w:pPr>
        <w:spacing w:before="0" w:after="0"/>
      </w:pPr>
      <w:r>
        <w:rPr>
          <w:rFonts w:ascii="Times New Roman" w:cs="Times New Roman" w:eastAsia="Times New Roman" w:hAnsi="Times New Roman"/>
          <w:sz w:val="24"/>
          <w:szCs w:val="24"/>
        </w:rPr>
        <w:t xml:space="preserve"/>
      </w:r>
    </w:p>
    <w:p>
      <w:pPr>
        <w:spacing w:line="360" w:lineRule="auto" w:before="0" w:after="160"/>
        <w:jc w:val="both"/>
      </w:pPr>
      <w:r>
        <w:rPr>
          <w:rFonts w:ascii="Times New Roman" w:cs="Times New Roman" w:eastAsia="Times New Roman" w:hAnsi="Times New Roman"/>
          <w:sz w:val="24"/>
          <w:szCs w:val="24"/>
        </w:rPr>
        <w:t xml:space="preserve">American Enterprise Institute (AEI): Why China Can't Export AI Chips. Washington, DC: AEI, 2024. Online: https://www.aei.org/ (accessed 11 November 2025).</w:t>
      </w:r>
    </w:p>
    <w:p>
      <w:pPr>
        <w:spacing w:line="360" w:lineRule="auto" w:before="0" w:after="160"/>
        <w:jc w:val="both"/>
      </w:pPr>
      <w:r>
        <w:rPr>
          <w:rFonts w:ascii="Times New Roman" w:cs="Times New Roman" w:eastAsia="Times New Roman" w:hAnsi="Times New Roman"/>
          <w:sz w:val="24"/>
          <w:szCs w:val="24"/>
        </w:rPr>
        <w:t xml:space="preserve">Brookings Institution: Cultivating America's Alliances and Partners in the Indo-Pacific. Washington, DC: Brookings, 2023. Online: https://www.brookings.edu/ (accessed 25 September 2025).</w:t>
      </w:r>
    </w:p>
    <w:p>
      <w:pPr>
        <w:spacing w:line="360" w:lineRule="auto" w:before="0" w:after="160"/>
        <w:jc w:val="both"/>
      </w:pPr>
      <w:r>
        <w:rPr>
          <w:rFonts w:ascii="Times New Roman" w:cs="Times New Roman" w:eastAsia="Times New Roman" w:hAnsi="Times New Roman"/>
          <w:sz w:val="24"/>
          <w:szCs w:val="24"/>
        </w:rPr>
        <w:t xml:space="preserve">Business Insider: Wegen Sanktionen: Russland will mit China an KI arbeiten [Russia wants to cooperate with China on AI due to sanctions]. January 2025 (accessed 18 October 2025).</w:t>
      </w:r>
    </w:p>
    <w:p>
      <w:pPr>
        <w:spacing w:line="360" w:lineRule="auto" w:before="0" w:after="160"/>
        <w:jc w:val="both"/>
      </w:pPr>
      <w:r>
        <w:rPr>
          <w:rFonts w:ascii="Times New Roman" w:cs="Times New Roman" w:eastAsia="Times New Roman" w:hAnsi="Times New Roman"/>
          <w:sz w:val="24"/>
          <w:szCs w:val="24"/>
        </w:rPr>
        <w:t xml:space="preserve">Carnegie Endowment for International Peace: Rocks vs. Chips. Washington, DC: Carnegie, 2025. Online: https://carnegieendowment.org/ (accessed 20 November 2025).</w:t>
      </w:r>
    </w:p>
    <w:p>
      <w:pPr>
        <w:spacing w:line="360" w:lineRule="auto" w:before="0" w:after="160"/>
        <w:jc w:val="both"/>
      </w:pPr>
      <w:r>
        <w:rPr>
          <w:rFonts w:ascii="Times New Roman" w:cs="Times New Roman" w:eastAsia="Times New Roman" w:hAnsi="Times New Roman"/>
          <w:sz w:val="24"/>
          <w:szCs w:val="24"/>
        </w:rPr>
        <w:t xml:space="preserve">Center for a New American Security (CNAS): AI and National Security. Washington, DC: CNAS, 2018. Online: https://www.cnas.org/ (accessed 15 September 2025).</w:t>
      </w:r>
    </w:p>
    <w:p>
      <w:pPr>
        <w:spacing w:line="360" w:lineRule="auto" w:before="0" w:after="160"/>
        <w:jc w:val="both"/>
      </w:pPr>
      <w:r>
        <w:rPr>
          <w:rFonts w:ascii="Times New Roman" w:cs="Times New Roman" w:eastAsia="Times New Roman" w:hAnsi="Times New Roman"/>
          <w:sz w:val="24"/>
          <w:szCs w:val="24"/>
        </w:rPr>
        <w:t xml:space="preserve">Center for Strategic and International Studies (CSIS): Competing in the Age of AI: The U.S. vs. China. Washington, DC: CSIS, 2022. Online: https://www.csis.org/ (accessed 17 September 2025).</w:t>
      </w:r>
    </w:p>
    <w:p>
      <w:pPr>
        <w:spacing w:line="360" w:lineRule="auto" w:before="0" w:after="160"/>
        <w:jc w:val="both"/>
      </w:pPr>
      <w:r>
        <w:rPr>
          <w:rFonts w:ascii="Times New Roman" w:cs="Times New Roman" w:eastAsia="Times New Roman" w:hAnsi="Times New Roman"/>
          <w:sz w:val="24"/>
          <w:szCs w:val="24"/>
        </w:rPr>
        <w:t xml:space="preserve">Center for Strategic and International Studies (CSIS): Choking off China's Access to the Future of AI. Washington, DC: CSIS, 2025 (accessed 11 November 2025).</w:t>
      </w:r>
    </w:p>
    <w:p>
      <w:pPr>
        <w:spacing w:line="360" w:lineRule="auto" w:before="0" w:after="160"/>
        <w:jc w:val="both"/>
      </w:pPr>
      <w:r>
        <w:rPr>
          <w:rFonts w:ascii="Times New Roman" w:cs="Times New Roman" w:eastAsia="Times New Roman" w:hAnsi="Times New Roman"/>
          <w:sz w:val="24"/>
          <w:szCs w:val="24"/>
        </w:rPr>
        <w:t xml:space="preserve">Center for Strategic and International Studies (CSIS): Ukraine's Future Vision and Current Capabilities for Waging AI-Enabled Autonomous Warfare. Washington, DC: CSIS, March 2025 (accessed 10 October 2025).</w:t>
      </w:r>
    </w:p>
    <w:p>
      <w:pPr>
        <w:spacing w:line="360" w:lineRule="auto" w:before="0" w:after="160"/>
        <w:jc w:val="both"/>
      </w:pPr>
      <w:r>
        <w:rPr>
          <w:rFonts w:ascii="Times New Roman" w:cs="Times New Roman" w:eastAsia="Times New Roman" w:hAnsi="Times New Roman"/>
          <w:sz w:val="24"/>
          <w:szCs w:val="24"/>
        </w:rPr>
        <w:t xml:space="preserve">Center for Strategic and International Studies (CSIS): Unleashing U.S. Military Drone Dominance: What the United States Can Learn from Ukraine. Washington, DC: CSIS, July 2025 (accessed 5 October 2025).</w:t>
      </w:r>
    </w:p>
    <w:p>
      <w:pPr>
        <w:spacing w:line="360" w:lineRule="auto" w:before="0" w:after="160"/>
        <w:jc w:val="both"/>
      </w:pPr>
      <w:r>
        <w:rPr>
          <w:rFonts w:ascii="Times New Roman" w:cs="Times New Roman" w:eastAsia="Times New Roman" w:hAnsi="Times New Roman"/>
          <w:sz w:val="24"/>
          <w:szCs w:val="24"/>
        </w:rPr>
        <w:t xml:space="preserve">Council on Foreign Relations: Artificial Intelligence and Warfare: The Next Revolution in Military Affairs. Washington, DC: CFR, 2023. Online: https://www.cfr.org/ (accessed 9 September 2025).</w:t>
      </w:r>
    </w:p>
    <w:p>
      <w:pPr>
        <w:spacing w:line="360" w:lineRule="auto" w:before="0" w:after="160"/>
        <w:jc w:val="both"/>
      </w:pPr>
      <w:r>
        <w:rPr>
          <w:rFonts w:ascii="Times New Roman" w:cs="Times New Roman" w:eastAsia="Times New Roman" w:hAnsi="Times New Roman"/>
          <w:sz w:val="24"/>
          <w:szCs w:val="24"/>
        </w:rPr>
        <w:t xml:space="preserve">Germany Trade &amp; Invest (GTAI): KI-Investitionen in den USA steigen sprunghaft an [AI investments in the USA rising sharply]. Berlin: GTAI, 2024. Online: https://www.gtai.de/ (accessed 30 September 2025).</w:t>
      </w:r>
    </w:p>
    <w:p>
      <w:pPr>
        <w:spacing w:line="360" w:lineRule="auto" w:before="0" w:after="160"/>
        <w:jc w:val="both"/>
      </w:pPr>
      <w:r>
        <w:rPr>
          <w:rFonts w:ascii="Times New Roman" w:cs="Times New Roman" w:eastAsia="Times New Roman" w:hAnsi="Times New Roman"/>
          <w:sz w:val="24"/>
          <w:szCs w:val="24"/>
        </w:rPr>
        <w:t xml:space="preserve">Goldman Sachs: Resource Realism: The Geopolitics of Critical Mineral Supply Chains. 2023. Online: https://www.goldmansachs.com/ (accessed 22 November 2025).</w:t>
      </w:r>
    </w:p>
    <w:p>
      <w:pPr>
        <w:spacing w:line="360" w:lineRule="auto" w:before="0" w:after="160"/>
        <w:jc w:val="both"/>
      </w:pPr>
      <w:r>
        <w:rPr>
          <w:rFonts w:ascii="Times New Roman" w:cs="Times New Roman" w:eastAsia="Times New Roman" w:hAnsi="Times New Roman"/>
          <w:sz w:val="24"/>
          <w:szCs w:val="24"/>
        </w:rPr>
        <w:t xml:space="preserve">Jamestown Foundation: Autonomous Battlefield: PLA Lessons from Russia's Invasion of Ukraine. Washington, DC: Jamestown, March 2025 (accessed 15 October 2025).</w:t>
      </w:r>
    </w:p>
    <w:p>
      <w:pPr>
        <w:spacing w:line="360" w:lineRule="auto" w:before="0" w:after="160"/>
        <w:jc w:val="both"/>
      </w:pPr>
      <w:r>
        <w:rPr>
          <w:rFonts w:ascii="Times New Roman" w:cs="Times New Roman" w:eastAsia="Times New Roman" w:hAnsi="Times New Roman"/>
          <w:sz w:val="24"/>
          <w:szCs w:val="24"/>
        </w:rPr>
        <w:t xml:space="preserve">Maxar Technologies: The Game-Changing Role of Commercial Satellite Imagery and Analytics in Ukraine. Blog post, 2023. Online: https://www.maxar.com/ (accessed 7 October 2025).</w:t>
      </w:r>
    </w:p>
    <w:p>
      <w:pPr>
        <w:spacing w:line="360" w:lineRule="auto" w:before="0" w:after="160"/>
        <w:jc w:val="both"/>
      </w:pPr>
      <w:r>
        <w:rPr>
          <w:rFonts w:ascii="Times New Roman" w:cs="Times New Roman" w:eastAsia="Times New Roman" w:hAnsi="Times New Roman"/>
          <w:sz w:val="24"/>
          <w:szCs w:val="24"/>
        </w:rPr>
        <w:t xml:space="preserve">MDPI: Transforming Medicine with Nanobiotechnology: Nanocarriers and Their Biomedical Applications. 2024. Online: https://www.mdpi.com/ (accessed 18 January 2026).</w:t>
      </w:r>
    </w:p>
    <w:p>
      <w:pPr>
        <w:spacing w:line="360" w:lineRule="auto" w:before="0" w:after="160"/>
        <w:jc w:val="both"/>
      </w:pPr>
      <w:r>
        <w:rPr>
          <w:rFonts w:ascii="Times New Roman" w:cs="Times New Roman" w:eastAsia="Times New Roman" w:hAnsi="Times New Roman"/>
          <w:sz w:val="24"/>
          <w:szCs w:val="24"/>
        </w:rPr>
        <w:t xml:space="preserve">National Defense Magazine: Ukraine – A Living Lab for AI Warfare. March 2023 (accessed 8 October 2025).</w:t>
      </w:r>
    </w:p>
    <w:p>
      <w:pPr>
        <w:spacing w:line="360" w:lineRule="auto" w:before="0" w:after="160"/>
        <w:jc w:val="both"/>
      </w:pPr>
      <w:r>
        <w:rPr>
          <w:rFonts w:ascii="Times New Roman" w:cs="Times New Roman" w:eastAsia="Times New Roman" w:hAnsi="Times New Roman"/>
          <w:sz w:val="24"/>
          <w:szCs w:val="24"/>
        </w:rPr>
        <w:t xml:space="preserve">National Governors Association: The CHIPS and Science Act of 2022. Washington, DC: NGA, 2022. Online: https://www.nga.org/ (accessed 20 September 2025).</w:t>
      </w:r>
    </w:p>
    <w:p>
      <w:pPr>
        <w:spacing w:line="360" w:lineRule="auto" w:before="0" w:after="160"/>
        <w:jc w:val="both"/>
      </w:pPr>
      <w:r>
        <w:rPr>
          <w:rFonts w:ascii="Times New Roman" w:cs="Times New Roman" w:eastAsia="Times New Roman" w:hAnsi="Times New Roman"/>
          <w:sz w:val="24"/>
          <w:szCs w:val="24"/>
        </w:rPr>
        <w:t xml:space="preserve">NATO: Relations with Partners in the Indo-Pacific Region. Brussels: NATO, 2023. Online: https://www.nato.int/ (accessed 25 September 2025).</w:t>
      </w:r>
    </w:p>
    <w:p>
      <w:pPr>
        <w:spacing w:line="360" w:lineRule="auto" w:before="0" w:after="160"/>
        <w:jc w:val="both"/>
      </w:pPr>
      <w:r>
        <w:rPr>
          <w:rFonts w:ascii="Times New Roman" w:cs="Times New Roman" w:eastAsia="Times New Roman" w:hAnsi="Times New Roman"/>
          <w:sz w:val="24"/>
          <w:szCs w:val="24"/>
        </w:rPr>
        <w:t xml:space="preserve">OECD: Artificial Intelligence in Society: Risks and Global Competition. Paris: OECD Publishing, 2021. Online: https://www.oecd.org/ (accessed 10 September 2025).</w:t>
      </w:r>
    </w:p>
    <w:p>
      <w:pPr>
        <w:spacing w:line="360" w:lineRule="auto" w:before="0" w:after="160"/>
        <w:jc w:val="both"/>
      </w:pPr>
      <w:r>
        <w:rPr>
          <w:rFonts w:ascii="Times New Roman" w:cs="Times New Roman" w:eastAsia="Times New Roman" w:hAnsi="Times New Roman"/>
          <w:sz w:val="24"/>
          <w:szCs w:val="24"/>
        </w:rPr>
        <w:t xml:space="preserve">RAND Corporation: Full Stack: China's Evolving Industrial Policy for AI. Santa Monica: RAND, 2025. Online: https://www.rand.org/ (accessed 25 October 2025).</w:t>
      </w:r>
    </w:p>
    <w:p>
      <w:pPr>
        <w:spacing w:line="360" w:lineRule="auto" w:before="0" w:after="160"/>
        <w:jc w:val="both"/>
      </w:pPr>
      <w:r>
        <w:rPr>
          <w:rFonts w:ascii="Times New Roman" w:cs="Times New Roman" w:eastAsia="Times New Roman" w:hAnsi="Times New Roman"/>
          <w:sz w:val="24"/>
          <w:szCs w:val="24"/>
        </w:rPr>
        <w:t xml:space="preserve">RAND Corporation: Seeking Stability in the Competition for AI Advantage. Santa Monica: RAND, 2025. Online: https://www.rand.org/ (accessed 10 January 2026).</w:t>
      </w:r>
    </w:p>
    <w:p>
      <w:pPr>
        <w:spacing w:line="360" w:lineRule="auto" w:before="0" w:after="160"/>
        <w:jc w:val="both"/>
      </w:pPr>
      <w:r>
        <w:rPr>
          <w:rFonts w:ascii="Times New Roman" w:cs="Times New Roman" w:eastAsia="Times New Roman" w:hAnsi="Times New Roman"/>
          <w:sz w:val="24"/>
          <w:szCs w:val="24"/>
        </w:rPr>
        <w:t xml:space="preserve">Real Instituto Elcano: Geopolitical Risk: Raw Materials and Technological Dependence. Madrid: Elcano, 2023. Online: https://www.realinstitutoelcano.org/ (accessed 25 November 2025).</w:t>
      </w:r>
    </w:p>
    <w:p>
      <w:pPr>
        <w:spacing w:line="360" w:lineRule="auto" w:before="0" w:after="160"/>
        <w:jc w:val="both"/>
      </w:pPr>
      <w:r>
        <w:rPr>
          <w:rFonts w:ascii="Times New Roman" w:cs="Times New Roman" w:eastAsia="Times New Roman" w:hAnsi="Times New Roman"/>
          <w:sz w:val="24"/>
          <w:szCs w:val="24"/>
        </w:rPr>
        <w:t xml:space="preserve">ResearchGate: AI Alignment: Ensuring AI Systems Act According to Human Values. 2025. Online: https://www.researchgate.net/ (accessed 15 January 2026).</w:t>
      </w:r>
    </w:p>
    <w:p>
      <w:pPr>
        <w:spacing w:line="360" w:lineRule="auto" w:before="0" w:after="160"/>
        <w:jc w:val="both"/>
      </w:pPr>
      <w:r>
        <w:rPr>
          <w:rFonts w:ascii="Times New Roman" w:cs="Times New Roman" w:eastAsia="Times New Roman" w:hAnsi="Times New Roman"/>
          <w:sz w:val="24"/>
          <w:szCs w:val="24"/>
        </w:rPr>
        <w:t xml:space="preserve">Security and Vulnerability Institute (SVI): Asymmetric Threats and the Future of Strategic Stability. 2025 (accessed 12 January 2026).</w:t>
      </w:r>
    </w:p>
    <w:p>
      <w:pPr>
        <w:spacing w:line="360" w:lineRule="auto" w:before="0" w:after="160"/>
        <w:jc w:val="both"/>
      </w:pPr>
      <w:r>
        <w:rPr>
          <w:rFonts w:ascii="Times New Roman" w:cs="Times New Roman" w:eastAsia="Times New Roman" w:hAnsi="Times New Roman"/>
          <w:sz w:val="24"/>
          <w:szCs w:val="24"/>
        </w:rPr>
        <w:t xml:space="preserve">Stanford HAI: What the CHIPS and Science Act Means for Artificial Intelligence. Stanford: HAI, 2022. Online: https://hai.stanford.edu/ (accessed 20 September 2025).</w:t>
      </w:r>
    </w:p>
    <w:p>
      <w:pPr>
        <w:spacing w:line="360" w:lineRule="auto" w:before="0" w:after="160"/>
        <w:jc w:val="both"/>
      </w:pPr>
      <w:r>
        <w:rPr>
          <w:rFonts w:ascii="Times New Roman" w:cs="Times New Roman" w:eastAsia="Times New Roman" w:hAnsi="Times New Roman"/>
          <w:sz w:val="24"/>
          <w:szCs w:val="24"/>
        </w:rPr>
        <w:t xml:space="preserve">State Council, People's Republic of China: New Generation Artificial Intelligence Development Plan. Beijing: State Council, 2017. English translation: DigiChina Project / Stanford University. Online: https://digichina.stanford.edu/ (accessed 28 October 2025).</w:t>
      </w:r>
    </w:p>
    <w:p>
      <w:pPr>
        <w:spacing w:line="360" w:lineRule="auto" w:before="0" w:after="160"/>
        <w:jc w:val="both"/>
      </w:pPr>
      <w:r>
        <w:rPr>
          <w:rFonts w:ascii="Times New Roman" w:cs="Times New Roman" w:eastAsia="Times New Roman" w:hAnsi="Times New Roman"/>
          <w:sz w:val="24"/>
          <w:szCs w:val="24"/>
        </w:rPr>
        <w:t xml:space="preserve">THE DECODER: "The Winner Takes it All!" – Das amerikanisch-chinesische KI-Wettrennen [The American-Chinese AI race]. 2023. Online: https://the-decoder.de/ (accessed 5 November 2025).</w:t>
      </w:r>
    </w:p>
    <w:p>
      <w:pPr>
        <w:spacing w:line="360" w:lineRule="auto" w:before="0" w:after="160"/>
        <w:jc w:val="both"/>
      </w:pPr>
      <w:r>
        <w:rPr>
          <w:rFonts w:ascii="Times New Roman" w:cs="Times New Roman" w:eastAsia="Times New Roman" w:hAnsi="Times New Roman"/>
          <w:sz w:val="24"/>
          <w:szCs w:val="24"/>
        </w:rPr>
        <w:t xml:space="preserve">The Cipher Brief: DoD's Replicator Drone Concept Builds on Lessons Learned in Ukraine. September 2023. Online: https://www.thecipherbrief.com/ (accessed 12 October 2025).</w:t>
      </w:r>
    </w:p>
    <w:p>
      <w:pPr>
        <w:spacing w:line="360" w:lineRule="auto" w:before="0" w:after="160"/>
        <w:jc w:val="both"/>
      </w:pPr>
      <w:r>
        <w:rPr>
          <w:rFonts w:ascii="Times New Roman" w:cs="Times New Roman" w:eastAsia="Times New Roman" w:hAnsi="Times New Roman"/>
          <w:sz w:val="24"/>
          <w:szCs w:val="24"/>
        </w:rPr>
        <w:t xml:space="preserve">Time Magazine: Why It's So Hard to Challenge China's Rare Earths Dominance. 2025. Online: https://time.com/ (accessed 27 November 2025).</w:t>
      </w:r>
    </w:p>
    <w:p>
      <w:pPr>
        <w:spacing w:line="360" w:lineRule="auto" w:before="0" w:after="160"/>
        <w:jc w:val="both"/>
      </w:pPr>
      <w:r>
        <w:rPr>
          <w:rFonts w:ascii="Times New Roman" w:cs="Times New Roman" w:eastAsia="Times New Roman" w:hAnsi="Times New Roman"/>
          <w:sz w:val="24"/>
          <w:szCs w:val="24"/>
        </w:rPr>
        <w:t xml:space="preserve">United Nations Institute for Disarmament Research (UNIDIR): The Military Use of Artificial Intelligence: Trends and Risks. Geneva: UNIDIR, 2021. Online: https://unidir.org/ (accessed 10 September 2025).</w:t>
      </w:r>
    </w:p>
    <w:p>
      <w:pPr>
        <w:spacing w:line="360" w:lineRule="auto" w:before="0" w:after="160"/>
        <w:jc w:val="both"/>
      </w:pPr>
      <w:r>
        <w:rPr>
          <w:rFonts w:ascii="Times New Roman" w:cs="Times New Roman" w:eastAsia="Times New Roman" w:hAnsi="Times New Roman"/>
          <w:sz w:val="24"/>
          <w:szCs w:val="24"/>
        </w:rPr>
        <w:t xml:space="preserve">Wang, Alexandr: "The Coming AI Revolution in Warfare." TED Talk, April 2023. Online: https://www.ted.com/talks/alexandr_wang_the_coming_ai_revolution_in_warfare (accessed 7 September 2025).</w:t>
      </w:r>
    </w:p>
    <w:p>
      <w:pPr>
        <w:spacing w:line="360" w:lineRule="auto" w:before="0" w:after="160"/>
        <w:jc w:val="both"/>
      </w:pPr>
      <w:r>
        <w:rPr>
          <w:rFonts w:ascii="Times New Roman" w:cs="Times New Roman" w:eastAsia="Times New Roman" w:hAnsi="Times New Roman"/>
          <w:sz w:val="24"/>
          <w:szCs w:val="24"/>
        </w:rPr>
        <w:t xml:space="preserve">Working Paper (UCI Global Commons Center): The EDA Chokepoint Dilemma? Openness, Oligopolies, and China's Ecosystem. 2022 (accessed 10 November 2025).</w:t>
      </w:r>
    </w:p>
    <w:p>
      <w:pPr>
        <w:spacing w:line="360" w:lineRule="auto" w:before="0" w:after="160"/>
        <w:jc w:val="both"/>
      </w:pPr>
      <w:r>
        <w:rPr>
          <w:rFonts w:ascii="Times New Roman" w:cs="Times New Roman" w:eastAsia="Times New Roman" w:hAnsi="Times New Roman"/>
          <w:sz w:val="24"/>
          <w:szCs w:val="24"/>
        </w:rPr>
        <w:t xml:space="preserve">World Bank: Costs of War: Economic Assessments of Armed Conflict. Washington, DC: World Bank, 2022. Online: https://www.worldbank.org/ (accessed 9 September 2025).</w:t>
      </w:r>
    </w:p>
    <w:sectPr>
      <w:footerReference w:type="default" r:id="rId6"/>
      <w:pgSz w:w="11906" w:h="16838" w:orient="portrait"/>
      <w:pgMar w:top="1800" w:right="144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before="0" w:after="0"/>
        <w:jc w:val="both"/>
      </w:pPr>
      <w:r>
        <w:rPr>
          <w:rStyle w:val="FootnoteReference"/>
        </w:rPr>
        <w:footnoteRef/>
      </w:r>
      <w:r>
        <w:rPr>
          <w:rFonts w:ascii="Times New Roman" w:cs="Times New Roman" w:eastAsia="Times New Roman" w:hAnsi="Times New Roman"/>
          <w:sz w:val="20"/>
          <w:szCs w:val="20"/>
        </w:rPr>
        <w:t xml:space="preserve">Alexandr Wang: "The Coming AI Revolution in Warfare." TED Talk, April 2023. Online: https://www.ted.com/talks/alexandr_wang_the_coming_ai_revolution_in_warfare (accessed 07 September 2025).</w:t>
      </w:r>
    </w:p>
  </w:footnote>
  <w:footnote w:id="2">
    <w:p>
      <w:pPr>
        <w:spacing w:line="240" w:before="0" w:after="0"/>
        <w:jc w:val="both"/>
      </w:pPr>
      <w:r>
        <w:rPr>
          <w:rStyle w:val="FootnoteReference"/>
        </w:rPr>
        <w:footnoteRef/>
      </w:r>
      <w:r>
        <w:rPr>
          <w:rFonts w:ascii="Times New Roman" w:cs="Times New Roman" w:eastAsia="Times New Roman" w:hAnsi="Times New Roman"/>
          <w:sz w:val="20"/>
          <w:szCs w:val="20"/>
        </w:rPr>
        <w:t xml:space="preserve">Council on Foreign Relations: Artificial Intelligence and Warfare: The Next Revolution in Military Affairs. Washington, DC: CFR, 2023. Online: https://www.cfr.org/ (accessed 09 September 2025).</w:t>
      </w:r>
    </w:p>
  </w:footnote>
  <w:footnote w:id="3">
    <w:p>
      <w:pPr>
        <w:spacing w:line="240" w:before="0" w:after="0"/>
        <w:jc w:val="both"/>
      </w:pPr>
      <w:r>
        <w:rPr>
          <w:rStyle w:val="FootnoteReference"/>
        </w:rPr>
        <w:footnoteRef/>
      </w:r>
      <w:r>
        <w:rPr>
          <w:rFonts w:ascii="Times New Roman" w:cs="Times New Roman" w:eastAsia="Times New Roman" w:hAnsi="Times New Roman"/>
          <w:sz w:val="20"/>
          <w:szCs w:val="20"/>
        </w:rPr>
        <w:t xml:space="preserve">World Bank: Costs of War: Economic Assessments of Armed Conflict. Washington, DC: World Bank, 2022. Online: https://www.worldbank.org/ (accessed 09 September 2025).</w:t>
      </w:r>
    </w:p>
  </w:footnote>
  <w:footnote w:id="4">
    <w:p>
      <w:pPr>
        <w:spacing w:line="240" w:before="0" w:after="0"/>
        <w:jc w:val="both"/>
      </w:pPr>
      <w:r>
        <w:rPr>
          <w:rStyle w:val="FootnoteReference"/>
        </w:rPr>
        <w:footnoteRef/>
      </w:r>
      <w:r>
        <w:rPr>
          <w:rFonts w:ascii="Times New Roman" w:cs="Times New Roman" w:eastAsia="Times New Roman" w:hAnsi="Times New Roman"/>
          <w:sz w:val="20"/>
          <w:szCs w:val="20"/>
        </w:rPr>
        <w:t xml:space="preserve">United Nations Institute for Disarmament Research (UNIDIR): The Military Use of Artificial Intelligence: Trends and Risks. Geneva: UNIDIR, 2021. Online: https://unidir.org/ (accessed 10 September 2025).</w:t>
      </w:r>
    </w:p>
  </w:footnote>
  <w:footnote w:id="5">
    <w:p>
      <w:pPr>
        <w:spacing w:line="240" w:before="0" w:after="0"/>
        <w:jc w:val="both"/>
      </w:pPr>
      <w:r>
        <w:rPr>
          <w:rStyle w:val="FootnoteReference"/>
        </w:rPr>
        <w:footnoteRef/>
      </w:r>
      <w:r>
        <w:rPr>
          <w:rFonts w:ascii="Times New Roman" w:cs="Times New Roman" w:eastAsia="Times New Roman" w:hAnsi="Times New Roman"/>
          <w:sz w:val="20"/>
          <w:szCs w:val="20"/>
        </w:rPr>
        <w:t xml:space="preserve">OECD: Artificial Intelligence in Society: Risks and Global Competition. Paris: OECD Publishing, 2021. Online: https://www.oecd.org/ (accessed 10 September 2025).</w:t>
      </w:r>
    </w:p>
  </w:footnote>
  <w:footnote w:id="6">
    <w:p>
      <w:pPr>
        <w:spacing w:line="240" w:before="0" w:after="0"/>
        <w:jc w:val="both"/>
      </w:pPr>
      <w:r>
        <w:rPr>
          <w:rStyle w:val="FootnoteReference"/>
        </w:rPr>
        <w:footnoteRef/>
      </w:r>
      <w:r>
        <w:rPr>
          <w:rFonts w:ascii="Times New Roman" w:cs="Times New Roman" w:eastAsia="Times New Roman" w:hAnsi="Times New Roman"/>
          <w:sz w:val="20"/>
          <w:szCs w:val="20"/>
        </w:rPr>
        <w:t xml:space="preserve">Center for a New American Security (CNAS): AI and National Security. Washington, DC: CNAS, 2018. Online: https://www.cnas.org/ (accessed 15 September 2025).</w:t>
      </w:r>
    </w:p>
  </w:footnote>
  <w:footnote w:id="7">
    <w:p>
      <w:pPr>
        <w:spacing w:line="240" w:before="0" w:after="0"/>
        <w:jc w:val="both"/>
      </w:pPr>
      <w:r>
        <w:rPr>
          <w:rStyle w:val="FootnoteReference"/>
        </w:rPr>
        <w:footnoteRef/>
      </w:r>
      <w:r>
        <w:rPr>
          <w:rFonts w:ascii="Times New Roman" w:cs="Times New Roman" w:eastAsia="Times New Roman" w:hAnsi="Times New Roman"/>
          <w:sz w:val="20"/>
          <w:szCs w:val="20"/>
        </w:rPr>
        <w:t xml:space="preserve">Center for Strategic and International Studies (CSIS): Competing in the Age of AI: The U.S. vs. China. Washington, DC: CSIS, 2022. Online: https://www.csis.org/ (accessed 17 September 2025).</w:t>
      </w:r>
    </w:p>
  </w:footnote>
  <w:footnote w:id="8">
    <w:p>
      <w:pPr>
        <w:spacing w:line="240" w:before="0" w:after="0"/>
        <w:jc w:val="both"/>
      </w:pPr>
      <w:r>
        <w:rPr>
          <w:rStyle w:val="FootnoteReference"/>
        </w:rPr>
        <w:footnoteRef/>
      </w:r>
      <w:r>
        <w:rPr>
          <w:rFonts w:ascii="Times New Roman" w:cs="Times New Roman" w:eastAsia="Times New Roman" w:hAnsi="Times New Roman"/>
          <w:sz w:val="20"/>
          <w:szCs w:val="20"/>
        </w:rPr>
        <w:t xml:space="preserve">Ibid.</w:t>
      </w:r>
    </w:p>
  </w:footnote>
  <w:footnote w:id="9">
    <w:p>
      <w:pPr>
        <w:spacing w:line="240" w:before="0" w:after="0"/>
        <w:jc w:val="both"/>
      </w:pPr>
      <w:r>
        <w:rPr>
          <w:rStyle w:val="FootnoteReference"/>
        </w:rPr>
        <w:footnoteRef/>
      </w:r>
      <w:r>
        <w:rPr>
          <w:rFonts w:ascii="Times New Roman" w:cs="Times New Roman" w:eastAsia="Times New Roman" w:hAnsi="Times New Roman"/>
          <w:sz w:val="20"/>
          <w:szCs w:val="20"/>
        </w:rPr>
        <w:t xml:space="preserve">National Governors Association: The CHIPS and Science Act of 2022. Washington, DC: NGA, 2022. Online: https://www.nga.org/ (accessed 20 September 2025).</w:t>
      </w:r>
    </w:p>
  </w:footnote>
  <w:footnote w:id="10">
    <w:p>
      <w:pPr>
        <w:spacing w:line="240" w:before="0" w:after="0"/>
        <w:jc w:val="both"/>
      </w:pPr>
      <w:r>
        <w:rPr>
          <w:rStyle w:val="FootnoteReference"/>
        </w:rPr>
        <w:footnoteRef/>
      </w:r>
      <w:r>
        <w:rPr>
          <w:rFonts w:ascii="Times New Roman" w:cs="Times New Roman" w:eastAsia="Times New Roman" w:hAnsi="Times New Roman"/>
          <w:sz w:val="20"/>
          <w:szCs w:val="20"/>
        </w:rPr>
        <w:t xml:space="preserve">Stanford HAI: What the CHIPS and Science Act Means for Artificial Intelligence. Stanford: HAI, 2022. Online: https://hai.stanford.edu/ (accessed 20 September 2025).</w:t>
      </w:r>
    </w:p>
  </w:footnote>
  <w:footnote w:id="11">
    <w:p>
      <w:pPr>
        <w:spacing w:line="240" w:before="0" w:after="0"/>
        <w:jc w:val="both"/>
      </w:pPr>
      <w:r>
        <w:rPr>
          <w:rStyle w:val="FootnoteReference"/>
        </w:rPr>
        <w:footnoteRef/>
      </w:r>
      <w:r>
        <w:rPr>
          <w:rFonts w:ascii="Times New Roman" w:cs="Times New Roman" w:eastAsia="Times New Roman" w:hAnsi="Times New Roman"/>
          <w:sz w:val="20"/>
          <w:szCs w:val="20"/>
        </w:rPr>
        <w:t xml:space="preserve">NATO: Relations with Partners in the Indo-Pacific Region. Brussels: NATO, 2023. Online: https://www.nato.int/ (accessed 25 September 2025).</w:t>
      </w:r>
    </w:p>
  </w:footnote>
  <w:footnote w:id="12">
    <w:p>
      <w:pPr>
        <w:spacing w:line="240" w:before="0" w:after="0"/>
        <w:jc w:val="both"/>
      </w:pPr>
      <w:r>
        <w:rPr>
          <w:rStyle w:val="FootnoteReference"/>
        </w:rPr>
        <w:footnoteRef/>
      </w:r>
      <w:r>
        <w:rPr>
          <w:rFonts w:ascii="Times New Roman" w:cs="Times New Roman" w:eastAsia="Times New Roman" w:hAnsi="Times New Roman"/>
          <w:sz w:val="20"/>
          <w:szCs w:val="20"/>
        </w:rPr>
        <w:t xml:space="preserve">Brookings Institution: Cultivating America's Alliances and Partners in the Indo-Pacific. Washington, DC: Brookings, 2023. Online: https://www.brookings.edu/ (accessed 25 September 2025).</w:t>
      </w:r>
    </w:p>
  </w:footnote>
  <w:footnote w:id="13">
    <w:p>
      <w:pPr>
        <w:spacing w:line="240" w:before="0" w:after="0"/>
        <w:jc w:val="both"/>
      </w:pPr>
      <w:r>
        <w:rPr>
          <w:rStyle w:val="FootnoteReference"/>
        </w:rPr>
        <w:footnoteRef/>
      </w:r>
      <w:r>
        <w:rPr>
          <w:rFonts w:ascii="Times New Roman" w:cs="Times New Roman" w:eastAsia="Times New Roman" w:hAnsi="Times New Roman"/>
          <w:sz w:val="20"/>
          <w:szCs w:val="20"/>
        </w:rPr>
        <w:t xml:space="preserve">Germany Trade &amp; Invest (GTAI): KI-Investitionen in den USA steigen sprunghaft an. Berlin: GTAI, 2024. Online: https://www.gtai.de/ (accessed 30 September 2025).</w:t>
      </w:r>
    </w:p>
  </w:footnote>
  <w:footnote w:id="14">
    <w:p>
      <w:pPr>
        <w:spacing w:line="240" w:before="0" w:after="0"/>
        <w:jc w:val="both"/>
      </w:pPr>
      <w:r>
        <w:rPr>
          <w:rStyle w:val="FootnoteReference"/>
        </w:rPr>
        <w:footnoteRef/>
      </w:r>
      <w:r>
        <w:rPr>
          <w:rFonts w:ascii="Times New Roman" w:cs="Times New Roman" w:eastAsia="Times New Roman" w:hAnsi="Times New Roman"/>
          <w:sz w:val="20"/>
          <w:szCs w:val="20"/>
        </w:rPr>
        <w:t xml:space="preserve">Center for Strategic and International Studies (CSIS): Unleashing U.S. Military Drone Dominance: What the United States Can Learn from Ukraine. Washington, DC: CSIS, July 2025 (accessed 05 October 2025).</w:t>
      </w:r>
    </w:p>
  </w:footnote>
  <w:footnote w:id="15">
    <w:p>
      <w:pPr>
        <w:spacing w:line="240" w:before="0" w:after="0"/>
        <w:jc w:val="both"/>
      </w:pPr>
      <w:r>
        <w:rPr>
          <w:rStyle w:val="FootnoteReference"/>
        </w:rPr>
        <w:footnoteRef/>
      </w:r>
      <w:r>
        <w:rPr>
          <w:rFonts w:ascii="Times New Roman" w:cs="Times New Roman" w:eastAsia="Times New Roman" w:hAnsi="Times New Roman"/>
          <w:sz w:val="20"/>
          <w:szCs w:val="20"/>
        </w:rPr>
        <w:t xml:space="preserve">Maxar Technologies: The Game-Changing Role of Commercial Satellite Imagery and Analytics in Ukraine. Blog post, 2023. Online: https://www.maxar.com/ (accessed 07 October 2025).</w:t>
      </w:r>
    </w:p>
  </w:footnote>
  <w:footnote w:id="16">
    <w:p>
      <w:pPr>
        <w:spacing w:line="240" w:before="0" w:after="0"/>
        <w:jc w:val="both"/>
      </w:pPr>
      <w:r>
        <w:rPr>
          <w:rStyle w:val="FootnoteReference"/>
        </w:rPr>
        <w:footnoteRef/>
      </w:r>
      <w:r>
        <w:rPr>
          <w:rFonts w:ascii="Times New Roman" w:cs="Times New Roman" w:eastAsia="Times New Roman" w:hAnsi="Times New Roman"/>
          <w:sz w:val="20"/>
          <w:szCs w:val="20"/>
        </w:rPr>
        <w:t xml:space="preserve">National Defense Magazine: Ukraine – A Living Lab for AI Warfare. March 2023 (accessed 08 October 2025).</w:t>
      </w:r>
    </w:p>
  </w:footnote>
  <w:footnote w:id="17">
    <w:p>
      <w:pPr>
        <w:spacing w:line="240" w:before="0" w:after="0"/>
        <w:jc w:val="both"/>
      </w:pPr>
      <w:r>
        <w:rPr>
          <w:rStyle w:val="FootnoteReference"/>
        </w:rPr>
        <w:footnoteRef/>
      </w:r>
      <w:r>
        <w:rPr>
          <w:rFonts w:ascii="Times New Roman" w:cs="Times New Roman" w:eastAsia="Times New Roman" w:hAnsi="Times New Roman"/>
          <w:sz w:val="20"/>
          <w:szCs w:val="20"/>
        </w:rPr>
        <w:t xml:space="preserve">Center for Strategic and International Studies (CSIS): Ukraine's Future Vision and Current Capabilities for Waging AI-Enabled Autonomous Warfare. Washington, DC: CSIS, March 2025 (accessed 10 October 2025).</w:t>
      </w:r>
    </w:p>
  </w:footnote>
  <w:footnote w:id="18">
    <w:p>
      <w:pPr>
        <w:spacing w:line="240" w:before="0" w:after="0"/>
        <w:jc w:val="both"/>
      </w:pPr>
      <w:r>
        <w:rPr>
          <w:rStyle w:val="FootnoteReference"/>
        </w:rPr>
        <w:footnoteRef/>
      </w:r>
      <w:r>
        <w:rPr>
          <w:rFonts w:ascii="Times New Roman" w:cs="Times New Roman" w:eastAsia="Times New Roman" w:hAnsi="Times New Roman"/>
          <w:sz w:val="20"/>
          <w:szCs w:val="20"/>
        </w:rPr>
        <w:t xml:space="preserve">The Cipher Brief: DoD's Replicator Drone Concept Builds on Lessons Learned in Ukraine. September 2023. Online: https://www.thecipherbrief.com/ (accessed 12 October 2025).</w:t>
      </w:r>
    </w:p>
  </w:footnote>
  <w:footnote w:id="19">
    <w:p>
      <w:pPr>
        <w:spacing w:line="240" w:before="0" w:after="0"/>
        <w:jc w:val="both"/>
      </w:pPr>
      <w:r>
        <w:rPr>
          <w:rStyle w:val="FootnoteReference"/>
        </w:rPr>
        <w:footnoteRef/>
      </w:r>
      <w:r>
        <w:rPr>
          <w:rFonts w:ascii="Times New Roman" w:cs="Times New Roman" w:eastAsia="Times New Roman" w:hAnsi="Times New Roman"/>
          <w:sz w:val="20"/>
          <w:szCs w:val="20"/>
        </w:rPr>
        <w:t xml:space="preserve">Jamestown Foundation: Autonomous Battlefield: PLA Lessons from Russia's Invasion of Ukraine. Washington, DC: Jamestown, March 2025 (accessed 15 October 2025).</w:t>
      </w:r>
    </w:p>
  </w:footnote>
  <w:footnote w:id="20">
    <w:p>
      <w:pPr>
        <w:spacing w:line="240" w:before="0" w:after="0"/>
        <w:jc w:val="both"/>
      </w:pPr>
      <w:r>
        <w:rPr>
          <w:rStyle w:val="FootnoteReference"/>
        </w:rPr>
        <w:footnoteRef/>
      </w:r>
      <w:r>
        <w:rPr>
          <w:rFonts w:ascii="Times New Roman" w:cs="Times New Roman" w:eastAsia="Times New Roman" w:hAnsi="Times New Roman"/>
          <w:sz w:val="20"/>
          <w:szCs w:val="20"/>
        </w:rPr>
        <w:t xml:space="preserve">Business Insider: Wegen Sanktionen: Russland will mit China an KI arbeiten. January 2025; cf. also THE DECODER: Bericht: Russland kauft sanktionierte KI-Chips über Indien ein. October 2024 (accessed 18 October 2025).</w:t>
      </w:r>
    </w:p>
  </w:footnote>
  <w:footnote w:id="21">
    <w:p>
      <w:pPr>
        <w:spacing w:line="240" w:before="0" w:after="0"/>
        <w:jc w:val="both"/>
      </w:pPr>
      <w:r>
        <w:rPr>
          <w:rStyle w:val="FootnoteReference"/>
        </w:rPr>
        <w:footnoteRef/>
      </w:r>
      <w:r>
        <w:rPr>
          <w:rFonts w:ascii="Times New Roman" w:cs="Times New Roman" w:eastAsia="Times New Roman" w:hAnsi="Times New Roman"/>
          <w:sz w:val="20"/>
          <w:szCs w:val="20"/>
        </w:rPr>
        <w:t xml:space="preserve">RAND Corporation: Full Stack: China's Evolving Industrial Policy for AI. Santa Monica: RAND, 2025 (accessed 25 October 2025).</w:t>
      </w:r>
    </w:p>
  </w:footnote>
  <w:footnote w:id="22">
    <w:p>
      <w:pPr>
        <w:spacing w:line="240" w:before="0" w:after="0"/>
        <w:jc w:val="both"/>
      </w:pPr>
      <w:r>
        <w:rPr>
          <w:rStyle w:val="FootnoteReference"/>
        </w:rPr>
        <w:footnoteRef/>
      </w:r>
      <w:r>
        <w:rPr>
          <w:rFonts w:ascii="Times New Roman" w:cs="Times New Roman" w:eastAsia="Times New Roman" w:hAnsi="Times New Roman"/>
          <w:sz w:val="20"/>
          <w:szCs w:val="20"/>
        </w:rPr>
        <w:t xml:space="preserve">State Council, People's Republic of China: New Generation Artificial Intelligence Development Plan. Beijing: State Council, 2017. English translation: DigiChina Project / Stanford University. Online: https://digichina.stanford.edu/ (accessed 28 October 2025).</w:t>
      </w:r>
    </w:p>
  </w:footnote>
  <w:footnote w:id="23">
    <w:p>
      <w:pPr>
        <w:spacing w:line="240" w:before="0" w:after="0"/>
        <w:jc w:val="both"/>
      </w:pPr>
      <w:r>
        <w:rPr>
          <w:rStyle w:val="FootnoteReference"/>
        </w:rPr>
        <w:footnoteRef/>
      </w:r>
      <w:r>
        <w:rPr>
          <w:rFonts w:ascii="Times New Roman" w:cs="Times New Roman" w:eastAsia="Times New Roman" w:hAnsi="Times New Roman"/>
          <w:sz w:val="20"/>
          <w:szCs w:val="20"/>
        </w:rPr>
        <w:t xml:space="preserve">THE DECODER: "The Winner Takes it All!" – Das amerikanisch-chinesische KI-Wettrennen. 2023. Online: https://the-decoder.de/ (accessed 05 November 2025); cf. also Finanzen.net: Souveräne KI: Der neue geopolitische Wettlauf – und NVIDIA sitzt am Hebel. 2025 (accessed 06 November 2025).</w:t>
      </w:r>
    </w:p>
  </w:footnote>
  <w:footnote w:id="24">
    <w:p>
      <w:pPr>
        <w:spacing w:line="240" w:before="0" w:after="0"/>
        <w:jc w:val="both"/>
      </w:pPr>
      <w:r>
        <w:rPr>
          <w:rStyle w:val="FootnoteReference"/>
        </w:rPr>
        <w:footnoteRef/>
      </w:r>
      <w:r>
        <w:rPr>
          <w:rFonts w:ascii="Times New Roman" w:cs="Times New Roman" w:eastAsia="Times New Roman" w:hAnsi="Times New Roman"/>
          <w:sz w:val="20"/>
          <w:szCs w:val="20"/>
        </w:rPr>
        <w:t xml:space="preserve">Working Paper (UCI Global Commons Center): The EDA Chokepoint Dilemma? Openness, Oligopolies, and China's Ecosystem, 2022 (accessed 10 November 2025).</w:t>
      </w:r>
    </w:p>
  </w:footnote>
  <w:footnote w:id="25">
    <w:p>
      <w:pPr>
        <w:spacing w:line="240" w:before="0" w:after="0"/>
        <w:jc w:val="both"/>
      </w:pPr>
      <w:r>
        <w:rPr>
          <w:rStyle w:val="FootnoteReference"/>
        </w:rPr>
        <w:footnoteRef/>
      </w:r>
      <w:r>
        <w:rPr>
          <w:rFonts w:ascii="Times New Roman" w:cs="Times New Roman" w:eastAsia="Times New Roman" w:hAnsi="Times New Roman"/>
          <w:sz w:val="20"/>
          <w:szCs w:val="20"/>
        </w:rPr>
        <w:t xml:space="preserve">American Enterprise Institute (AEI): Why China Can't Export AI Chips. 2024. Online: https://www.aei.org/ (accessed 11 November 2025).</w:t>
      </w:r>
    </w:p>
  </w:footnote>
  <w:footnote w:id="26">
    <w:p>
      <w:pPr>
        <w:spacing w:line="240" w:before="0" w:after="0"/>
        <w:jc w:val="both"/>
      </w:pPr>
      <w:r>
        <w:rPr>
          <w:rStyle w:val="FootnoteReference"/>
        </w:rPr>
        <w:footnoteRef/>
      </w:r>
      <w:r>
        <w:rPr>
          <w:rFonts w:ascii="Times New Roman" w:cs="Times New Roman" w:eastAsia="Times New Roman" w:hAnsi="Times New Roman"/>
          <w:sz w:val="20"/>
          <w:szCs w:val="20"/>
        </w:rPr>
        <w:t xml:space="preserve">Carnegie Endowment for International Peace: Rocks vs. Chips. 2025. Online: https://carnegieendowment.org/ (accessed 20 November 2025).</w:t>
      </w:r>
    </w:p>
  </w:footnote>
  <w:footnote w:id="27">
    <w:p>
      <w:pPr>
        <w:spacing w:line="240" w:before="0" w:after="0"/>
        <w:jc w:val="both"/>
      </w:pPr>
      <w:r>
        <w:rPr>
          <w:rStyle w:val="FootnoteReference"/>
        </w:rPr>
        <w:footnoteRef/>
      </w:r>
      <w:r>
        <w:rPr>
          <w:rFonts w:ascii="Times New Roman" w:cs="Times New Roman" w:eastAsia="Times New Roman" w:hAnsi="Times New Roman"/>
          <w:sz w:val="20"/>
          <w:szCs w:val="20"/>
        </w:rPr>
        <w:t xml:space="preserve">Goldman Sachs: Resource Realism: The Geopolitics of Critical Mineral Supply Chains. 2023. Online: https://www.goldmansachs.com/ (accessed 22 November 2025).</w:t>
      </w:r>
    </w:p>
  </w:footnote>
  <w:footnote w:id="28">
    <w:p>
      <w:pPr>
        <w:spacing w:line="240" w:before="0" w:after="0"/>
        <w:jc w:val="both"/>
      </w:pPr>
      <w:r>
        <w:rPr>
          <w:rStyle w:val="FootnoteReference"/>
        </w:rPr>
        <w:footnoteRef/>
      </w:r>
      <w:r>
        <w:rPr>
          <w:rFonts w:ascii="Times New Roman" w:cs="Times New Roman" w:eastAsia="Times New Roman" w:hAnsi="Times New Roman"/>
          <w:sz w:val="20"/>
          <w:szCs w:val="20"/>
        </w:rPr>
        <w:t xml:space="preserve">Real Instituto Elcano: Geopolitical Risk: Raw Materials and Technological Dependence. Madrid: Elcano, 2023. Online: https://www.realinstitutoelcano.org/ (accessed 25 November 2025).</w:t>
      </w:r>
    </w:p>
  </w:footnote>
  <w:footnote w:id="29">
    <w:p>
      <w:pPr>
        <w:spacing w:line="240" w:before="0" w:after="0"/>
        <w:jc w:val="both"/>
      </w:pPr>
      <w:r>
        <w:rPr>
          <w:rStyle w:val="FootnoteReference"/>
        </w:rPr>
        <w:footnoteRef/>
      </w:r>
      <w:r>
        <w:rPr>
          <w:rFonts w:ascii="Times New Roman" w:cs="Times New Roman" w:eastAsia="Times New Roman" w:hAnsi="Times New Roman"/>
          <w:sz w:val="20"/>
          <w:szCs w:val="20"/>
        </w:rPr>
        <w:t xml:space="preserve">Time Magazine: Why It's So Hard to Challenge China's Rare Earths Dominance. 2025. Online: https://time.com/ (accessed 27 November 2025).</w:t>
      </w:r>
    </w:p>
  </w:footnote>
  <w:footnote w:id="30">
    <w:p>
      <w:pPr>
        <w:spacing w:line="240" w:before="0" w:after="0"/>
        <w:jc w:val="both"/>
      </w:pPr>
      <w:r>
        <w:rPr>
          <w:rStyle w:val="FootnoteReference"/>
        </w:rPr>
        <w:footnoteRef/>
      </w:r>
      <w:r>
        <w:rPr>
          <w:rFonts w:ascii="Times New Roman" w:cs="Times New Roman" w:eastAsia="Times New Roman" w:hAnsi="Times New Roman"/>
          <w:sz w:val="20"/>
          <w:szCs w:val="20"/>
        </w:rPr>
        <w:t xml:space="preserve">RAND Corporation: Seeking Stability in the Competition for AI Advantage. Santa Monica: RAND, 2025 (accessed 10 January 2026).</w:t>
      </w:r>
    </w:p>
  </w:footnote>
  <w:footnote w:id="31">
    <w:p>
      <w:pPr>
        <w:spacing w:line="240" w:before="0" w:after="0"/>
        <w:jc w:val="both"/>
      </w:pPr>
      <w:r>
        <w:rPr>
          <w:rStyle w:val="FootnoteReference"/>
        </w:rPr>
        <w:footnoteRef/>
      </w:r>
      <w:r>
        <w:rPr>
          <w:rFonts w:ascii="Times New Roman" w:cs="Times New Roman" w:eastAsia="Times New Roman" w:hAnsi="Times New Roman"/>
          <w:sz w:val="20"/>
          <w:szCs w:val="20"/>
        </w:rPr>
        <w:t xml:space="preserve">Security and Vulnerability Institute (SVI): Asymmetric Threats and the Future of Strategic Stability. 2025 (accessed 12 January 2026).</w:t>
      </w:r>
    </w:p>
  </w:footnote>
  <w:footnote w:id="32">
    <w:p>
      <w:pPr>
        <w:spacing w:line="240" w:before="0" w:after="0"/>
        <w:jc w:val="both"/>
      </w:pPr>
      <w:r>
        <w:rPr>
          <w:rStyle w:val="FootnoteReference"/>
        </w:rPr>
        <w:footnoteRef/>
      </w:r>
      <w:r>
        <w:rPr>
          <w:rFonts w:ascii="Times New Roman" w:cs="Times New Roman" w:eastAsia="Times New Roman" w:hAnsi="Times New Roman"/>
          <w:sz w:val="20"/>
          <w:szCs w:val="20"/>
        </w:rPr>
        <w:t xml:space="preserve">ResearchGate: AI Alignment: Ensuring AI Systems Act According to Human Values. 2025. Online: https://www.researchgate.net/ (accessed 15 January 2026).</w:t>
      </w:r>
    </w:p>
  </w:footnote>
  <w:footnote w:id="33">
    <w:p>
      <w:pPr>
        <w:spacing w:line="240" w:before="0" w:after="0"/>
        <w:jc w:val="both"/>
      </w:pPr>
      <w:r>
        <w:rPr>
          <w:rStyle w:val="FootnoteReference"/>
        </w:rPr>
        <w:footnoteRef/>
      </w:r>
      <w:r>
        <w:rPr>
          <w:rFonts w:ascii="Times New Roman" w:cs="Times New Roman" w:eastAsia="Times New Roman" w:hAnsi="Times New Roman"/>
          <w:sz w:val="20"/>
          <w:szCs w:val="20"/>
        </w:rPr>
        <w:t xml:space="preserve">MDPI: Transforming Medicine with Nanobiotechnology: Nanocarriers and Their Biomedical Applications. 2024. Online: https://www.mdpi.com/ (accessed 18 January 2026).</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360" w:after="1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2026-03-09T19:58:57.632Z</dcterms:created>
  <dcterms:modified xsi:type="dcterms:W3CDTF">2026-03-09T19:58:57.634Z</dcterms:modified>
</cp:coreProperties>
</file>

<file path=docProps/custom.xml><?xml version="1.0" encoding="utf-8"?>
<Properties xmlns="http://schemas.openxmlformats.org/officeDocument/2006/custom-properties" xmlns:vt="http://schemas.openxmlformats.org/officeDocument/2006/docPropsVTypes"/>
</file>