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گزارش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مقاله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Generative Agents: Interactive Simulacra of Human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b w:val="1"/>
          <w:rtl w:val="1"/>
        </w:rPr>
        <w:t xml:space="preserve">مقدمه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Generative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Agents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Interactive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Simulacra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Human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Behavior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Generative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Agents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یادآوری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…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طبیعی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پویاتری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ویدئویی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firstLine="720"/>
        <w:jc w:val="both"/>
        <w:rPr/>
      </w:pPr>
      <w:r w:rsidDel="00000000" w:rsidR="00000000" w:rsidRPr="00000000">
        <w:rPr>
          <w:b w:val="1"/>
          <w:rtl w:val="1"/>
        </w:rPr>
        <w:t xml:space="preserve">شرح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مقاله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دقیقا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برانگیز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رفتارهایی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استراحت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انتشار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اطلاعات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0"/>
        </w:rPr>
        <w:t xml:space="preserve">Information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Diffusion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نامزدی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روابط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سپارند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1"/>
        </w:rPr>
        <w:t xml:space="preserve">هماهنگی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0"/>
        </w:rPr>
        <w:t xml:space="preserve">Coordination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ولنتاین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تزئین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1"/>
        </w:rPr>
        <w:t xml:space="preserve">نویسندگان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LLMs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رفتارهایی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طبیعی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مکانیزم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غیرمرتبط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Stream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بازتاب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reflection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1"/>
        </w:rPr>
        <w:t xml:space="preserve">حافظه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بازیابی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Retrieval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پرامپت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زیرمجموعه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مؤلفه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1"/>
        </w:rPr>
        <w:t xml:space="preserve">تازگی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0"/>
        </w:rPr>
        <w:t xml:space="preserve">Recency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1"/>
        </w:rPr>
        <w:t xml:space="preserve">اهمیت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عاطفی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پرامپت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bidi w:val="1"/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1"/>
        </w:rPr>
        <w:t xml:space="preserve">ارتباط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کسینوسی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1"/>
        </w:rPr>
        <w:t xml:space="preserve">بازتاب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بازتاب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بازتاب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آستانه</w:t>
      </w:r>
      <w:r w:rsidDel="00000000" w:rsidR="00000000" w:rsidRPr="00000000">
        <w:rPr>
          <w:rtl w:val="1"/>
        </w:rPr>
        <w:t xml:space="preserve"> (۱۵۰) </w:t>
      </w:r>
      <w:r w:rsidDel="00000000" w:rsidR="00000000" w:rsidRPr="00000000">
        <w:rPr>
          <w:rtl w:val="1"/>
        </w:rPr>
        <w:t xml:space="preserve">فراتر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تقریبا</w:t>
      </w:r>
      <w:r w:rsidDel="00000000" w:rsidR="00000000" w:rsidRPr="00000000">
        <w:rPr>
          <w:rtl w:val="1"/>
        </w:rPr>
        <w:t xml:space="preserve">ً ۲-۳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۱۰۰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بازتاب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انتزاعی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برنامه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ریزی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واکنش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0"/>
        </w:rPr>
        <w:t xml:space="preserve">Planning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Reacting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بخورند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۱۵ </w:t>
      </w:r>
      <w:r w:rsidDel="00000000" w:rsidR="00000000" w:rsidRPr="00000000">
        <w:rPr>
          <w:rtl w:val="1"/>
        </w:rPr>
        <w:t xml:space="preserve">دقیقه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تاریخچه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مکالمات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ظرفیت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هدفشان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مصاحبه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واکنش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۱۰۰ </w:t>
      </w:r>
      <w:r w:rsidDel="00000000" w:rsidR="00000000" w:rsidRPr="00000000">
        <w:rPr>
          <w:rtl w:val="1"/>
        </w:rPr>
        <w:t xml:space="preserve">ارزیاب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رتبه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تفکر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غیرفعال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، ۲۵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ویدئوی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تماشا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رتبه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آزمون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بازتاب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Reflection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۲۵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ind w:left="0" w:firstLine="720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RNN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اطرافشان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رفتارهایی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GNNs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ind w:firstLine="720"/>
        <w:jc w:val="both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5">
      <w:pPr>
        <w:bidi w:val="1"/>
        <w:spacing w:after="240" w:lineRule="auto"/>
        <w:ind w:firstLine="720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طبیعی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