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TAILSPIN CIVIC SYSTEMS, INC.</w:t>
      </w:r>
    </w:p>
    <w:p>
      <w:pPr>
        <w:spacing w:after="60"/>
        <w:jc w:val="center"/>
      </w:pPr>
      <w:r>
        <w:rPr>
          <w:b/>
          <w:bCs/>
          <w:color w:val="1F3864"/>
          <w:sz w:val="32"/>
          <w:szCs w:val="32"/>
        </w:rPr>
        <w:t xml:space="preserve">System Security Plan (SSP)</w:t>
      </w:r>
    </w:p>
    <w:p>
      <w:pPr>
        <w:spacing w:after="60"/>
        <w:jc w:val="center"/>
      </w:pPr>
      <w:r>
        <w:rPr>
          <w:b/>
          <w:bCs/>
          <w:color w:val="000000"/>
          <w:sz w:val="26"/>
          <w:szCs w:val="26"/>
        </w:rPr>
        <w:t xml:space="preserve">AwardWorks Grants Management Platform</w:t>
      </w:r>
    </w:p>
    <w:p>
      <w:pPr>
        <w:spacing w:after="40"/>
        <w:jc w:val="center"/>
      </w:pPr>
      <w:r>
        <w:rPr>
          <w:i/>
          <w:iCs/>
          <w:color w:val="595959"/>
          <w:sz w:val="20"/>
          <w:szCs w:val="20"/>
        </w:rPr>
        <w:t xml:space="preserve">FedRAMP Moderate Baseline | NIST SP 800-53 Rev. 5 | NIST RMF (SP 800-37 Rev. 2)</w:t>
      </w:r>
    </w:p>
    <w:p>
      <w:pPr>
        <w:spacing w:after="40"/>
        <w:jc w:val="center"/>
      </w:pPr>
      <w:r>
        <w:rPr>
          <w:i/>
          <w:iCs/>
          <w:color w:val="595959"/>
          <w:sz w:val="20"/>
          <w:szCs w:val="20"/>
        </w:rPr>
        <w:t>Version 2.1 | Effective: 2026-03-19 | Prepared by: Chris Morrissey, ISSO</w:t>
      </w:r>
    </w:p>
    <w:p>
      <w:pPr>
        <w:spacing w:after="280"/>
        <w:jc w:val="center"/>
      </w:pPr>
      <w:r>
        <w:rPr>
          <w:i/>
          <w:iCs/>
          <w:color w:val="AAAAAA"/>
          <w:sz w:val="18"/>
          <w:szCs w:val="18"/>
        </w:rPr>
        <w:t>Fictional organization. Created for portfolio demonstration purposes.</w:t>
      </w:r>
    </w:p>
    <w:p>
      <w:pPr>
        <w:pStyle w:val="Heading1"/>
        <w:spacing w:after="160" w:before="320"/>
      </w:pPr>
      <w:r>
        <w:rPr>
          <w:b/>
          <w:bCs/>
          <w:color w:val="1F3864"/>
        </w:rPr>
        <w:t xml:space="preserve">1. System Identification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tcMar>
              <w:top w:type="dxa" w:w="80"/>
              <w:left w:type="dxa" w:w="100"/>
              <w:bottom w:type="dxa" w:w="80"/>
              <w:right w:type="dxa" w:w="100"/>
            </w:tcMar>
          </w:tcPr>
          <w:p>
            <w:r>
              <w:rPr>
                <w:b w:val="false"/>
                <w:bCs w:val="false"/>
                <w:color w:val="000000"/>
                <w:sz w:val="18"/>
                <w:szCs w:val="18"/>
              </w:rPr>
              <w:t xml:space="preserve">System Name</w:t>
            </w:r>
          </w:p>
        </w:tc>
        <w:tc>
          <w:tcPr>
            <w:tcW w:type="dxa" w:w="6350"/>
            <w:tcMar>
              <w:top w:type="dxa" w:w="80"/>
              <w:left w:type="dxa" w:w="100"/>
              <w:bottom w:type="dxa" w:w="80"/>
              <w:right w:type="dxa" w:w="100"/>
            </w:tcMar>
          </w:tcPr>
          <w:p>
            <w:r>
              <w:rPr>
                <w:b w:val="false"/>
                <w:bCs w:val="false"/>
                <w:color w:val="000000"/>
                <w:sz w:val="18"/>
                <w:szCs w:val="18"/>
              </w:rPr>
              <w:t xml:space="preserve">AwardWorks Grants Management Platform</w:t>
            </w:r>
          </w:p>
        </w:tc>
      </w:tr>
      <w:tr>
        <w:tc>
          <w:tcPr>
            <w:tcW w:type="dxa" w:w="3000"/>
            <w:tcMar>
              <w:top w:type="dxa" w:w="80"/>
              <w:left w:type="dxa" w:w="100"/>
              <w:bottom w:type="dxa" w:w="80"/>
              <w:right w:type="dxa" w:w="100"/>
            </w:tcMar>
          </w:tcPr>
          <w:p>
            <w:r>
              <w:rPr>
                <w:b w:val="false"/>
                <w:bCs w:val="false"/>
                <w:color w:val="000000"/>
                <w:sz w:val="18"/>
                <w:szCs w:val="18"/>
              </w:rPr>
              <w:t xml:space="preserve">System Abbreviation</w:t>
            </w:r>
          </w:p>
        </w:tc>
        <w:tc>
          <w:tcPr>
            <w:tcW w:type="dxa" w:w="6350"/>
            <w:tcMar>
              <w:top w:type="dxa" w:w="80"/>
              <w:left w:type="dxa" w:w="100"/>
              <w:bottom w:type="dxa" w:w="80"/>
              <w:right w:type="dxa" w:w="100"/>
            </w:tcMar>
          </w:tcPr>
          <w:p>
            <w:r>
              <w:rPr>
                <w:b w:val="false"/>
                <w:bCs w:val="false"/>
                <w:color w:val="000000"/>
                <w:sz w:val="18"/>
                <w:szCs w:val="18"/>
              </w:rPr>
              <w:t xml:space="preserve">AWARDWORKS</w:t>
            </w:r>
          </w:p>
        </w:tc>
      </w:tr>
      <w:tr>
        <w:tc>
          <w:tcPr>
            <w:tcW w:type="dxa" w:w="3000"/>
            <w:tcMar>
              <w:top w:type="dxa" w:w="80"/>
              <w:left w:type="dxa" w:w="100"/>
              <w:bottom w:type="dxa" w:w="80"/>
              <w:right w:type="dxa" w:w="100"/>
            </w:tcMar>
          </w:tcPr>
          <w:p>
            <w:r>
              <w:rPr>
                <w:b w:val="false"/>
                <w:bCs w:val="false"/>
                <w:color w:val="000000"/>
                <w:sz w:val="18"/>
                <w:szCs w:val="18"/>
              </w:rPr>
              <w:t xml:space="preserve">Cloud Service Provider</w:t>
            </w:r>
          </w:p>
        </w:tc>
        <w:tc>
          <w:tcPr>
            <w:tcW w:type="dxa" w:w="6350"/>
            <w:tcMar>
              <w:top w:type="dxa" w:w="80"/>
              <w:left w:type="dxa" w:w="100"/>
              <w:bottom w:type="dxa" w:w="80"/>
              <w:right w:type="dxa" w:w="100"/>
            </w:tcMar>
          </w:tcPr>
          <w:p>
            <w:r>
              <w:rPr>
                <w:b w:val="false"/>
                <w:bCs w:val="false"/>
                <w:color w:val="000000"/>
                <w:sz w:val="18"/>
                <w:szCs w:val="18"/>
              </w:rPr>
              <w:t xml:space="preserve">Tailspin Civic Systems, Inc.</w:t>
            </w:r>
          </w:p>
        </w:tc>
      </w:tr>
      <w:tr>
        <w:tc>
          <w:tcPr>
            <w:tcW w:type="dxa" w:w="3000"/>
            <w:tcMar>
              <w:top w:type="dxa" w:w="80"/>
              <w:left w:type="dxa" w:w="100"/>
              <w:bottom w:type="dxa" w:w="80"/>
              <w:right w:type="dxa" w:w="100"/>
            </w:tcMar>
          </w:tcPr>
          <w:p>
            <w:r>
              <w:rPr>
                <w:b w:val="false"/>
                <w:bCs w:val="false"/>
                <w:color w:val="000000"/>
                <w:sz w:val="18"/>
                <w:szCs w:val="18"/>
              </w:rPr>
              <w:t xml:space="preserve">Service Model</w:t>
            </w:r>
          </w:p>
        </w:tc>
        <w:tc>
          <w:tcPr>
            <w:tcW w:type="dxa" w:w="6350"/>
            <w:tcMar>
              <w:top w:type="dxa" w:w="80"/>
              <w:left w:type="dxa" w:w="100"/>
              <w:bottom w:type="dxa" w:w="80"/>
              <w:right w:type="dxa" w:w="100"/>
            </w:tcMar>
          </w:tcPr>
          <w:p>
            <w:r>
              <w:rPr>
                <w:b w:val="false"/>
                <w:bCs w:val="false"/>
                <w:color w:val="000000"/>
                <w:sz w:val="18"/>
                <w:szCs w:val="18"/>
              </w:rPr>
              <w:t xml:space="preserve">Software as a Service (SaaS)</w:t>
            </w:r>
          </w:p>
        </w:tc>
      </w:tr>
      <w:tr>
        <w:tc>
          <w:tcPr>
            <w:tcW w:type="dxa" w:w="3000"/>
            <w:tcMar>
              <w:top w:type="dxa" w:w="80"/>
              <w:left w:type="dxa" w:w="100"/>
              <w:bottom w:type="dxa" w:w="80"/>
              <w:right w:type="dxa" w:w="100"/>
            </w:tcMar>
          </w:tcPr>
          <w:p>
            <w:r>
              <w:rPr>
                <w:b w:val="false"/>
                <w:bCs w:val="false"/>
                <w:color w:val="000000"/>
                <w:sz w:val="18"/>
                <w:szCs w:val="18"/>
              </w:rPr>
              <w:t xml:space="preserve">Deployment Model</w:t>
            </w:r>
          </w:p>
        </w:tc>
        <w:tc>
          <w:tcPr>
            <w:tcW w:type="dxa" w:w="6350"/>
            <w:tcMar>
              <w:top w:type="dxa" w:w="80"/>
              <w:left w:type="dxa" w:w="100"/>
              <w:bottom w:type="dxa" w:w="80"/>
              <w:right w:type="dxa" w:w="100"/>
            </w:tcMar>
          </w:tcPr>
          <w:p>
            <w:r>
              <w:rPr>
                <w:b w:val="false"/>
                <w:bCs w:val="false"/>
                <w:color w:val="000000"/>
                <w:sz w:val="18"/>
                <w:szCs w:val="18"/>
              </w:rPr>
              <w:t xml:space="preserve">Public Cloud (multi-tenant, logically isolated per agency)</w:t>
            </w:r>
          </w:p>
        </w:tc>
      </w:tr>
      <w:tr>
        <w:tc>
          <w:tcPr>
            <w:tcW w:type="dxa" w:w="3000"/>
            <w:tcMar>
              <w:top w:type="dxa" w:w="80"/>
              <w:left w:type="dxa" w:w="100"/>
              <w:bottom w:type="dxa" w:w="80"/>
              <w:right w:type="dxa" w:w="100"/>
            </w:tcMar>
          </w:tcPr>
          <w:p>
            <w:r>
              <w:rPr>
                <w:b w:val="false"/>
                <w:bCs w:val="false"/>
                <w:color w:val="000000"/>
                <w:sz w:val="18"/>
                <w:szCs w:val="18"/>
              </w:rPr>
              <w:t xml:space="preserve">Authorization Path</w:t>
            </w:r>
          </w:p>
        </w:tc>
        <w:tc>
          <w:tcPr>
            <w:tcW w:type="dxa" w:w="6350"/>
            <w:tcMar>
              <w:top w:type="dxa" w:w="80"/>
              <w:left w:type="dxa" w:w="100"/>
              <w:bottom w:type="dxa" w:w="80"/>
              <w:right w:type="dxa" w:w="100"/>
            </w:tcMar>
          </w:tcPr>
          <w:p>
            <w:r>
              <w:rPr>
                <w:b w:val="false"/>
                <w:bCs w:val="false"/>
                <w:color w:val="000000"/>
                <w:sz w:val="18"/>
                <w:szCs w:val="18"/>
              </w:rPr>
              <w:t xml:space="preserve">FedRAMP Agency ATO (sponsoring agency: U.S. Department of Community Development — fictional)</w:t>
            </w:r>
          </w:p>
        </w:tc>
      </w:tr>
      <w:tr>
        <w:tc>
          <w:tcPr>
            <w:tcW w:type="dxa" w:w="3000"/>
            <w:tcMar>
              <w:top w:type="dxa" w:w="80"/>
              <w:left w:type="dxa" w:w="100"/>
              <w:bottom w:type="dxa" w:w="80"/>
              <w:right w:type="dxa" w:w="100"/>
            </w:tcMar>
          </w:tcPr>
          <w:p>
            <w:r>
              <w:rPr>
                <w:b w:val="false"/>
                <w:bCs w:val="false"/>
                <w:color w:val="000000"/>
                <w:sz w:val="18"/>
                <w:szCs w:val="18"/>
              </w:rPr>
              <w:t xml:space="preserve">Security Categorization</w:t>
            </w:r>
          </w:p>
        </w:tc>
        <w:tc>
          <w:tcPr>
            <w:tcW w:type="dxa" w:w="6350"/>
            <w:tcMar>
              <w:top w:type="dxa" w:w="80"/>
              <w:left w:type="dxa" w:w="100"/>
              <w:bottom w:type="dxa" w:w="80"/>
              <w:right w:type="dxa" w:w="100"/>
            </w:tcMar>
          </w:tcPr>
          <w:p>
            <w:r>
              <w:rPr>
                <w:b w:val="false"/>
                <w:bCs w:val="false"/>
                <w:color w:val="000000"/>
                <w:sz w:val="18"/>
                <w:szCs w:val="18"/>
              </w:rPr>
              <w:t xml:space="preserve">FIPS 199 Moderate (see Section 3)</w:t>
            </w:r>
          </w:p>
        </w:tc>
      </w:tr>
      <w:tr>
        <w:tc>
          <w:tcPr>
            <w:tcW w:type="dxa" w:w="3000"/>
            <w:tcMar>
              <w:top w:type="dxa" w:w="80"/>
              <w:left w:type="dxa" w:w="100"/>
              <w:bottom w:type="dxa" w:w="80"/>
              <w:right w:type="dxa" w:w="100"/>
            </w:tcMar>
          </w:tcPr>
          <w:p>
            <w:r>
              <w:rPr>
                <w:b w:val="false"/>
                <w:bCs w:val="false"/>
                <w:color w:val="000000"/>
                <w:sz w:val="18"/>
                <w:szCs w:val="18"/>
              </w:rPr>
              <w:t xml:space="preserve">Baseline Applied</w:t>
            </w:r>
          </w:p>
        </w:tc>
        <w:tc>
          <w:tcPr>
            <w:tcW w:type="dxa" w:w="6350"/>
            <w:tcMar>
              <w:top w:type="dxa" w:w="80"/>
              <w:left w:type="dxa" w:w="100"/>
              <w:bottom w:type="dxa" w:w="80"/>
              <w:right w:type="dxa" w:w="100"/>
            </w:tcMar>
          </w:tcPr>
          <w:p>
            <w:r>
              <w:rPr>
                <w:b w:val="false"/>
                <w:bCs w:val="false"/>
                <w:color w:val="000000"/>
                <w:sz w:val="18"/>
                <w:szCs w:val="18"/>
              </w:rPr>
              <w:t xml:space="preserve">FedRAMP Moderate — 323 controls and enhancements</w:t>
            </w:r>
          </w:p>
        </w:tc>
      </w:tr>
      <w:tr>
        <w:tc>
          <w:tcPr>
            <w:tcW w:type="dxa" w:w="3000"/>
            <w:tcMar>
              <w:top w:type="dxa" w:w="80"/>
              <w:left w:type="dxa" w:w="100"/>
              <w:bottom w:type="dxa" w:w="80"/>
              <w:right w:type="dxa" w:w="100"/>
            </w:tcMar>
          </w:tcPr>
          <w:p>
            <w:r>
              <w:rPr>
                <w:b w:val="false"/>
                <w:bCs w:val="false"/>
                <w:color w:val="000000"/>
                <w:sz w:val="18"/>
                <w:szCs w:val="18"/>
              </w:rPr>
              <w:t xml:space="preserve">Underlying IaaS</w:t>
            </w:r>
          </w:p>
        </w:tc>
        <w:tc>
          <w:tcPr>
            <w:tcW w:type="dxa" w:w="6350"/>
            <w:tcMar>
              <w:top w:type="dxa" w:w="80"/>
              <w:left w:type="dxa" w:w="100"/>
              <w:bottom w:type="dxa" w:w="80"/>
              <w:right w:type="dxa" w:w="100"/>
            </w:tcMar>
          </w:tcPr>
          <w:p>
            <w:r>
              <w:rPr>
                <w:b w:val="false"/>
                <w:bCs w:val="false"/>
                <w:color w:val="000000"/>
                <w:sz w:val="18"/>
                <w:szCs w:val="18"/>
              </w:rPr>
              <w:t xml:space="preserve">AWS GovCloud (US) — FedRAMP High P-ATO, inheritance documented in the Control Implementation Summary</w:t>
            </w:r>
          </w:p>
        </w:tc>
      </w:tr>
      <w:tr>
        <w:tc>
          <w:tcPr>
            <w:tcW w:type="dxa" w:w="3000"/>
            <w:tcMar>
              <w:top w:type="dxa" w:w="80"/>
              <w:left w:type="dxa" w:w="100"/>
              <w:bottom w:type="dxa" w:w="80"/>
              <w:right w:type="dxa" w:w="100"/>
            </w:tcMar>
          </w:tcPr>
          <w:p>
            <w:r>
              <w:rPr>
                <w:b w:val="false"/>
                <w:bCs w:val="false"/>
                <w:color w:val="000000"/>
                <w:sz w:val="18"/>
                <w:szCs w:val="18"/>
              </w:rPr>
              <w:t xml:space="preserve">Authorizing Official (AO)</w:t>
            </w:r>
          </w:p>
        </w:tc>
        <w:tc>
          <w:tcPr>
            <w:tcW w:type="dxa" w:w="6350"/>
            <w:tcMar>
              <w:top w:type="dxa" w:w="80"/>
              <w:left w:type="dxa" w:w="100"/>
              <w:bottom w:type="dxa" w:w="80"/>
              <w:right w:type="dxa" w:w="100"/>
            </w:tcMar>
          </w:tcPr>
          <w:p>
            <w:r>
              <w:rPr>
                <w:b w:val="false"/>
                <w:bCs w:val="false"/>
                <w:color w:val="000000"/>
                <w:sz w:val="18"/>
                <w:szCs w:val="18"/>
              </w:rPr>
              <w:t xml:space="preserve">Chief Information Officer, sponsoring agency</w:t>
            </w:r>
          </w:p>
        </w:tc>
      </w:tr>
      <w:tr>
        <w:tc>
          <w:tcPr>
            <w:tcW w:type="dxa" w:w="3000"/>
            <w:tcMar>
              <w:top w:type="dxa" w:w="80"/>
              <w:left w:type="dxa" w:w="100"/>
              <w:bottom w:type="dxa" w:w="80"/>
              <w:right w:type="dxa" w:w="100"/>
            </w:tcMar>
          </w:tcPr>
          <w:p>
            <w:r>
              <w:rPr>
                <w:b w:val="false"/>
                <w:bCs w:val="false"/>
                <w:color w:val="000000"/>
                <w:sz w:val="18"/>
                <w:szCs w:val="18"/>
              </w:rPr>
              <w:t xml:space="preserve">System Owner</w:t>
            </w:r>
          </w:p>
        </w:tc>
        <w:tc>
          <w:tcPr>
            <w:tcW w:type="dxa" w:w="6350"/>
            <w:tcMar>
              <w:top w:type="dxa" w:w="80"/>
              <w:left w:type="dxa" w:w="100"/>
              <w:bottom w:type="dxa" w:w="80"/>
              <w:right w:type="dxa" w:w="100"/>
            </w:tcMar>
          </w:tcPr>
          <w:p>
            <w:r>
              <w:rPr>
                <w:b w:val="false"/>
                <w:bCs w:val="false"/>
                <w:color w:val="000000"/>
                <w:sz w:val="18"/>
                <w:szCs w:val="18"/>
              </w:rPr>
              <w:t xml:space="preserve">VP of Product, Tailspin Civic Systems</w:t>
            </w:r>
          </w:p>
        </w:tc>
      </w:tr>
      <w:tr>
        <w:tc>
          <w:tcPr>
            <w:tcW w:type="dxa" w:w="3000"/>
            <w:tcMar>
              <w:top w:type="dxa" w:w="80"/>
              <w:left w:type="dxa" w:w="100"/>
              <w:bottom w:type="dxa" w:w="80"/>
              <w:right w:type="dxa" w:w="100"/>
            </w:tcMar>
          </w:tcPr>
          <w:p>
            <w:r>
              <w:rPr>
                <w:b w:val="false"/>
                <w:bCs w:val="false"/>
                <w:color w:val="000000"/>
                <w:sz w:val="18"/>
                <w:szCs w:val="18"/>
              </w:rPr>
              <w:t xml:space="preserve">ISSO</w:t>
            </w:r>
          </w:p>
        </w:tc>
        <w:tc>
          <w:tcPr>
            <w:tcW w:type="dxa" w:w="6350"/>
            <w:tcMar>
              <w:top w:type="dxa" w:w="80"/>
              <w:left w:type="dxa" w:w="100"/>
              <w:bottom w:type="dxa" w:w="80"/>
              <w:right w:type="dxa" w:w="100"/>
            </w:tcMar>
          </w:tcPr>
          <w:p>
            <w:r>
              <w:rPr>
                <w:b w:val="false"/>
                <w:bCs w:val="false"/>
                <w:color w:val="000000"/>
                <w:sz w:val="18"/>
                <w:szCs w:val="18"/>
              </w:rPr>
              <w:t xml:space="preserve">Chris Morrissey</w:t>
            </w:r>
          </w:p>
        </w:tc>
      </w:tr>
      <w:tr>
        <w:tc>
          <w:tcPr>
            <w:tcW w:type="dxa" w:w="3000"/>
            <w:tcMar>
              <w:top w:type="dxa" w:w="80"/>
              <w:left w:type="dxa" w:w="100"/>
              <w:bottom w:type="dxa" w:w="80"/>
              <w:right w:type="dxa" w:w="100"/>
            </w:tcMar>
          </w:tcPr>
          <w:p>
            <w:r>
              <w:rPr>
                <w:b w:val="false"/>
                <w:bCs w:val="false"/>
                <w:color w:val="000000"/>
                <w:sz w:val="18"/>
                <w:szCs w:val="18"/>
              </w:rPr>
              <w:t xml:space="preserve">3PAO</w:t>
            </w:r>
          </w:p>
        </w:tc>
        <w:tc>
          <w:tcPr>
            <w:tcW w:type="dxa" w:w="6350"/>
            <w:tcMar>
              <w:top w:type="dxa" w:w="80"/>
              <w:left w:type="dxa" w:w="100"/>
              <w:bottom w:type="dxa" w:w="80"/>
              <w:right w:type="dxa" w:w="100"/>
            </w:tcMar>
          </w:tcPr>
          <w:p>
            <w:r>
              <w:rPr>
                <w:b w:val="false"/>
                <w:bCs w:val="false"/>
                <w:color w:val="000000"/>
                <w:sz w:val="18"/>
                <w:szCs w:val="18"/>
              </w:rPr>
              <w:t xml:space="preserve">Independent Third-Party Assessment Organization (A2LA-accredited)</w:t>
            </w:r>
          </w:p>
        </w:tc>
      </w:tr>
    </w:tbl>
    <w:p>
      <w:pPr>
        <w:pStyle w:val="Heading1"/>
        <w:spacing w:after="160" w:before="320"/>
      </w:pPr>
      <w:r>
        <w:rPr>
          <w:b/>
          <w:bCs/>
          <w:color w:val="1F3864"/>
        </w:rPr>
        <w:t xml:space="preserve">2. System Description and Purpose</w:t>
      </w:r>
    </w:p>
    <w:p>
      <w:pPr>
        <w:spacing w:after="160"/>
      </w:pPr>
      <w:r>
        <w:t xml:space="preserve">AwardWorks is a multi-tenant Software-as-a-Service platform that enables federal, state, and local government agencies to administer the full grants lifecycle — opportunity publication, applicant intake, eligibility review, award issuance, subrecipient monitoring, financial drawdown, and closeout reporting.</w:t>
      </w:r>
    </w:p>
    <w:p>
      <w:pPr>
        <w:spacing w:after="160"/>
      </w:pPr>
      <w:r>
        <w:t xml:space="preserve">The system processes application data submitted by grant applicants (including individuals and organizations), award and financial disbursement records, and subrecipient performance reporting. It does not process classified information. It does process Controlled Unclassified Information (CUI) and personally identifiable information (PII) belonging to individual applicants, including names, contact information, taxpayer identification numbers, and financial account details for disbursement.</w:t>
      </w:r>
    </w:p>
    <w:p>
      <w:pPr>
        <w:pStyle w:val="Heading2"/>
        <w:spacing w:after="120" w:before="240"/>
      </w:pPr>
      <w:r>
        <w:rPr>
          <w:b/>
          <w:bCs/>
          <w:color w:val="1F3864"/>
        </w:rPr>
        <w:t xml:space="preserve">2.1 User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c>
          <w:tcPr>
            <w:tcW w:type="dxa" w:w="2400"/>
            <w:shd w:fill="1F3864" w:val="clear"/>
            <w:tcMar>
              <w:top w:type="dxa" w:w="80"/>
              <w:left w:type="dxa" w:w="100"/>
              <w:bottom w:type="dxa" w:w="80"/>
              <w:right w:type="dxa" w:w="100"/>
            </w:tcMar>
          </w:tcPr>
          <w:p>
            <w:r>
              <w:rPr>
                <w:b/>
                <w:bCs/>
                <w:color w:val="FFFFFF"/>
                <w:sz w:val="18"/>
                <w:szCs w:val="18"/>
              </w:rPr>
              <w:t xml:space="preserve">Role</w:t>
            </w:r>
          </w:p>
        </w:tc>
        <w:tc>
          <w:tcPr>
            <w:tcW w:type="dxa" w:w="3200"/>
            <w:shd w:fill="1F3864" w:val="clear"/>
            <w:tcMar>
              <w:top w:type="dxa" w:w="80"/>
              <w:left w:type="dxa" w:w="100"/>
              <w:bottom w:type="dxa" w:w="80"/>
              <w:right w:type="dxa" w:w="100"/>
            </w:tcMar>
          </w:tcPr>
          <w:p>
            <w:r>
              <w:rPr>
                <w:b/>
                <w:bCs/>
                <w:color w:val="FFFFFF"/>
                <w:sz w:val="18"/>
                <w:szCs w:val="18"/>
              </w:rPr>
              <w:t xml:space="preserve">User Population</w:t>
            </w:r>
          </w:p>
        </w:tc>
        <w:tc>
          <w:tcPr>
            <w:tcW w:type="dxa" w:w="3750"/>
            <w:shd w:fill="1F3864" w:val="clear"/>
            <w:tcMar>
              <w:top w:type="dxa" w:w="80"/>
              <w:left w:type="dxa" w:w="100"/>
              <w:bottom w:type="dxa" w:w="80"/>
              <w:right w:type="dxa" w:w="100"/>
            </w:tcMar>
          </w:tcPr>
          <w:p>
            <w:r>
              <w:rPr>
                <w:b/>
                <w:bCs/>
                <w:color w:val="FFFFFF"/>
                <w:sz w:val="18"/>
                <w:szCs w:val="18"/>
              </w:rPr>
              <w:t xml:space="preserve">Access Description</w:t>
            </w:r>
          </w:p>
        </w:tc>
      </w:tr>
      <w:tr>
        <w:tc>
          <w:tcPr>
            <w:tcW w:type="dxa" w:w="2400"/>
            <w:tcMar>
              <w:top w:type="dxa" w:w="80"/>
              <w:left w:type="dxa" w:w="100"/>
              <w:bottom w:type="dxa" w:w="80"/>
              <w:right w:type="dxa" w:w="100"/>
            </w:tcMar>
          </w:tcPr>
          <w:p>
            <w:r>
              <w:rPr>
                <w:b w:val="false"/>
                <w:bCs w:val="false"/>
                <w:color w:val="000000"/>
                <w:sz w:val="18"/>
                <w:szCs w:val="18"/>
              </w:rPr>
              <w:t xml:space="preserve">Agency Program Officer</w:t>
            </w:r>
          </w:p>
        </w:tc>
        <w:tc>
          <w:tcPr>
            <w:tcW w:type="dxa" w:w="3200"/>
            <w:tcMar>
              <w:top w:type="dxa" w:w="80"/>
              <w:left w:type="dxa" w:w="100"/>
              <w:bottom w:type="dxa" w:w="80"/>
              <w:right w:type="dxa" w:w="100"/>
            </w:tcMar>
          </w:tcPr>
          <w:p>
            <w:r>
              <w:rPr>
                <w:b w:val="false"/>
                <w:bCs w:val="false"/>
                <w:color w:val="000000"/>
                <w:sz w:val="18"/>
                <w:szCs w:val="18"/>
              </w:rPr>
              <w:t xml:space="preserve">Federal/state agency staff</w:t>
            </w:r>
          </w:p>
        </w:tc>
        <w:tc>
          <w:tcPr>
            <w:tcW w:type="dxa" w:w="3750"/>
            <w:tcMar>
              <w:top w:type="dxa" w:w="80"/>
              <w:left w:type="dxa" w:w="100"/>
              <w:bottom w:type="dxa" w:w="80"/>
              <w:right w:type="dxa" w:w="100"/>
            </w:tcMar>
          </w:tcPr>
          <w:p>
            <w:r>
              <w:rPr>
                <w:b w:val="false"/>
                <w:bCs w:val="false"/>
                <w:color w:val="000000"/>
                <w:sz w:val="18"/>
                <w:szCs w:val="18"/>
              </w:rPr>
              <w:t xml:space="preserve">Reviews applications, issues awards, monitors subrecipient performance</w:t>
            </w:r>
          </w:p>
        </w:tc>
      </w:tr>
      <w:tr>
        <w:tc>
          <w:tcPr>
            <w:tcW w:type="dxa" w:w="2400"/>
            <w:tcMar>
              <w:top w:type="dxa" w:w="80"/>
              <w:left w:type="dxa" w:w="100"/>
              <w:bottom w:type="dxa" w:w="80"/>
              <w:right w:type="dxa" w:w="100"/>
            </w:tcMar>
          </w:tcPr>
          <w:p>
            <w:r>
              <w:rPr>
                <w:b w:val="false"/>
                <w:bCs w:val="false"/>
                <w:color w:val="000000"/>
                <w:sz w:val="18"/>
                <w:szCs w:val="18"/>
              </w:rPr>
              <w:t xml:space="preserve">Agency Administrator</w:t>
            </w:r>
          </w:p>
        </w:tc>
        <w:tc>
          <w:tcPr>
            <w:tcW w:type="dxa" w:w="3200"/>
            <w:tcMar>
              <w:top w:type="dxa" w:w="80"/>
              <w:left w:type="dxa" w:w="100"/>
              <w:bottom w:type="dxa" w:w="80"/>
              <w:right w:type="dxa" w:w="100"/>
            </w:tcMar>
          </w:tcPr>
          <w:p>
            <w:r>
              <w:rPr>
                <w:b w:val="false"/>
                <w:bCs w:val="false"/>
                <w:color w:val="000000"/>
                <w:sz w:val="18"/>
                <w:szCs w:val="18"/>
              </w:rPr>
              <w:t xml:space="preserve">Federal/state agency staff</w:t>
            </w:r>
          </w:p>
        </w:tc>
        <w:tc>
          <w:tcPr>
            <w:tcW w:type="dxa" w:w="3750"/>
            <w:tcMar>
              <w:top w:type="dxa" w:w="80"/>
              <w:left w:type="dxa" w:w="100"/>
              <w:bottom w:type="dxa" w:w="80"/>
              <w:right w:type="dxa" w:w="100"/>
            </w:tcMar>
          </w:tcPr>
          <w:p>
            <w:r>
              <w:rPr>
                <w:b w:val="false"/>
                <w:bCs w:val="false"/>
                <w:color w:val="000000"/>
                <w:sz w:val="18"/>
                <w:szCs w:val="18"/>
              </w:rPr>
              <w:t xml:space="preserve">Manages agency-level configuration, user provisioning, and reporting within their tenant</w:t>
            </w:r>
          </w:p>
        </w:tc>
      </w:tr>
      <w:tr>
        <w:tc>
          <w:tcPr>
            <w:tcW w:type="dxa" w:w="2400"/>
            <w:tcMar>
              <w:top w:type="dxa" w:w="80"/>
              <w:left w:type="dxa" w:w="100"/>
              <w:bottom w:type="dxa" w:w="80"/>
              <w:right w:type="dxa" w:w="100"/>
            </w:tcMar>
          </w:tcPr>
          <w:p>
            <w:r>
              <w:rPr>
                <w:b w:val="false"/>
                <w:bCs w:val="false"/>
                <w:color w:val="000000"/>
                <w:sz w:val="18"/>
                <w:szCs w:val="18"/>
              </w:rPr>
              <w:t xml:space="preserve">Applicant / Grantee</w:t>
            </w:r>
          </w:p>
        </w:tc>
        <w:tc>
          <w:tcPr>
            <w:tcW w:type="dxa" w:w="3200"/>
            <w:tcMar>
              <w:top w:type="dxa" w:w="80"/>
              <w:left w:type="dxa" w:w="100"/>
              <w:bottom w:type="dxa" w:w="80"/>
              <w:right w:type="dxa" w:w="100"/>
            </w:tcMar>
          </w:tcPr>
          <w:p>
            <w:r>
              <w:rPr>
                <w:b w:val="false"/>
                <w:bCs w:val="false"/>
                <w:color w:val="000000"/>
                <w:sz w:val="18"/>
                <w:szCs w:val="18"/>
              </w:rPr>
              <w:t xml:space="preserve">External public users</w:t>
            </w:r>
          </w:p>
        </w:tc>
        <w:tc>
          <w:tcPr>
            <w:tcW w:type="dxa" w:w="3750"/>
            <w:tcMar>
              <w:top w:type="dxa" w:w="80"/>
              <w:left w:type="dxa" w:w="100"/>
              <w:bottom w:type="dxa" w:w="80"/>
              <w:right w:type="dxa" w:w="100"/>
            </w:tcMar>
          </w:tcPr>
          <w:p>
            <w:r>
              <w:rPr>
                <w:b w:val="false"/>
                <w:bCs w:val="false"/>
                <w:color w:val="000000"/>
                <w:sz w:val="18"/>
                <w:szCs w:val="18"/>
              </w:rPr>
              <w:t xml:space="preserve">Submits applications, uploads supporting documents, files performance reports</w:t>
            </w:r>
          </w:p>
        </w:tc>
      </w:tr>
      <w:tr>
        <w:tc>
          <w:tcPr>
            <w:tcW w:type="dxa" w:w="2400"/>
            <w:tcMar>
              <w:top w:type="dxa" w:w="80"/>
              <w:left w:type="dxa" w:w="100"/>
              <w:bottom w:type="dxa" w:w="80"/>
              <w:right w:type="dxa" w:w="100"/>
            </w:tcMar>
          </w:tcPr>
          <w:p>
            <w:r>
              <w:rPr>
                <w:b w:val="false"/>
                <w:bCs w:val="false"/>
                <w:color w:val="000000"/>
                <w:sz w:val="18"/>
                <w:szCs w:val="18"/>
              </w:rPr>
              <w:t xml:space="preserve">CSP Support Engineer</w:t>
            </w:r>
          </w:p>
        </w:tc>
        <w:tc>
          <w:tcPr>
            <w:tcW w:type="dxa" w:w="3200"/>
            <w:tcMar>
              <w:top w:type="dxa" w:w="80"/>
              <w:left w:type="dxa" w:w="100"/>
              <w:bottom w:type="dxa" w:w="80"/>
              <w:right w:type="dxa" w:w="100"/>
            </w:tcMar>
          </w:tcPr>
          <w:p>
            <w:r>
              <w:rPr>
                <w:b w:val="false"/>
                <w:bCs w:val="false"/>
                <w:color w:val="000000"/>
                <w:sz w:val="18"/>
                <w:szCs w:val="18"/>
              </w:rPr>
              <w:t xml:space="preserve">Tailspin Civic Systems personnel</w:t>
            </w:r>
          </w:p>
        </w:tc>
        <w:tc>
          <w:tcPr>
            <w:tcW w:type="dxa" w:w="3750"/>
            <w:tcMar>
              <w:top w:type="dxa" w:w="80"/>
              <w:left w:type="dxa" w:w="100"/>
              <w:bottom w:type="dxa" w:w="80"/>
              <w:right w:type="dxa" w:w="100"/>
            </w:tcMar>
          </w:tcPr>
          <w:p>
            <w:r>
              <w:rPr>
                <w:b w:val="false"/>
                <w:bCs w:val="false"/>
                <w:color w:val="000000"/>
                <w:sz w:val="18"/>
                <w:szCs w:val="18"/>
              </w:rPr>
              <w:t xml:space="preserve">Break-fix support; access is time-bound, approved, and session-recorded</w:t>
            </w:r>
          </w:p>
        </w:tc>
      </w:tr>
      <w:tr>
        <w:tc>
          <w:tcPr>
            <w:tcW w:type="dxa" w:w="2400"/>
            <w:tcMar>
              <w:top w:type="dxa" w:w="80"/>
              <w:left w:type="dxa" w:w="100"/>
              <w:bottom w:type="dxa" w:w="80"/>
              <w:right w:type="dxa" w:w="100"/>
            </w:tcMar>
          </w:tcPr>
          <w:p>
            <w:r>
              <w:rPr>
                <w:b w:val="false"/>
                <w:bCs w:val="false"/>
                <w:color w:val="000000"/>
                <w:sz w:val="18"/>
                <w:szCs w:val="18"/>
              </w:rPr>
              <w:t xml:space="preserve">CSP System Administrator</w:t>
            </w:r>
          </w:p>
        </w:tc>
        <w:tc>
          <w:tcPr>
            <w:tcW w:type="dxa" w:w="3200"/>
            <w:tcMar>
              <w:top w:type="dxa" w:w="80"/>
              <w:left w:type="dxa" w:w="100"/>
              <w:bottom w:type="dxa" w:w="80"/>
              <w:right w:type="dxa" w:w="100"/>
            </w:tcMar>
          </w:tcPr>
          <w:p>
            <w:r>
              <w:rPr>
                <w:b w:val="false"/>
                <w:bCs w:val="false"/>
                <w:color w:val="000000"/>
                <w:sz w:val="18"/>
                <w:szCs w:val="18"/>
              </w:rPr>
              <w:t xml:space="preserve">Tailspin Civic Systems personnel</w:t>
            </w:r>
          </w:p>
        </w:tc>
        <w:tc>
          <w:tcPr>
            <w:tcW w:type="dxa" w:w="3750"/>
            <w:tcMar>
              <w:top w:type="dxa" w:w="80"/>
              <w:left w:type="dxa" w:w="100"/>
              <w:bottom w:type="dxa" w:w="80"/>
              <w:right w:type="dxa" w:w="100"/>
            </w:tcMar>
          </w:tcPr>
          <w:p>
            <w:r>
              <w:rPr>
                <w:b w:val="false"/>
                <w:bCs w:val="false"/>
                <w:color w:val="000000"/>
                <w:sz w:val="18"/>
                <w:szCs w:val="18"/>
              </w:rPr>
              <w:t xml:space="preserve">Privileged infrastructure access via bastion with phishing-resistant MFA</w:t>
            </w:r>
          </w:p>
        </w:tc>
      </w:tr>
    </w:tbl>
    <w:p>
      <w:pPr>
        <w:pStyle w:val="Heading1"/>
        <w:spacing w:after="160" w:before="320"/>
      </w:pPr>
      <w:r>
        <w:rPr>
          <w:b/>
          <w:bCs/>
          <w:color w:val="1F3864"/>
        </w:rPr>
        <w:t xml:space="preserve">3. FIPS 199 Security Categorization</w:t>
      </w:r>
    </w:p>
    <w:p>
      <w:pPr>
        <w:spacing w:after="160"/>
      </w:pPr>
      <w:r>
        <w:t xml:space="preserve">The security categorization was determined in accordance with FIPS Publication 199 and NIST SP 800-60 Volume II, based on the information types processed by the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050"/>
        <w:gridCol w:w="2050"/>
        <w:gridCol w:w="2050"/>
      </w:tblGrid>
      <w:tr>
        <w:tc>
          <w:tcPr>
            <w:tcW w:type="dxa" w:w="3200"/>
            <w:shd w:fill="1F3864" w:val="clear"/>
            <w:tcMar>
              <w:top w:type="dxa" w:w="80"/>
              <w:left w:type="dxa" w:w="100"/>
              <w:bottom w:type="dxa" w:w="80"/>
              <w:right w:type="dxa" w:w="100"/>
            </w:tcMar>
          </w:tcPr>
          <w:p>
            <w:r>
              <w:rPr>
                <w:b/>
                <w:bCs/>
                <w:color w:val="FFFFFF"/>
                <w:sz w:val="18"/>
                <w:szCs w:val="18"/>
              </w:rPr>
              <w:t xml:space="preserve">Information Type (SP 800-60)</w:t>
            </w:r>
          </w:p>
        </w:tc>
        <w:tc>
          <w:tcPr>
            <w:tcW w:type="dxa" w:w="2050"/>
            <w:shd w:fill="1F3864" w:val="clear"/>
            <w:tcMar>
              <w:top w:type="dxa" w:w="80"/>
              <w:left w:type="dxa" w:w="100"/>
              <w:bottom w:type="dxa" w:w="80"/>
              <w:right w:type="dxa" w:w="100"/>
            </w:tcMar>
          </w:tcPr>
          <w:p>
            <w:r>
              <w:rPr>
                <w:b/>
                <w:bCs/>
                <w:color w:val="FFFFFF"/>
                <w:sz w:val="18"/>
                <w:szCs w:val="18"/>
              </w:rPr>
              <w:t xml:space="preserve">Confidentiality</w:t>
            </w:r>
          </w:p>
        </w:tc>
        <w:tc>
          <w:tcPr>
            <w:tcW w:type="dxa" w:w="2050"/>
            <w:shd w:fill="1F3864" w:val="clear"/>
            <w:tcMar>
              <w:top w:type="dxa" w:w="80"/>
              <w:left w:type="dxa" w:w="100"/>
              <w:bottom w:type="dxa" w:w="80"/>
              <w:right w:type="dxa" w:w="100"/>
            </w:tcMar>
          </w:tcPr>
          <w:p>
            <w:r>
              <w:rPr>
                <w:b/>
                <w:bCs/>
                <w:color w:val="FFFFFF"/>
                <w:sz w:val="18"/>
                <w:szCs w:val="18"/>
              </w:rPr>
              <w:t xml:space="preserve">Integrity</w:t>
            </w:r>
          </w:p>
        </w:tc>
        <w:tc>
          <w:tcPr>
            <w:tcW w:type="dxa" w:w="2050"/>
            <w:shd w:fill="1F3864" w:val="clear"/>
            <w:tcMar>
              <w:top w:type="dxa" w:w="80"/>
              <w:left w:type="dxa" w:w="100"/>
              <w:bottom w:type="dxa" w:w="80"/>
              <w:right w:type="dxa" w:w="100"/>
            </w:tcMar>
          </w:tcPr>
          <w:p>
            <w:r>
              <w:rPr>
                <w:b/>
                <w:bCs/>
                <w:color w:val="FFFFFF"/>
                <w:sz w:val="18"/>
                <w:szCs w:val="18"/>
              </w:rPr>
              <w:t xml:space="preserve">Availability</w:t>
            </w:r>
          </w:p>
        </w:tc>
      </w:tr>
      <w:tr>
        <w:tc>
          <w:tcPr>
            <w:tcW w:type="dxa" w:w="3200"/>
            <w:tcMar>
              <w:top w:type="dxa" w:w="80"/>
              <w:left w:type="dxa" w:w="100"/>
              <w:bottom w:type="dxa" w:w="80"/>
              <w:right w:type="dxa" w:w="100"/>
            </w:tcMar>
          </w:tcPr>
          <w:p>
            <w:r>
              <w:rPr>
                <w:b w:val="false"/>
                <w:bCs w:val="false"/>
                <w:color w:val="000000"/>
                <w:sz w:val="18"/>
                <w:szCs w:val="18"/>
              </w:rPr>
              <w:t xml:space="preserve">C.2.8.12 — Grants Management</w:t>
            </w:r>
          </w:p>
        </w:tc>
        <w:tc>
          <w:tcPr>
            <w:tcW w:type="dxa" w:w="2050"/>
            <w:tcMar>
              <w:top w:type="dxa" w:w="80"/>
              <w:left w:type="dxa" w:w="100"/>
              <w:bottom w:type="dxa" w:w="80"/>
              <w:right w:type="dxa" w:w="100"/>
            </w:tcMar>
          </w:tcPr>
          <w:p>
            <w:r>
              <w:rPr>
                <w:b w:val="false"/>
                <w:bCs w:val="false"/>
                <w:color w:val="000000"/>
                <w:sz w:val="18"/>
                <w:szCs w:val="18"/>
              </w:rPr>
              <w:t xml:space="preserve">Moderate</w:t>
            </w:r>
          </w:p>
        </w:tc>
        <w:tc>
          <w:tcPr>
            <w:tcW w:type="dxa" w:w="2050"/>
            <w:tcMar>
              <w:top w:type="dxa" w:w="80"/>
              <w:left w:type="dxa" w:w="100"/>
              <w:bottom w:type="dxa" w:w="80"/>
              <w:right w:type="dxa" w:w="100"/>
            </w:tcMar>
          </w:tcPr>
          <w:p>
            <w:r>
              <w:rPr>
                <w:b w:val="false"/>
                <w:bCs w:val="false"/>
                <w:color w:val="000000"/>
                <w:sz w:val="18"/>
                <w:szCs w:val="18"/>
              </w:rPr>
              <w:t xml:space="preserve">Moderate</w:t>
            </w:r>
          </w:p>
        </w:tc>
        <w:tc>
          <w:tcPr>
            <w:tcW w:type="dxa" w:w="2050"/>
            <w:tcMar>
              <w:top w:type="dxa" w:w="80"/>
              <w:left w:type="dxa" w:w="100"/>
              <w:bottom w:type="dxa" w:w="80"/>
              <w:right w:type="dxa" w:w="100"/>
            </w:tcMar>
          </w:tcPr>
          <w:p>
            <w:r>
              <w:rPr>
                <w:b w:val="false"/>
                <w:bCs w:val="false"/>
                <w:color w:val="000000"/>
                <w:sz w:val="18"/>
                <w:szCs w:val="18"/>
              </w:rPr>
              <w:t xml:space="preserve">Moderate</w:t>
            </w:r>
          </w:p>
        </w:tc>
      </w:tr>
      <w:tr>
        <w:tc>
          <w:tcPr>
            <w:tcW w:type="dxa" w:w="3200"/>
            <w:tcMar>
              <w:top w:type="dxa" w:w="80"/>
              <w:left w:type="dxa" w:w="100"/>
              <w:bottom w:type="dxa" w:w="80"/>
              <w:right w:type="dxa" w:w="100"/>
            </w:tcMar>
          </w:tcPr>
          <w:p>
            <w:r>
              <w:rPr>
                <w:b w:val="false"/>
                <w:bCs w:val="false"/>
                <w:color w:val="000000"/>
                <w:sz w:val="18"/>
                <w:szCs w:val="18"/>
              </w:rPr>
              <w:t xml:space="preserve">C.3.5.1 — Financial Disbursement / Payment</w:t>
            </w:r>
          </w:p>
        </w:tc>
        <w:tc>
          <w:tcPr>
            <w:tcW w:type="dxa" w:w="2050"/>
            <w:tcMar>
              <w:top w:type="dxa" w:w="80"/>
              <w:left w:type="dxa" w:w="100"/>
              <w:bottom w:type="dxa" w:w="80"/>
              <w:right w:type="dxa" w:w="100"/>
            </w:tcMar>
          </w:tcPr>
          <w:p>
            <w:r>
              <w:rPr>
                <w:b w:val="false"/>
                <w:bCs w:val="false"/>
                <w:color w:val="000000"/>
                <w:sz w:val="18"/>
                <w:szCs w:val="18"/>
              </w:rPr>
              <w:t xml:space="preserve">Moderate</w:t>
            </w:r>
          </w:p>
        </w:tc>
        <w:tc>
          <w:tcPr>
            <w:tcW w:type="dxa" w:w="2050"/>
            <w:tcMar>
              <w:top w:type="dxa" w:w="80"/>
              <w:left w:type="dxa" w:w="100"/>
              <w:bottom w:type="dxa" w:w="80"/>
              <w:right w:type="dxa" w:w="100"/>
            </w:tcMar>
          </w:tcPr>
          <w:p>
            <w:r>
              <w:rPr>
                <w:b w:val="false"/>
                <w:bCs w:val="false"/>
                <w:color w:val="000000"/>
                <w:sz w:val="18"/>
                <w:szCs w:val="18"/>
              </w:rPr>
              <w:t xml:space="preserve">Moderate</w:t>
            </w:r>
          </w:p>
        </w:tc>
        <w:tc>
          <w:tcPr>
            <w:tcW w:type="dxa" w:w="2050"/>
            <w:tcMar>
              <w:top w:type="dxa" w:w="80"/>
              <w:left w:type="dxa" w:w="100"/>
              <w:bottom w:type="dxa" w:w="80"/>
              <w:right w:type="dxa" w:w="100"/>
            </w:tcMar>
          </w:tcPr>
          <w:p>
            <w:r>
              <w:rPr>
                <w:b w:val="false"/>
                <w:bCs w:val="false"/>
                <w:color w:val="000000"/>
                <w:sz w:val="18"/>
                <w:szCs w:val="18"/>
              </w:rPr>
              <w:t xml:space="preserve">Moderate</w:t>
            </w:r>
          </w:p>
        </w:tc>
      </w:tr>
      <w:tr>
        <w:tc>
          <w:tcPr>
            <w:tcW w:type="dxa" w:w="3200"/>
            <w:tcMar>
              <w:top w:type="dxa" w:w="80"/>
              <w:left w:type="dxa" w:w="100"/>
              <w:bottom w:type="dxa" w:w="80"/>
              <w:right w:type="dxa" w:w="100"/>
            </w:tcMar>
          </w:tcPr>
          <w:p>
            <w:r>
              <w:rPr>
                <w:b w:val="false"/>
                <w:bCs w:val="false"/>
                <w:color w:val="000000"/>
                <w:sz w:val="18"/>
                <w:szCs w:val="18"/>
              </w:rPr>
              <w:t xml:space="preserve">C.2.8.9 — Personal Identity and Authentication</w:t>
            </w:r>
          </w:p>
        </w:tc>
        <w:tc>
          <w:tcPr>
            <w:tcW w:type="dxa" w:w="2050"/>
            <w:tcMar>
              <w:top w:type="dxa" w:w="80"/>
              <w:left w:type="dxa" w:w="100"/>
              <w:bottom w:type="dxa" w:w="80"/>
              <w:right w:type="dxa" w:w="100"/>
            </w:tcMar>
          </w:tcPr>
          <w:p>
            <w:r>
              <w:rPr>
                <w:b w:val="false"/>
                <w:bCs w:val="false"/>
                <w:color w:val="000000"/>
                <w:sz w:val="18"/>
                <w:szCs w:val="18"/>
              </w:rPr>
              <w:t xml:space="preserve">Moderate</w:t>
            </w:r>
          </w:p>
        </w:tc>
        <w:tc>
          <w:tcPr>
            <w:tcW w:type="dxa" w:w="2050"/>
            <w:tcMar>
              <w:top w:type="dxa" w:w="80"/>
              <w:left w:type="dxa" w:w="100"/>
              <w:bottom w:type="dxa" w:w="80"/>
              <w:right w:type="dxa" w:w="100"/>
            </w:tcMar>
          </w:tcPr>
          <w:p>
            <w:r>
              <w:rPr>
                <w:b w:val="false"/>
                <w:bCs w:val="false"/>
                <w:color w:val="000000"/>
                <w:sz w:val="18"/>
                <w:szCs w:val="18"/>
              </w:rPr>
              <w:t xml:space="preserve">Moderate</w:t>
            </w:r>
          </w:p>
        </w:tc>
        <w:tc>
          <w:tcPr>
            <w:tcW w:type="dxa" w:w="2050"/>
            <w:tcMar>
              <w:top w:type="dxa" w:w="80"/>
              <w:left w:type="dxa" w:w="100"/>
              <w:bottom w:type="dxa" w:w="80"/>
              <w:right w:type="dxa" w:w="100"/>
            </w:tcMar>
          </w:tcPr>
          <w:p>
            <w:r>
              <w:rPr>
                <w:b w:val="false"/>
                <w:bCs w:val="false"/>
                <w:color w:val="000000"/>
                <w:sz w:val="18"/>
                <w:szCs w:val="18"/>
              </w:rPr>
              <w:t xml:space="preserve">Low</w:t>
            </w:r>
          </w:p>
        </w:tc>
      </w:tr>
      <w:tr>
        <w:tc>
          <w:tcPr>
            <w:tcW w:type="dxa" w:w="3200"/>
            <w:tcMar>
              <w:top w:type="dxa" w:w="80"/>
              <w:left w:type="dxa" w:w="100"/>
              <w:bottom w:type="dxa" w:w="80"/>
              <w:right w:type="dxa" w:w="100"/>
            </w:tcMar>
          </w:tcPr>
          <w:p>
            <w:r>
              <w:rPr>
                <w:b w:val="false"/>
                <w:bCs w:val="false"/>
                <w:color w:val="000000"/>
                <w:sz w:val="18"/>
                <w:szCs w:val="18"/>
              </w:rPr>
              <w:t xml:space="preserve">C.3.4.1 — Reporting and Information Dissemination</w:t>
            </w:r>
          </w:p>
        </w:tc>
        <w:tc>
          <w:tcPr>
            <w:tcW w:type="dxa" w:w="2050"/>
            <w:tcMar>
              <w:top w:type="dxa" w:w="80"/>
              <w:left w:type="dxa" w:w="100"/>
              <w:bottom w:type="dxa" w:w="80"/>
              <w:right w:type="dxa" w:w="100"/>
            </w:tcMar>
          </w:tcPr>
          <w:p>
            <w:r>
              <w:rPr>
                <w:b w:val="false"/>
                <w:bCs w:val="false"/>
                <w:color w:val="000000"/>
                <w:sz w:val="18"/>
                <w:szCs w:val="18"/>
              </w:rPr>
              <w:t xml:space="preserve">Low</w:t>
            </w:r>
          </w:p>
        </w:tc>
        <w:tc>
          <w:tcPr>
            <w:tcW w:type="dxa" w:w="2050"/>
            <w:tcMar>
              <w:top w:type="dxa" w:w="80"/>
              <w:left w:type="dxa" w:w="100"/>
              <w:bottom w:type="dxa" w:w="80"/>
              <w:right w:type="dxa" w:w="100"/>
            </w:tcMar>
          </w:tcPr>
          <w:p>
            <w:r>
              <w:rPr>
                <w:b w:val="false"/>
                <w:bCs w:val="false"/>
                <w:color w:val="000000"/>
                <w:sz w:val="18"/>
                <w:szCs w:val="18"/>
              </w:rPr>
              <w:t xml:space="preserve">Moderate</w:t>
            </w:r>
          </w:p>
        </w:tc>
        <w:tc>
          <w:tcPr>
            <w:tcW w:type="dxa" w:w="2050"/>
            <w:tcMar>
              <w:top w:type="dxa" w:w="80"/>
              <w:left w:type="dxa" w:w="100"/>
              <w:bottom w:type="dxa" w:w="80"/>
              <w:right w:type="dxa" w:w="100"/>
            </w:tcMar>
          </w:tcPr>
          <w:p>
            <w:r>
              <w:rPr>
                <w:b w:val="false"/>
                <w:bCs w:val="false"/>
                <w:color w:val="000000"/>
                <w:sz w:val="18"/>
                <w:szCs w:val="18"/>
              </w:rPr>
              <w:t xml:space="preserve">Low</w:t>
            </w:r>
          </w:p>
        </w:tc>
      </w:tr>
    </w:tbl>
    <w:p>
      <w:pPr>
        <w:spacing w:after="160"/>
      </w:pPr>
      <w:r>
        <w:t xml:space="preserve">Applying the high water mark across all information types, the overall system security categorization 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tcMar>
              <w:top w:type="dxa" w:w="80"/>
              <w:left w:type="dxa" w:w="100"/>
              <w:bottom w:type="dxa" w:w="80"/>
              <w:right w:type="dxa" w:w="100"/>
            </w:tcMar>
          </w:tcPr>
          <w:p>
            <w:r>
              <w:rPr>
                <w:b w:val="false"/>
                <w:bCs w:val="false"/>
                <w:color w:val="000000"/>
                <w:sz w:val="18"/>
                <w:szCs w:val="18"/>
              </w:rPr>
              <w:t xml:space="preserve">Overall Categorization</w:t>
            </w:r>
          </w:p>
        </w:tc>
        <w:tc>
          <w:tcPr>
            <w:tcW w:type="dxa" w:w="6150"/>
            <w:tcMar>
              <w:top w:type="dxa" w:w="80"/>
              <w:left w:type="dxa" w:w="100"/>
              <w:bottom w:type="dxa" w:w="80"/>
              <w:right w:type="dxa" w:w="100"/>
            </w:tcMar>
          </w:tcPr>
          <w:p>
            <w:r>
              <w:rPr>
                <w:b w:val="false"/>
                <w:bCs w:val="false"/>
                <w:color w:val="000000"/>
                <w:sz w:val="18"/>
                <w:szCs w:val="18"/>
              </w:rPr>
              <w:t xml:space="preserve">MODERATE (Confidentiality: Moderate, Integrity: Moderate, Availability: Moderate)</w:t>
            </w:r>
          </w:p>
        </w:tc>
      </w:tr>
      <w:tr>
        <w:tc>
          <w:tcPr>
            <w:tcW w:type="dxa" w:w="3200"/>
            <w:tcMar>
              <w:top w:type="dxa" w:w="80"/>
              <w:left w:type="dxa" w:w="100"/>
              <w:bottom w:type="dxa" w:w="80"/>
              <w:right w:type="dxa" w:w="100"/>
            </w:tcMar>
          </w:tcPr>
          <w:p>
            <w:r>
              <w:rPr>
                <w:b w:val="false"/>
                <w:bCs w:val="false"/>
                <w:color w:val="000000"/>
                <w:sz w:val="18"/>
                <w:szCs w:val="18"/>
              </w:rPr>
              <w:t xml:space="preserve">Rationale</w:t>
            </w:r>
          </w:p>
        </w:tc>
        <w:tc>
          <w:tcPr>
            <w:tcW w:type="dxa" w:w="6150"/>
            <w:tcMar>
              <w:top w:type="dxa" w:w="80"/>
              <w:left w:type="dxa" w:w="100"/>
              <w:bottom w:type="dxa" w:w="80"/>
              <w:right w:type="dxa" w:w="100"/>
            </w:tcMar>
          </w:tcPr>
          <w:p>
            <w:r>
              <w:rPr>
                <w:b w:val="false"/>
                <w:bCs w:val="false"/>
                <w:color w:val="000000"/>
                <w:sz w:val="18"/>
                <w:szCs w:val="18"/>
              </w:rPr>
              <w:t xml:space="preserve">Unauthorized disclosure of applicant PII and financial account data would cause serious adverse effect on individuals; loss of integrity in award or disbursement records could result in improper payments; extended unavailability would disrupt statutorily deadlined grant cycles.</w:t>
            </w:r>
          </w:p>
        </w:tc>
      </w:tr>
    </w:tbl>
    <w:p>
      <w:pPr>
        <w:pStyle w:val="Heading1"/>
        <w:spacing w:after="160" w:before="320"/>
      </w:pPr>
      <w:r>
        <w:rPr>
          <w:b/>
          <w:bCs/>
          <w:color w:val="1F3864"/>
        </w:rPr>
        <w:t xml:space="preserve">4. Authorization Boundary</w:t>
      </w:r>
    </w:p>
    <w:p>
      <w:pPr>
        <w:spacing w:after="160"/>
      </w:pPr>
      <w:r>
        <w:t xml:space="preserve">The authorization boundary encompasses all components of the AwardWorks platform that store, process, or transmit federal information, deployed within a dedicated AWS GovCloud (US) account managed exclusively by Tailspin Civic Systems.</w:t>
      </w:r>
    </w:p>
    <w:p>
      <w:pPr>
        <w:pStyle w:val="Heading2"/>
        <w:spacing w:after="120" w:before="240"/>
      </w:pPr>
      <w:r>
        <w:rPr>
          <w:b/>
          <w:bCs/>
          <w:color w:val="1F3864"/>
        </w:rPr>
        <w:t xml:space="preserve">4.1 Components Inside the Boundary</w:t>
      </w:r>
    </w:p>
    <w:p>
      <w:pPr>
        <w:pStyle w:val="ListParagraph"/>
        <w:numPr>
          <w:ilvl w:val="0"/>
          <w:numId w:val="2"/>
        </w:numPr>
        <w:spacing w:after="80"/>
      </w:pPr>
      <w:r>
        <w:t xml:space="preserve">Public-facing web application tier (containerized, behind AWS WAF and Application Load Balancer)</w:t>
      </w:r>
    </w:p>
    <w:p>
      <w:pPr>
        <w:pStyle w:val="ListParagraph"/>
        <w:numPr>
          <w:ilvl w:val="0"/>
          <w:numId w:val="2"/>
        </w:numPr>
        <w:spacing w:after="80"/>
      </w:pPr>
      <w:r>
        <w:t xml:space="preserve">Application API tier and asynchronous batch processing services</w:t>
      </w:r>
    </w:p>
    <w:p>
      <w:pPr>
        <w:pStyle w:val="ListParagraph"/>
        <w:numPr>
          <w:ilvl w:val="0"/>
          <w:numId w:val="2"/>
        </w:numPr>
        <w:spacing w:after="80"/>
      </w:pPr>
      <w:r>
        <w:t xml:space="preserve">Primary relational database (encrypted, multi-AZ, point-in-time recovery enabled)</w:t>
      </w:r>
    </w:p>
    <w:p>
      <w:pPr>
        <w:pStyle w:val="ListParagraph"/>
        <w:numPr>
          <w:ilvl w:val="0"/>
          <w:numId w:val="2"/>
        </w:numPr>
        <w:spacing w:after="80"/>
      </w:pPr>
      <w:r>
        <w:t xml:space="preserve">Document storage (S3 with customer-managed KMS encryption and object-level access logging)</w:t>
      </w:r>
    </w:p>
    <w:p>
      <w:pPr>
        <w:pStyle w:val="ListParagraph"/>
        <w:numPr>
          <w:ilvl w:val="0"/>
          <w:numId w:val="2"/>
        </w:numPr>
        <w:spacing w:after="80"/>
      </w:pPr>
      <w:r>
        <w:t xml:space="preserve">Identity provider integration layer supporting agency SSO (SAML/OIDC) and Login.gov for external applicants</w:t>
      </w:r>
    </w:p>
    <w:p>
      <w:pPr>
        <w:pStyle w:val="ListParagraph"/>
        <w:numPr>
          <w:ilvl w:val="0"/>
          <w:numId w:val="2"/>
        </w:numPr>
        <w:spacing w:after="80"/>
      </w:pPr>
      <w:r>
        <w:t xml:space="preserve">Logging, monitoring, and SIEM pipeline (CloudTrail, VPC Flow Logs, host and container telemetry)</w:t>
      </w:r>
    </w:p>
    <w:p>
      <w:pPr>
        <w:pStyle w:val="ListParagraph"/>
        <w:numPr>
          <w:ilvl w:val="0"/>
          <w:numId w:val="2"/>
        </w:numPr>
        <w:spacing w:after="80"/>
      </w:pPr>
      <w:r>
        <w:t xml:space="preserve">Bastion/jump host used for all privileged administrative access, with session recording</w:t>
      </w:r>
    </w:p>
    <w:p>
      <w:pPr>
        <w:pStyle w:val="Heading2"/>
        <w:spacing w:after="120" w:before="240"/>
      </w:pPr>
      <w:r>
        <w:rPr>
          <w:b/>
          <w:bCs/>
          <w:color w:val="1F3864"/>
        </w:rPr>
        <w:t xml:space="preserve">4.2 Components Outside the Boundary</w:t>
      </w:r>
    </w:p>
    <w:p>
      <w:pPr>
        <w:pStyle w:val="ListParagraph"/>
        <w:numPr>
          <w:ilvl w:val="0"/>
          <w:numId w:val="2"/>
        </w:numPr>
        <w:spacing w:after="80"/>
      </w:pPr>
      <w:r>
        <w:t xml:space="preserve">AWS GovCloud underlying infrastructure — physical, environmental, and hypervisor controls are inherited under the AWS FedRAMP High P-ATO</w:t>
      </w:r>
    </w:p>
    <w:p>
      <w:pPr>
        <w:pStyle w:val="ListParagraph"/>
        <w:numPr>
          <w:ilvl w:val="0"/>
          <w:numId w:val="2"/>
        </w:numPr>
        <w:spacing w:after="80"/>
      </w:pPr>
      <w:r>
        <w:t xml:space="preserve">Agency-side identity providers and agency endpoint devices — customer responsibility</w:t>
      </w:r>
    </w:p>
    <w:p>
      <w:pPr>
        <w:pStyle w:val="ListParagraph"/>
        <w:numPr>
          <w:ilvl w:val="0"/>
          <w:numId w:val="2"/>
        </w:numPr>
        <w:spacing w:after="80"/>
      </w:pPr>
      <w:r>
        <w:t xml:space="preserve">Tailspin Civic Systems corporate IT (email, HR systems) — no federal data traverses these systems; corporate controls are documented as Service Provider Corporate origination</w:t>
      </w:r>
    </w:p>
    <w:p>
      <w:pPr>
        <w:pStyle w:val="Heading2"/>
        <w:spacing w:after="120" w:before="240"/>
      </w:pPr>
      <w:r>
        <w:rPr>
          <w:b/>
          <w:bCs/>
          <w:color w:val="1F3864"/>
        </w:rPr>
        <w:t xml:space="preserve">4.3 External Services and Interconnections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50"/>
      </w:tblGrid>
      <w:tr>
        <w:tc>
          <w:tcPr>
            <w:tcW w:type="dxa" w:w="2600"/>
            <w:shd w:fill="1F3864" w:val="clear"/>
            <w:tcMar>
              <w:top w:type="dxa" w:w="80"/>
              <w:left w:type="dxa" w:w="100"/>
              <w:bottom w:type="dxa" w:w="80"/>
              <w:right w:type="dxa" w:w="100"/>
            </w:tcMar>
          </w:tcPr>
          <w:p>
            <w:r>
              <w:rPr>
                <w:b/>
                <w:bCs/>
                <w:color w:val="FFFFFF"/>
                <w:sz w:val="18"/>
                <w:szCs w:val="18"/>
              </w:rPr>
              <w:t xml:space="preserve">External Service</w:t>
            </w:r>
          </w:p>
        </w:tc>
        <w:tc>
          <w:tcPr>
            <w:tcW w:type="dxa" w:w="2600"/>
            <w:shd w:fill="1F3864" w:val="clear"/>
            <w:tcMar>
              <w:top w:type="dxa" w:w="80"/>
              <w:left w:type="dxa" w:w="100"/>
              <w:bottom w:type="dxa" w:w="80"/>
              <w:right w:type="dxa" w:w="100"/>
            </w:tcMar>
          </w:tcPr>
          <w:p>
            <w:r>
              <w:rPr>
                <w:b/>
                <w:bCs/>
                <w:color w:val="FFFFFF"/>
                <w:sz w:val="18"/>
                <w:szCs w:val="18"/>
              </w:rPr>
              <w:t xml:space="preserve">Data Exchanged</w:t>
            </w:r>
          </w:p>
        </w:tc>
        <w:tc>
          <w:tcPr>
            <w:tcW w:type="dxa" w:w="4150"/>
            <w:shd w:fill="1F3864" w:val="clear"/>
            <w:tcMar>
              <w:top w:type="dxa" w:w="80"/>
              <w:left w:type="dxa" w:w="100"/>
              <w:bottom w:type="dxa" w:w="80"/>
              <w:right w:type="dxa" w:w="100"/>
            </w:tcMar>
          </w:tcPr>
          <w:p>
            <w:r>
              <w:rPr>
                <w:b/>
                <w:bCs/>
                <w:color w:val="FFFFFF"/>
                <w:sz w:val="18"/>
                <w:szCs w:val="18"/>
              </w:rPr>
              <w:t xml:space="preserve">Protection Mechanism</w:t>
            </w:r>
          </w:p>
        </w:tc>
      </w:tr>
      <w:tr>
        <w:tc>
          <w:tcPr>
            <w:tcW w:type="dxa" w:w="2600"/>
            <w:tcMar>
              <w:top w:type="dxa" w:w="80"/>
              <w:left w:type="dxa" w:w="100"/>
              <w:bottom w:type="dxa" w:w="80"/>
              <w:right w:type="dxa" w:w="100"/>
            </w:tcMar>
          </w:tcPr>
          <w:p>
            <w:r>
              <w:rPr>
                <w:b w:val="false"/>
                <w:bCs w:val="false"/>
                <w:color w:val="000000"/>
                <w:sz w:val="18"/>
                <w:szCs w:val="18"/>
              </w:rPr>
              <w:t xml:space="preserve">Login.gov</w:t>
            </w:r>
          </w:p>
        </w:tc>
        <w:tc>
          <w:tcPr>
            <w:tcW w:type="dxa" w:w="2600"/>
            <w:tcMar>
              <w:top w:type="dxa" w:w="80"/>
              <w:left w:type="dxa" w:w="100"/>
              <w:bottom w:type="dxa" w:w="80"/>
              <w:right w:type="dxa" w:w="100"/>
            </w:tcMar>
          </w:tcPr>
          <w:p>
            <w:r>
              <w:rPr>
                <w:b w:val="false"/>
                <w:bCs w:val="false"/>
                <w:color w:val="000000"/>
                <w:sz w:val="18"/>
                <w:szCs w:val="18"/>
              </w:rPr>
              <w:t xml:space="preserve">Applicant authentication assertions</w:t>
            </w:r>
          </w:p>
        </w:tc>
        <w:tc>
          <w:tcPr>
            <w:tcW w:type="dxa" w:w="4150"/>
            <w:tcMar>
              <w:top w:type="dxa" w:w="80"/>
              <w:left w:type="dxa" w:w="100"/>
              <w:bottom w:type="dxa" w:w="80"/>
              <w:right w:type="dxa" w:w="100"/>
            </w:tcMar>
          </w:tcPr>
          <w:p>
            <w:r>
              <w:rPr>
                <w:b w:val="false"/>
                <w:bCs w:val="false"/>
                <w:color w:val="000000"/>
                <w:sz w:val="18"/>
                <w:szCs w:val="18"/>
              </w:rPr>
              <w:t xml:space="preserve">SAML 2.0 over TLS 1.2+; no credentials stored by AwardWorks; FedRAMP-authorized service</w:t>
            </w:r>
          </w:p>
        </w:tc>
      </w:tr>
      <w:tr>
        <w:tc>
          <w:tcPr>
            <w:tcW w:type="dxa" w:w="2600"/>
            <w:tcMar>
              <w:top w:type="dxa" w:w="80"/>
              <w:left w:type="dxa" w:w="100"/>
              <w:bottom w:type="dxa" w:w="80"/>
              <w:right w:type="dxa" w:w="100"/>
            </w:tcMar>
          </w:tcPr>
          <w:p>
            <w:r>
              <w:rPr>
                <w:b w:val="false"/>
                <w:bCs w:val="false"/>
                <w:color w:val="000000"/>
                <w:sz w:val="18"/>
                <w:szCs w:val="18"/>
              </w:rPr>
              <w:t xml:space="preserve">U.S. Treasury Payment Interface</w:t>
            </w:r>
          </w:p>
        </w:tc>
        <w:tc>
          <w:tcPr>
            <w:tcW w:type="dxa" w:w="2600"/>
            <w:tcMar>
              <w:top w:type="dxa" w:w="80"/>
              <w:left w:type="dxa" w:w="100"/>
              <w:bottom w:type="dxa" w:w="80"/>
              <w:right w:type="dxa" w:w="100"/>
            </w:tcMar>
          </w:tcPr>
          <w:p>
            <w:r>
              <w:rPr>
                <w:b w:val="false"/>
                <w:bCs w:val="false"/>
                <w:color w:val="000000"/>
                <w:sz w:val="18"/>
                <w:szCs w:val="18"/>
              </w:rPr>
              <w:t xml:space="preserve">Disbursement instruction files</w:t>
            </w:r>
          </w:p>
        </w:tc>
        <w:tc>
          <w:tcPr>
            <w:tcW w:type="dxa" w:w="4150"/>
            <w:tcMar>
              <w:top w:type="dxa" w:w="80"/>
              <w:left w:type="dxa" w:w="100"/>
              <w:bottom w:type="dxa" w:w="80"/>
              <w:right w:type="dxa" w:w="100"/>
            </w:tcMar>
          </w:tcPr>
          <w:p>
            <w:r>
              <w:rPr>
                <w:b w:val="false"/>
                <w:bCs w:val="false"/>
                <w:color w:val="000000"/>
                <w:sz w:val="18"/>
                <w:szCs w:val="18"/>
              </w:rPr>
              <w:t xml:space="preserve">Mutual TLS with certificate pinning; files encrypted at rest prior to transmission; SFTP over dedicated connection</w:t>
            </w:r>
          </w:p>
        </w:tc>
      </w:tr>
      <w:tr>
        <w:tc>
          <w:tcPr>
            <w:tcW w:type="dxa" w:w="2600"/>
            <w:tcMar>
              <w:top w:type="dxa" w:w="80"/>
              <w:left w:type="dxa" w:w="100"/>
              <w:bottom w:type="dxa" w:w="80"/>
              <w:right w:type="dxa" w:w="100"/>
            </w:tcMar>
          </w:tcPr>
          <w:p>
            <w:r>
              <w:rPr>
                <w:b w:val="false"/>
                <w:bCs w:val="false"/>
                <w:color w:val="000000"/>
                <w:sz w:val="18"/>
                <w:szCs w:val="18"/>
              </w:rPr>
              <w:t xml:space="preserve">SAM.gov API</w:t>
            </w:r>
          </w:p>
        </w:tc>
        <w:tc>
          <w:tcPr>
            <w:tcW w:type="dxa" w:w="2600"/>
            <w:tcMar>
              <w:top w:type="dxa" w:w="80"/>
              <w:left w:type="dxa" w:w="100"/>
              <w:bottom w:type="dxa" w:w="80"/>
              <w:right w:type="dxa" w:w="100"/>
            </w:tcMar>
          </w:tcPr>
          <w:p>
            <w:r>
              <w:rPr>
                <w:b w:val="false"/>
                <w:bCs w:val="false"/>
                <w:color w:val="000000"/>
                <w:sz w:val="18"/>
                <w:szCs w:val="18"/>
              </w:rPr>
              <w:t xml:space="preserve">Entity registration and exclusion status validation</w:t>
            </w:r>
          </w:p>
        </w:tc>
        <w:tc>
          <w:tcPr>
            <w:tcW w:type="dxa" w:w="4150"/>
            <w:tcMar>
              <w:top w:type="dxa" w:w="80"/>
              <w:left w:type="dxa" w:w="100"/>
              <w:bottom w:type="dxa" w:w="80"/>
              <w:right w:type="dxa" w:w="100"/>
            </w:tcMar>
          </w:tcPr>
          <w:p>
            <w:r>
              <w:rPr>
                <w:b w:val="false"/>
                <w:bCs w:val="false"/>
                <w:color w:val="000000"/>
                <w:sz w:val="18"/>
                <w:szCs w:val="18"/>
              </w:rPr>
              <w:t xml:space="preserve">TLS 1.2+; read-only; API key stored in AWS Secrets Manager</w:t>
            </w:r>
          </w:p>
        </w:tc>
      </w:tr>
    </w:tbl>
    <w:p>
      <w:pPr>
        <w:pStyle w:val="Heading1"/>
        <w:spacing w:after="160" w:before="320"/>
      </w:pPr>
      <w:r>
        <w:rPr>
          <w:b/>
          <w:bCs/>
          <w:color w:val="1F3864"/>
        </w:rPr>
        <w:t xml:space="preserve">5. Control Implementation Approach</w:t>
      </w:r>
    </w:p>
    <w:p>
      <w:pPr>
        <w:spacing w:after="160"/>
      </w:pPr>
      <w:r>
        <w:t xml:space="preserve">Control implementations are documented in full in the accompanying Security Controls Traceability Matrix (SCTM). Each control is assigned an implementation status and a control origination, which establishes accountability across the shared responsibility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F3864" w:val="clear"/>
            <w:tcMar>
              <w:top w:type="dxa" w:w="80"/>
              <w:left w:type="dxa" w:w="100"/>
              <w:bottom w:type="dxa" w:w="80"/>
              <w:right w:type="dxa" w:w="100"/>
            </w:tcMar>
          </w:tcPr>
          <w:p>
            <w:r>
              <w:rPr>
                <w:b/>
                <w:bCs/>
                <w:color w:val="FFFFFF"/>
                <w:sz w:val="18"/>
                <w:szCs w:val="18"/>
              </w:rPr>
              <w:t xml:space="preserve">Control Origination</w:t>
            </w:r>
          </w:p>
        </w:tc>
        <w:tc>
          <w:tcPr>
            <w:tcW w:type="dxa" w:w="6350"/>
            <w:shd w:fill="1F3864" w:val="clear"/>
            <w:tcMar>
              <w:top w:type="dxa" w:w="80"/>
              <w:left w:type="dxa" w:w="100"/>
              <w:bottom w:type="dxa" w:w="80"/>
              <w:right w:type="dxa" w:w="100"/>
            </w:tcMar>
          </w:tcPr>
          <w:p>
            <w:r>
              <w:rPr>
                <w:b/>
                <w:bCs/>
                <w:color w:val="FFFFFF"/>
                <w:sz w:val="18"/>
                <w:szCs w:val="18"/>
              </w:rPr>
              <w:t xml:space="preserve">Definition</w:t>
            </w:r>
          </w:p>
        </w:tc>
      </w:tr>
      <w:tr>
        <w:tc>
          <w:tcPr>
            <w:tcW w:type="dxa" w:w="3000"/>
            <w:tcMar>
              <w:top w:type="dxa" w:w="80"/>
              <w:left w:type="dxa" w:w="100"/>
              <w:bottom w:type="dxa" w:w="80"/>
              <w:right w:type="dxa" w:w="100"/>
            </w:tcMar>
          </w:tcPr>
          <w:p>
            <w:r>
              <w:rPr>
                <w:b w:val="false"/>
                <w:bCs w:val="false"/>
                <w:color w:val="000000"/>
                <w:sz w:val="18"/>
                <w:szCs w:val="18"/>
              </w:rPr>
              <w:t xml:space="preserve">Service Provider Corporate</w:t>
            </w:r>
          </w:p>
        </w:tc>
        <w:tc>
          <w:tcPr>
            <w:tcW w:type="dxa" w:w="6350"/>
            <w:tcMar>
              <w:top w:type="dxa" w:w="80"/>
              <w:left w:type="dxa" w:w="100"/>
              <w:bottom w:type="dxa" w:w="80"/>
              <w:right w:type="dxa" w:w="100"/>
            </w:tcMar>
          </w:tcPr>
          <w:p>
            <w:r>
              <w:rPr>
                <w:b w:val="false"/>
                <w:bCs w:val="false"/>
                <w:color w:val="000000"/>
                <w:sz w:val="18"/>
                <w:szCs w:val="18"/>
              </w:rPr>
              <w:t xml:space="preserve">Control is implemented organization-wide by Tailspin Civic Systems and applies to all systems (e.g., personnel screening, security awareness training)</w:t>
            </w:r>
          </w:p>
        </w:tc>
      </w:tr>
      <w:tr>
        <w:tc>
          <w:tcPr>
            <w:tcW w:type="dxa" w:w="3000"/>
            <w:tcMar>
              <w:top w:type="dxa" w:w="80"/>
              <w:left w:type="dxa" w:w="100"/>
              <w:bottom w:type="dxa" w:w="80"/>
              <w:right w:type="dxa" w:w="100"/>
            </w:tcMar>
          </w:tcPr>
          <w:p>
            <w:r>
              <w:rPr>
                <w:b w:val="false"/>
                <w:bCs w:val="false"/>
                <w:color w:val="000000"/>
                <w:sz w:val="18"/>
                <w:szCs w:val="18"/>
              </w:rPr>
              <w:t xml:space="preserve">Service Provider System-Specific</w:t>
            </w:r>
          </w:p>
        </w:tc>
        <w:tc>
          <w:tcPr>
            <w:tcW w:type="dxa" w:w="6350"/>
            <w:tcMar>
              <w:top w:type="dxa" w:w="80"/>
              <w:left w:type="dxa" w:w="100"/>
              <w:bottom w:type="dxa" w:w="80"/>
              <w:right w:type="dxa" w:w="100"/>
            </w:tcMar>
          </w:tcPr>
          <w:p>
            <w:r>
              <w:rPr>
                <w:b w:val="false"/>
                <w:bCs w:val="false"/>
                <w:color w:val="000000"/>
                <w:sz w:val="18"/>
                <w:szCs w:val="18"/>
              </w:rPr>
              <w:t xml:space="preserve">Control is implemented uniquely for the AwardWorks system (e.g., boundary protection, audit event selection)</w:t>
            </w:r>
          </w:p>
        </w:tc>
      </w:tr>
      <w:tr>
        <w:tc>
          <w:tcPr>
            <w:tcW w:type="dxa" w:w="3000"/>
            <w:tcMar>
              <w:top w:type="dxa" w:w="80"/>
              <w:left w:type="dxa" w:w="100"/>
              <w:bottom w:type="dxa" w:w="80"/>
              <w:right w:type="dxa" w:w="100"/>
            </w:tcMar>
          </w:tcPr>
          <w:p>
            <w:r>
              <w:rPr>
                <w:b w:val="false"/>
                <w:bCs w:val="false"/>
                <w:color w:val="000000"/>
                <w:sz w:val="18"/>
                <w:szCs w:val="18"/>
              </w:rPr>
              <w:t xml:space="preserve">Inherited</w:t>
            </w:r>
          </w:p>
        </w:tc>
        <w:tc>
          <w:tcPr>
            <w:tcW w:type="dxa" w:w="6350"/>
            <w:tcMar>
              <w:top w:type="dxa" w:w="80"/>
              <w:left w:type="dxa" w:w="100"/>
              <w:bottom w:type="dxa" w:w="80"/>
              <w:right w:type="dxa" w:w="100"/>
            </w:tcMar>
          </w:tcPr>
          <w:p>
            <w:r>
              <w:rPr>
                <w:b w:val="false"/>
                <w:bCs w:val="false"/>
                <w:color w:val="000000"/>
                <w:sz w:val="18"/>
                <w:szCs w:val="18"/>
              </w:rPr>
              <w:t xml:space="preserve">Control is fully inherited from AWS GovCloud under its FedRAMP High P-ATO (e.g., physical access control, media sanitization)</w:t>
            </w:r>
          </w:p>
        </w:tc>
      </w:tr>
      <w:tr>
        <w:tc>
          <w:tcPr>
            <w:tcW w:type="dxa" w:w="3000"/>
            <w:tcMar>
              <w:top w:type="dxa" w:w="80"/>
              <w:left w:type="dxa" w:w="100"/>
              <w:bottom w:type="dxa" w:w="80"/>
              <w:right w:type="dxa" w:w="100"/>
            </w:tcMar>
          </w:tcPr>
          <w:p>
            <w:r>
              <w:rPr>
                <w:b w:val="false"/>
                <w:bCs w:val="false"/>
                <w:color w:val="000000"/>
                <w:sz w:val="18"/>
                <w:szCs w:val="18"/>
              </w:rPr>
              <w:t xml:space="preserve">Shared</w:t>
            </w:r>
          </w:p>
        </w:tc>
        <w:tc>
          <w:tcPr>
            <w:tcW w:type="dxa" w:w="6350"/>
            <w:tcMar>
              <w:top w:type="dxa" w:w="80"/>
              <w:left w:type="dxa" w:w="100"/>
              <w:bottom w:type="dxa" w:w="80"/>
              <w:right w:type="dxa" w:w="100"/>
            </w:tcMar>
          </w:tcPr>
          <w:p>
            <w:r>
              <w:rPr>
                <w:b w:val="false"/>
                <w:bCs w:val="false"/>
                <w:color w:val="000000"/>
                <w:sz w:val="18"/>
                <w:szCs w:val="18"/>
              </w:rPr>
              <w:t xml:space="preserve">Responsibility is divided between Tailspin Civic Systems and the customer agency (e.g., account management, where the CSP provides capability and the agency administers its own users)</w:t>
            </w:r>
          </w:p>
        </w:tc>
      </w:tr>
      <w:tr>
        <w:tc>
          <w:tcPr>
            <w:tcW w:type="dxa" w:w="3000"/>
            <w:tcMar>
              <w:top w:type="dxa" w:w="80"/>
              <w:left w:type="dxa" w:w="100"/>
              <w:bottom w:type="dxa" w:w="80"/>
              <w:right w:type="dxa" w:w="100"/>
            </w:tcMar>
          </w:tcPr>
          <w:p>
            <w:r>
              <w:rPr>
                <w:b w:val="false"/>
                <w:bCs w:val="false"/>
                <w:color w:val="000000"/>
                <w:sz w:val="18"/>
                <w:szCs w:val="18"/>
              </w:rPr>
              <w:t xml:space="preserve">Customer (Configured)</w:t>
            </w:r>
          </w:p>
        </w:tc>
        <w:tc>
          <w:tcPr>
            <w:tcW w:type="dxa" w:w="6350"/>
            <w:tcMar>
              <w:top w:type="dxa" w:w="80"/>
              <w:left w:type="dxa" w:w="100"/>
              <w:bottom w:type="dxa" w:w="80"/>
              <w:right w:type="dxa" w:w="100"/>
            </w:tcMar>
          </w:tcPr>
          <w:p>
            <w:r>
              <w:rPr>
                <w:b w:val="false"/>
                <w:bCs w:val="false"/>
                <w:color w:val="000000"/>
                <w:sz w:val="18"/>
                <w:szCs w:val="18"/>
              </w:rPr>
              <w:t xml:space="preserve">Control must be configured by the customer agency; described in the Customer Responsibility Matrix</w:t>
            </w:r>
          </w:p>
        </w:tc>
      </w:tr>
    </w:tbl>
    <w:p>
      <w:pPr>
        <w:spacing w:after="160"/>
      </w:pPr>
      <w:r>
        <w:t>As of the current assessment, 21 of 33 sampled controls are fully Implemented, 9 are Partially Implemented with corresponding POA&amp;M items, 2 are fully Inherited, and 1 (SC-15) is Not Applicable. Deficiencies are tracked to closure in the Plan of Action and Milestones.</w:t>
      </w:r>
    </w:p>
    <w:p>
      <w:pPr>
        <w:pStyle w:val="Heading1"/>
        <w:spacing w:after="160" w:before="320"/>
      </w:pPr>
      <w:r>
        <w:rPr>
          <w:b/>
          <w:bCs/>
          <w:color w:val="1F3864"/>
        </w:rPr>
        <w:t xml:space="preserve">6. Continuous Monitoring Strategy</w:t>
      </w:r>
    </w:p>
    <w:p>
      <w:pPr>
        <w:spacing w:after="160"/>
      </w:pPr>
      <w:r>
        <w:t xml:space="preserve">Tailspin Civic Systems maintains an ongoing authorization posture through a documented continuous monitoring program aligned to the FedRAMP Continuous Monitoring Strategy Guide.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50"/>
      </w:tblGrid>
      <w:tr>
        <w:tc>
          <w:tcPr>
            <w:tcW w:type="dxa" w:w="2800"/>
            <w:shd w:fill="1F3864" w:val="clear"/>
            <w:tcMar>
              <w:top w:type="dxa" w:w="80"/>
              <w:left w:type="dxa" w:w="100"/>
              <w:bottom w:type="dxa" w:w="80"/>
              <w:right w:type="dxa" w:w="100"/>
            </w:tcMar>
          </w:tcPr>
          <w:p>
            <w:r>
              <w:rPr>
                <w:b/>
                <w:bCs/>
                <w:color w:val="FFFFFF"/>
                <w:sz w:val="18"/>
                <w:szCs w:val="18"/>
              </w:rPr>
              <w:t xml:space="preserve">Activity</w:t>
            </w:r>
          </w:p>
        </w:tc>
        <w:tc>
          <w:tcPr>
            <w:tcW w:type="dxa" w:w="2200"/>
            <w:shd w:fill="1F3864" w:val="clear"/>
            <w:tcMar>
              <w:top w:type="dxa" w:w="80"/>
              <w:left w:type="dxa" w:w="100"/>
              <w:bottom w:type="dxa" w:w="80"/>
              <w:right w:type="dxa" w:w="100"/>
            </w:tcMar>
          </w:tcPr>
          <w:p>
            <w:r>
              <w:rPr>
                <w:b/>
                <w:bCs/>
                <w:color w:val="FFFFFF"/>
                <w:sz w:val="18"/>
                <w:szCs w:val="18"/>
              </w:rPr>
              <w:t xml:space="preserve">Frequency</w:t>
            </w:r>
          </w:p>
        </w:tc>
        <w:tc>
          <w:tcPr>
            <w:tcW w:type="dxa" w:w="4350"/>
            <w:shd w:fill="1F3864" w:val="clear"/>
            <w:tcMar>
              <w:top w:type="dxa" w:w="80"/>
              <w:left w:type="dxa" w:w="100"/>
              <w:bottom w:type="dxa" w:w="80"/>
              <w:right w:type="dxa" w:w="100"/>
            </w:tcMar>
          </w:tcPr>
          <w:p>
            <w:r>
              <w:rPr>
                <w:b/>
                <w:bCs/>
                <w:color w:val="FFFFFF"/>
                <w:sz w:val="18"/>
                <w:szCs w:val="18"/>
              </w:rPr>
              <w:t xml:space="preserve">Deliverable / Evidence</w:t>
            </w:r>
          </w:p>
        </w:tc>
      </w:tr>
      <w:tr>
        <w:tc>
          <w:tcPr>
            <w:tcW w:type="dxa" w:w="2800"/>
            <w:tcMar>
              <w:top w:type="dxa" w:w="80"/>
              <w:left w:type="dxa" w:w="100"/>
              <w:bottom w:type="dxa" w:w="80"/>
              <w:right w:type="dxa" w:w="100"/>
            </w:tcMar>
          </w:tcPr>
          <w:p>
            <w:r>
              <w:rPr>
                <w:b w:val="false"/>
                <w:bCs w:val="false"/>
                <w:color w:val="000000"/>
                <w:sz w:val="18"/>
                <w:szCs w:val="18"/>
              </w:rPr>
              <w:t xml:space="preserve">Authenticated vulnerability scanning (OS, web, database, container)</w:t>
            </w:r>
          </w:p>
        </w:tc>
        <w:tc>
          <w:tcPr>
            <w:tcW w:type="dxa" w:w="2200"/>
            <w:tcMar>
              <w:top w:type="dxa" w:w="80"/>
              <w:left w:type="dxa" w:w="100"/>
              <w:bottom w:type="dxa" w:w="80"/>
              <w:right w:type="dxa" w:w="100"/>
            </w:tcMar>
          </w:tcPr>
          <w:p>
            <w:r>
              <w:rPr>
                <w:b w:val="false"/>
                <w:bCs w:val="false"/>
                <w:color w:val="000000"/>
                <w:sz w:val="18"/>
                <w:szCs w:val="18"/>
              </w:rPr>
              <w:t xml:space="preserve">Monthly</w:t>
            </w:r>
          </w:p>
        </w:tc>
        <w:tc>
          <w:tcPr>
            <w:tcW w:type="dxa" w:w="4350"/>
            <w:tcMar>
              <w:top w:type="dxa" w:w="80"/>
              <w:left w:type="dxa" w:w="100"/>
              <w:bottom w:type="dxa" w:w="80"/>
              <w:right w:type="dxa" w:w="100"/>
            </w:tcMar>
          </w:tcPr>
          <w:p>
            <w:r>
              <w:rPr>
                <w:b w:val="false"/>
                <w:bCs w:val="false"/>
                <w:color w:val="000000"/>
                <w:sz w:val="18"/>
                <w:szCs w:val="18"/>
              </w:rPr>
              <w:t xml:space="preserve">Raw scan results and remediation status submitted to the AO</w:t>
            </w:r>
          </w:p>
        </w:tc>
      </w:tr>
      <w:tr>
        <w:tc>
          <w:tcPr>
            <w:tcW w:type="dxa" w:w="2800"/>
            <w:tcMar>
              <w:top w:type="dxa" w:w="80"/>
              <w:left w:type="dxa" w:w="100"/>
              <w:bottom w:type="dxa" w:w="80"/>
              <w:right w:type="dxa" w:w="100"/>
            </w:tcMar>
          </w:tcPr>
          <w:p>
            <w:r>
              <w:rPr>
                <w:b w:val="false"/>
                <w:bCs w:val="false"/>
                <w:color w:val="000000"/>
                <w:sz w:val="18"/>
                <w:szCs w:val="18"/>
              </w:rPr>
              <w:t xml:space="preserve">POA&amp;M update and submission</w:t>
            </w:r>
          </w:p>
        </w:tc>
        <w:tc>
          <w:tcPr>
            <w:tcW w:type="dxa" w:w="2200"/>
            <w:tcMar>
              <w:top w:type="dxa" w:w="80"/>
              <w:left w:type="dxa" w:w="100"/>
              <w:bottom w:type="dxa" w:w="80"/>
              <w:right w:type="dxa" w:w="100"/>
            </w:tcMar>
          </w:tcPr>
          <w:p>
            <w:r>
              <w:rPr>
                <w:b w:val="false"/>
                <w:bCs w:val="false"/>
                <w:color w:val="000000"/>
                <w:sz w:val="18"/>
                <w:szCs w:val="18"/>
              </w:rPr>
              <w:t xml:space="preserve">Monthly</w:t>
            </w:r>
          </w:p>
        </w:tc>
        <w:tc>
          <w:tcPr>
            <w:tcW w:type="dxa" w:w="4350"/>
            <w:tcMar>
              <w:top w:type="dxa" w:w="80"/>
              <w:left w:type="dxa" w:w="100"/>
              <w:bottom w:type="dxa" w:w="80"/>
              <w:right w:type="dxa" w:w="100"/>
            </w:tcMar>
          </w:tcPr>
          <w:p>
            <w:r>
              <w:rPr>
                <w:b w:val="false"/>
                <w:bCs w:val="false"/>
                <w:color w:val="000000"/>
                <w:sz w:val="18"/>
                <w:szCs w:val="18"/>
              </w:rPr>
              <w:t xml:space="preserve">Updated POA&amp;M with milestone progress and closures</w:t>
            </w:r>
          </w:p>
        </w:tc>
      </w:tr>
      <w:tr>
        <w:tc>
          <w:tcPr>
            <w:tcW w:type="dxa" w:w="2800"/>
            <w:tcMar>
              <w:top w:type="dxa" w:w="80"/>
              <w:left w:type="dxa" w:w="100"/>
              <w:bottom w:type="dxa" w:w="80"/>
              <w:right w:type="dxa" w:w="100"/>
            </w:tcMar>
          </w:tcPr>
          <w:p>
            <w:r>
              <w:rPr>
                <w:b w:val="false"/>
                <w:bCs w:val="false"/>
                <w:color w:val="000000"/>
                <w:sz w:val="18"/>
                <w:szCs w:val="18"/>
              </w:rPr>
              <w:t xml:space="preserve">System inventory reconciliation</w:t>
            </w:r>
          </w:p>
        </w:tc>
        <w:tc>
          <w:tcPr>
            <w:tcW w:type="dxa" w:w="2200"/>
            <w:tcMar>
              <w:top w:type="dxa" w:w="80"/>
              <w:left w:type="dxa" w:w="100"/>
              <w:bottom w:type="dxa" w:w="80"/>
              <w:right w:type="dxa" w:w="100"/>
            </w:tcMar>
          </w:tcPr>
          <w:p>
            <w:r>
              <w:rPr>
                <w:b w:val="false"/>
                <w:bCs w:val="false"/>
                <w:color w:val="000000"/>
                <w:sz w:val="18"/>
                <w:szCs w:val="18"/>
              </w:rPr>
              <w:t xml:space="preserve">Monthly</w:t>
            </w:r>
          </w:p>
        </w:tc>
        <w:tc>
          <w:tcPr>
            <w:tcW w:type="dxa" w:w="4350"/>
            <w:tcMar>
              <w:top w:type="dxa" w:w="80"/>
              <w:left w:type="dxa" w:w="100"/>
              <w:bottom w:type="dxa" w:w="80"/>
              <w:right w:type="dxa" w:w="100"/>
            </w:tcMar>
          </w:tcPr>
          <w:p>
            <w:r>
              <w:rPr>
                <w:b w:val="false"/>
                <w:bCs w:val="false"/>
                <w:color w:val="000000"/>
                <w:sz w:val="18"/>
                <w:szCs w:val="18"/>
              </w:rPr>
              <w:t xml:space="preserve">Updated integrated inventory workbook</w:t>
            </w:r>
          </w:p>
        </w:tc>
      </w:tr>
      <w:tr>
        <w:tc>
          <w:tcPr>
            <w:tcW w:type="dxa" w:w="2800"/>
            <w:tcMar>
              <w:top w:type="dxa" w:w="80"/>
              <w:left w:type="dxa" w:w="100"/>
              <w:bottom w:type="dxa" w:w="80"/>
              <w:right w:type="dxa" w:w="100"/>
            </w:tcMar>
          </w:tcPr>
          <w:p>
            <w:r>
              <w:rPr>
                <w:b w:val="false"/>
                <w:bCs w:val="false"/>
                <w:color w:val="000000"/>
                <w:sz w:val="18"/>
                <w:szCs w:val="18"/>
              </w:rPr>
              <w:t xml:space="preserve">Configuration drift detection</w:t>
            </w:r>
          </w:p>
        </w:tc>
        <w:tc>
          <w:tcPr>
            <w:tcW w:type="dxa" w:w="2200"/>
            <w:tcMar>
              <w:top w:type="dxa" w:w="80"/>
              <w:left w:type="dxa" w:w="100"/>
              <w:bottom w:type="dxa" w:w="80"/>
              <w:right w:type="dxa" w:w="100"/>
            </w:tcMar>
          </w:tcPr>
          <w:p>
            <w:r>
              <w:rPr>
                <w:b w:val="false"/>
                <w:bCs w:val="false"/>
                <w:color w:val="000000"/>
                <w:sz w:val="18"/>
                <w:szCs w:val="18"/>
              </w:rPr>
              <w:t xml:space="preserve">Continuous (automated)</w:t>
            </w:r>
          </w:p>
        </w:tc>
        <w:tc>
          <w:tcPr>
            <w:tcW w:type="dxa" w:w="4350"/>
            <w:tcMar>
              <w:top w:type="dxa" w:w="80"/>
              <w:left w:type="dxa" w:w="100"/>
              <w:bottom w:type="dxa" w:w="80"/>
              <w:right w:type="dxa" w:w="100"/>
            </w:tcMar>
          </w:tcPr>
          <w:p>
            <w:r>
              <w:rPr>
                <w:b w:val="false"/>
                <w:bCs w:val="false"/>
                <w:color w:val="000000"/>
                <w:sz w:val="18"/>
                <w:szCs w:val="18"/>
              </w:rPr>
              <w:t xml:space="preserve">AWS Config compliance reports and remediation records</w:t>
            </w:r>
          </w:p>
        </w:tc>
      </w:tr>
      <w:tr>
        <w:tc>
          <w:tcPr>
            <w:tcW w:type="dxa" w:w="2800"/>
            <w:tcMar>
              <w:top w:type="dxa" w:w="80"/>
              <w:left w:type="dxa" w:w="100"/>
              <w:bottom w:type="dxa" w:w="80"/>
              <w:right w:type="dxa" w:w="100"/>
            </w:tcMar>
          </w:tcPr>
          <w:p>
            <w:r>
              <w:rPr>
                <w:b w:val="false"/>
                <w:bCs w:val="false"/>
                <w:color w:val="000000"/>
                <w:sz w:val="18"/>
                <w:szCs w:val="18"/>
              </w:rPr>
              <w:t xml:space="preserve">Audit log review</w:t>
            </w:r>
          </w:p>
        </w:tc>
        <w:tc>
          <w:tcPr>
            <w:tcW w:type="dxa" w:w="2200"/>
            <w:tcMar>
              <w:top w:type="dxa" w:w="80"/>
              <w:left w:type="dxa" w:w="100"/>
              <w:bottom w:type="dxa" w:w="80"/>
              <w:right w:type="dxa" w:w="100"/>
            </w:tcMar>
          </w:tcPr>
          <w:p>
            <w:r>
              <w:rPr>
                <w:b w:val="false"/>
                <w:bCs w:val="false"/>
                <w:color w:val="000000"/>
                <w:sz w:val="18"/>
                <w:szCs w:val="18"/>
              </w:rPr>
              <w:t xml:space="preserve">Weekly</w:t>
            </w:r>
          </w:p>
        </w:tc>
        <w:tc>
          <w:tcPr>
            <w:tcW w:type="dxa" w:w="4350"/>
            <w:tcMar>
              <w:top w:type="dxa" w:w="80"/>
              <w:left w:type="dxa" w:w="100"/>
              <w:bottom w:type="dxa" w:w="80"/>
              <w:right w:type="dxa" w:w="100"/>
            </w:tcMar>
          </w:tcPr>
          <w:p>
            <w:r>
              <w:rPr>
                <w:b w:val="false"/>
                <w:bCs w:val="false"/>
                <w:color w:val="000000"/>
                <w:sz w:val="18"/>
                <w:szCs w:val="18"/>
              </w:rPr>
              <w:t xml:space="preserve">Ticketed review record with reviewer, findings, and escalations</w:t>
            </w:r>
          </w:p>
        </w:tc>
      </w:tr>
      <w:tr>
        <w:tc>
          <w:tcPr>
            <w:tcW w:type="dxa" w:w="2800"/>
            <w:tcMar>
              <w:top w:type="dxa" w:w="80"/>
              <w:left w:type="dxa" w:w="100"/>
              <w:bottom w:type="dxa" w:w="80"/>
              <w:right w:type="dxa" w:w="100"/>
            </w:tcMar>
          </w:tcPr>
          <w:p>
            <w:r>
              <w:rPr>
                <w:b w:val="false"/>
                <w:bCs w:val="false"/>
                <w:color w:val="000000"/>
                <w:sz w:val="18"/>
                <w:szCs w:val="18"/>
              </w:rPr>
              <w:t xml:space="preserve">Annual security assessment (3PAO)</w:t>
            </w:r>
          </w:p>
        </w:tc>
        <w:tc>
          <w:tcPr>
            <w:tcW w:type="dxa" w:w="2200"/>
            <w:tcMar>
              <w:top w:type="dxa" w:w="80"/>
              <w:left w:type="dxa" w:w="100"/>
              <w:bottom w:type="dxa" w:w="80"/>
              <w:right w:type="dxa" w:w="100"/>
            </w:tcMar>
          </w:tcPr>
          <w:p>
            <w:r>
              <w:rPr>
                <w:b w:val="false"/>
                <w:bCs w:val="false"/>
                <w:color w:val="000000"/>
                <w:sz w:val="18"/>
                <w:szCs w:val="18"/>
              </w:rPr>
              <w:t xml:space="preserve">Annually</w:t>
            </w:r>
          </w:p>
        </w:tc>
        <w:tc>
          <w:tcPr>
            <w:tcW w:type="dxa" w:w="4350"/>
            <w:tcMar>
              <w:top w:type="dxa" w:w="80"/>
              <w:left w:type="dxa" w:w="100"/>
              <w:bottom w:type="dxa" w:w="80"/>
              <w:right w:type="dxa" w:w="100"/>
            </w:tcMar>
          </w:tcPr>
          <w:p>
            <w:r>
              <w:rPr>
                <w:b w:val="false"/>
                <w:bCs w:val="false"/>
                <w:color w:val="000000"/>
                <w:sz w:val="18"/>
                <w:szCs w:val="18"/>
              </w:rPr>
              <w:t xml:space="preserve">Security Assessment Report (SAR) and updated SSP</w:t>
            </w:r>
          </w:p>
        </w:tc>
      </w:tr>
      <w:tr>
        <w:tc>
          <w:tcPr>
            <w:tcW w:type="dxa" w:w="2800"/>
            <w:tcMar>
              <w:top w:type="dxa" w:w="80"/>
              <w:left w:type="dxa" w:w="100"/>
              <w:bottom w:type="dxa" w:w="80"/>
              <w:right w:type="dxa" w:w="100"/>
            </w:tcMar>
          </w:tcPr>
          <w:p>
            <w:r>
              <w:rPr>
                <w:b w:val="false"/>
                <w:bCs w:val="false"/>
                <w:color w:val="000000"/>
                <w:sz w:val="18"/>
                <w:szCs w:val="18"/>
              </w:rPr>
              <w:t xml:space="preserve">Contingency plan test</w:t>
            </w:r>
          </w:p>
        </w:tc>
        <w:tc>
          <w:tcPr>
            <w:tcW w:type="dxa" w:w="2200"/>
            <w:tcMar>
              <w:top w:type="dxa" w:w="80"/>
              <w:left w:type="dxa" w:w="100"/>
              <w:bottom w:type="dxa" w:w="80"/>
              <w:right w:type="dxa" w:w="100"/>
            </w:tcMar>
          </w:tcPr>
          <w:p>
            <w:r>
              <w:rPr>
                <w:b w:val="false"/>
                <w:bCs w:val="false"/>
                <w:color w:val="000000"/>
                <w:sz w:val="18"/>
                <w:szCs w:val="18"/>
              </w:rPr>
              <w:t xml:space="preserve">Annually</w:t>
            </w:r>
          </w:p>
        </w:tc>
        <w:tc>
          <w:tcPr>
            <w:tcW w:type="dxa" w:w="4350"/>
            <w:tcMar>
              <w:top w:type="dxa" w:w="80"/>
              <w:left w:type="dxa" w:w="100"/>
              <w:bottom w:type="dxa" w:w="80"/>
              <w:right w:type="dxa" w:w="100"/>
            </w:tcMar>
          </w:tcPr>
          <w:p>
            <w:r>
              <w:rPr>
                <w:b w:val="false"/>
                <w:bCs w:val="false"/>
                <w:color w:val="000000"/>
                <w:sz w:val="18"/>
                <w:szCs w:val="18"/>
              </w:rPr>
              <w:t xml:space="preserve">After-action report with measured RTO/RPO</w:t>
            </w:r>
          </w:p>
        </w:tc>
      </w:tr>
      <w:tr>
        <w:tc>
          <w:tcPr>
            <w:tcW w:type="dxa" w:w="2800"/>
            <w:tcMar>
              <w:top w:type="dxa" w:w="80"/>
              <w:left w:type="dxa" w:w="100"/>
              <w:bottom w:type="dxa" w:w="80"/>
              <w:right w:type="dxa" w:w="100"/>
            </w:tcMar>
          </w:tcPr>
          <w:p>
            <w:r>
              <w:rPr>
                <w:b w:val="false"/>
                <w:bCs w:val="false"/>
                <w:color w:val="000000"/>
                <w:sz w:val="18"/>
                <w:szCs w:val="18"/>
              </w:rPr>
              <w:t xml:space="preserve">Incident response tabletop</w:t>
            </w:r>
          </w:p>
        </w:tc>
        <w:tc>
          <w:tcPr>
            <w:tcW w:type="dxa" w:w="2200"/>
            <w:tcMar>
              <w:top w:type="dxa" w:w="80"/>
              <w:left w:type="dxa" w:w="100"/>
              <w:bottom w:type="dxa" w:w="80"/>
              <w:right w:type="dxa" w:w="100"/>
            </w:tcMar>
          </w:tcPr>
          <w:p>
            <w:r>
              <w:rPr>
                <w:b w:val="false"/>
                <w:bCs w:val="false"/>
                <w:color w:val="000000"/>
                <w:sz w:val="18"/>
                <w:szCs w:val="18"/>
              </w:rPr>
              <w:t xml:space="preserve">Annually</w:t>
            </w:r>
          </w:p>
        </w:tc>
        <w:tc>
          <w:tcPr>
            <w:tcW w:type="dxa" w:w="4350"/>
            <w:tcMar>
              <w:top w:type="dxa" w:w="80"/>
              <w:left w:type="dxa" w:w="100"/>
              <w:bottom w:type="dxa" w:w="80"/>
              <w:right w:type="dxa" w:w="100"/>
            </w:tcMar>
          </w:tcPr>
          <w:p>
            <w:r>
              <w:rPr>
                <w:b w:val="false"/>
                <w:bCs w:val="false"/>
                <w:color w:val="000000"/>
                <w:sz w:val="18"/>
                <w:szCs w:val="18"/>
              </w:rPr>
              <w:t xml:space="preserve">Exercise report and updated IR Plan</w:t>
            </w:r>
          </w:p>
        </w:tc>
      </w:tr>
      <w:tr>
        <w:tc>
          <w:tcPr>
            <w:tcW w:type="dxa" w:w="2800"/>
            <w:tcMar>
              <w:top w:type="dxa" w:w="80"/>
              <w:left w:type="dxa" w:w="100"/>
              <w:bottom w:type="dxa" w:w="80"/>
              <w:right w:type="dxa" w:w="100"/>
            </w:tcMar>
          </w:tcPr>
          <w:p>
            <w:r>
              <w:rPr>
                <w:b w:val="false"/>
                <w:bCs w:val="false"/>
                <w:color w:val="000000"/>
                <w:sz w:val="18"/>
                <w:szCs w:val="18"/>
              </w:rPr>
              <w:t xml:space="preserve">Significant change request</w:t>
            </w:r>
          </w:p>
        </w:tc>
        <w:tc>
          <w:tcPr>
            <w:tcW w:type="dxa" w:w="2200"/>
            <w:tcMar>
              <w:top w:type="dxa" w:w="80"/>
              <w:left w:type="dxa" w:w="100"/>
              <w:bottom w:type="dxa" w:w="80"/>
              <w:right w:type="dxa" w:w="100"/>
            </w:tcMar>
          </w:tcPr>
          <w:p>
            <w:r>
              <w:rPr>
                <w:b w:val="false"/>
                <w:bCs w:val="false"/>
                <w:color w:val="000000"/>
                <w:sz w:val="18"/>
                <w:szCs w:val="18"/>
              </w:rPr>
              <w:t xml:space="preserve">As needed</w:t>
            </w:r>
          </w:p>
        </w:tc>
        <w:tc>
          <w:tcPr>
            <w:tcW w:type="dxa" w:w="4350"/>
            <w:tcMar>
              <w:top w:type="dxa" w:w="80"/>
              <w:left w:type="dxa" w:w="100"/>
              <w:bottom w:type="dxa" w:w="80"/>
              <w:right w:type="dxa" w:w="100"/>
            </w:tcMar>
          </w:tcPr>
          <w:p>
            <w:r>
              <w:rPr>
                <w:b w:val="false"/>
                <w:bCs w:val="false"/>
                <w:color w:val="000000"/>
                <w:sz w:val="18"/>
                <w:szCs w:val="18"/>
              </w:rPr>
              <w:t xml:space="preserve">Significant Change Request submitted to AO prior to implementation</w:t>
            </w:r>
          </w:p>
        </w:tc>
      </w:tr>
    </w:tbl>
    <w:p>
      <w:pPr>
        <w:pStyle w:val="Heading1"/>
        <w:spacing w:after="160" w:before="320"/>
      </w:pPr>
      <w:r>
        <w:rPr>
          <w:b/>
          <w:bCs/>
          <w:color w:val="1F3864"/>
        </w:rPr>
        <w:t xml:space="preserve">7. Incident Response and Reporting</w:t>
      </w:r>
    </w:p>
    <w:p>
      <w:pPr>
        <w:spacing w:after="160"/>
      </w:pPr>
      <w:r>
        <w:t>Security incidents are handled per the AwardWorks Incident Response Plan, which defines severity tiers, escalation paths, and a 24x7 on-call rotation. Consistent with FedRAMP requirements, confirmed or suspected incidents involving federal information are reported to CISA and to the sponsoring agency ISSO within one hour of determination. Incident records are retained and reviewed during the annual assessment.</w:t>
      </w:r>
    </w:p>
    <w:p>
      <w:pPr>
        <w:pStyle w:val="Heading1"/>
        <w:spacing w:after="160" w:before="320"/>
      </w:pPr>
      <w:r>
        <w:rPr>
          <w:b/>
          <w:bCs/>
          <w:color w:val="1F3864"/>
        </w:rPr>
        <w:t xml:space="preserve">8. Roles and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F3864" w:val="clear"/>
            <w:tcMar>
              <w:top w:type="dxa" w:w="80"/>
              <w:left w:type="dxa" w:w="100"/>
              <w:bottom w:type="dxa" w:w="80"/>
              <w:right w:type="dxa" w:w="100"/>
            </w:tcMar>
          </w:tcPr>
          <w:p>
            <w:r>
              <w:rPr>
                <w:b/>
                <w:bCs/>
                <w:color w:val="FFFFFF"/>
                <w:sz w:val="18"/>
                <w:szCs w:val="18"/>
              </w:rPr>
              <w:t xml:space="preserve">Role</w:t>
            </w:r>
          </w:p>
        </w:tc>
        <w:tc>
          <w:tcPr>
            <w:tcW w:type="dxa" w:w="6350"/>
            <w:shd w:fill="1F3864" w:val="clear"/>
            <w:tcMar>
              <w:top w:type="dxa" w:w="80"/>
              <w:left w:type="dxa" w:w="100"/>
              <w:bottom w:type="dxa" w:w="80"/>
              <w:right w:type="dxa" w:w="100"/>
            </w:tcMar>
          </w:tcPr>
          <w:p>
            <w:r>
              <w:rPr>
                <w:b/>
                <w:bCs/>
                <w:color w:val="FFFFFF"/>
                <w:sz w:val="18"/>
                <w:szCs w:val="18"/>
              </w:rPr>
              <w:t xml:space="preserve">Responsibility</w:t>
            </w:r>
          </w:p>
        </w:tc>
      </w:tr>
      <w:tr>
        <w:tc>
          <w:tcPr>
            <w:tcW w:type="dxa" w:w="3000"/>
            <w:tcMar>
              <w:top w:type="dxa" w:w="80"/>
              <w:left w:type="dxa" w:w="100"/>
              <w:bottom w:type="dxa" w:w="80"/>
              <w:right w:type="dxa" w:w="100"/>
            </w:tcMar>
          </w:tcPr>
          <w:p>
            <w:r>
              <w:rPr>
                <w:b w:val="false"/>
                <w:bCs w:val="false"/>
                <w:color w:val="000000"/>
                <w:sz w:val="18"/>
                <w:szCs w:val="18"/>
              </w:rPr>
              <w:t xml:space="preserve">Authorizing Official (AO)</w:t>
            </w:r>
          </w:p>
        </w:tc>
        <w:tc>
          <w:tcPr>
            <w:tcW w:type="dxa" w:w="6350"/>
            <w:tcMar>
              <w:top w:type="dxa" w:w="80"/>
              <w:left w:type="dxa" w:w="100"/>
              <w:bottom w:type="dxa" w:w="80"/>
              <w:right w:type="dxa" w:w="100"/>
            </w:tcMar>
          </w:tcPr>
          <w:p>
            <w:r>
              <w:rPr>
                <w:b w:val="false"/>
                <w:bCs w:val="false"/>
                <w:color w:val="000000"/>
                <w:sz w:val="18"/>
                <w:szCs w:val="18"/>
              </w:rPr>
              <w:t xml:space="preserve">Accepts residual risk on behalf of the agency and issues the Authority to Operate</w:t>
            </w:r>
          </w:p>
        </w:tc>
      </w:tr>
      <w:tr>
        <w:tc>
          <w:tcPr>
            <w:tcW w:type="dxa" w:w="3000"/>
            <w:tcMar>
              <w:top w:type="dxa" w:w="80"/>
              <w:left w:type="dxa" w:w="100"/>
              <w:bottom w:type="dxa" w:w="80"/>
              <w:right w:type="dxa" w:w="100"/>
            </w:tcMar>
          </w:tcPr>
          <w:p>
            <w:r>
              <w:rPr>
                <w:b w:val="false"/>
                <w:bCs w:val="false"/>
                <w:color w:val="000000"/>
                <w:sz w:val="18"/>
                <w:szCs w:val="18"/>
              </w:rPr>
              <w:t xml:space="preserve">Information System Security Officer (ISSO)</w:t>
            </w:r>
          </w:p>
        </w:tc>
        <w:tc>
          <w:tcPr>
            <w:tcW w:type="dxa" w:w="6350"/>
            <w:tcMar>
              <w:top w:type="dxa" w:w="80"/>
              <w:left w:type="dxa" w:w="100"/>
              <w:bottom w:type="dxa" w:w="80"/>
              <w:right w:type="dxa" w:w="100"/>
            </w:tcMar>
          </w:tcPr>
          <w:p>
            <w:r>
              <w:rPr>
                <w:b w:val="false"/>
                <w:bCs w:val="false"/>
                <w:color w:val="000000"/>
                <w:sz w:val="18"/>
                <w:szCs w:val="18"/>
              </w:rPr>
              <w:t xml:space="preserve">Maintains the SSP and POA&amp;M; coordinates continuous monitoring deliverables; serves as the primary security point of contact to the AO</w:t>
            </w:r>
          </w:p>
        </w:tc>
      </w:tr>
      <w:tr>
        <w:tc>
          <w:tcPr>
            <w:tcW w:type="dxa" w:w="3000"/>
            <w:tcMar>
              <w:top w:type="dxa" w:w="80"/>
              <w:left w:type="dxa" w:w="100"/>
              <w:bottom w:type="dxa" w:w="80"/>
              <w:right w:type="dxa" w:w="100"/>
            </w:tcMar>
          </w:tcPr>
          <w:p>
            <w:r>
              <w:rPr>
                <w:b w:val="false"/>
                <w:bCs w:val="false"/>
                <w:color w:val="000000"/>
                <w:sz w:val="18"/>
                <w:szCs w:val="18"/>
              </w:rPr>
              <w:t xml:space="preserve">System Owner</w:t>
            </w:r>
          </w:p>
        </w:tc>
        <w:tc>
          <w:tcPr>
            <w:tcW w:type="dxa" w:w="6350"/>
            <w:tcMar>
              <w:top w:type="dxa" w:w="80"/>
              <w:left w:type="dxa" w:w="100"/>
              <w:bottom w:type="dxa" w:w="80"/>
              <w:right w:type="dxa" w:w="100"/>
            </w:tcMar>
          </w:tcPr>
          <w:p>
            <w:r>
              <w:rPr>
                <w:b w:val="false"/>
                <w:bCs w:val="false"/>
                <w:color w:val="000000"/>
                <w:sz w:val="18"/>
                <w:szCs w:val="18"/>
              </w:rPr>
              <w:t xml:space="preserve">Accountable for overall system operation, budget, and security posture</w:t>
            </w:r>
          </w:p>
        </w:tc>
      </w:tr>
      <w:tr>
        <w:tc>
          <w:tcPr>
            <w:tcW w:type="dxa" w:w="3000"/>
            <w:tcMar>
              <w:top w:type="dxa" w:w="80"/>
              <w:left w:type="dxa" w:w="100"/>
              <w:bottom w:type="dxa" w:w="80"/>
              <w:right w:type="dxa" w:w="100"/>
            </w:tcMar>
          </w:tcPr>
          <w:p>
            <w:r>
              <w:rPr>
                <w:b w:val="false"/>
                <w:bCs w:val="false"/>
                <w:color w:val="000000"/>
                <w:sz w:val="18"/>
                <w:szCs w:val="18"/>
              </w:rPr>
              <w:t xml:space="preserve">Third-Party Assessment Organization (3PAO)</w:t>
            </w:r>
          </w:p>
        </w:tc>
        <w:tc>
          <w:tcPr>
            <w:tcW w:type="dxa" w:w="6350"/>
            <w:tcMar>
              <w:top w:type="dxa" w:w="80"/>
              <w:left w:type="dxa" w:w="100"/>
              <w:bottom w:type="dxa" w:w="80"/>
              <w:right w:type="dxa" w:w="100"/>
            </w:tcMar>
          </w:tcPr>
          <w:p>
            <w:r>
              <w:rPr>
                <w:b w:val="false"/>
                <w:bCs w:val="false"/>
                <w:color w:val="000000"/>
                <w:sz w:val="18"/>
                <w:szCs w:val="18"/>
              </w:rPr>
              <w:t xml:space="preserve">Performs independent security control assessment and produces the SAR</w:t>
            </w:r>
          </w:p>
        </w:tc>
      </w:tr>
      <w:tr>
        <w:tc>
          <w:tcPr>
            <w:tcW w:type="dxa" w:w="3000"/>
            <w:tcMar>
              <w:top w:type="dxa" w:w="80"/>
              <w:left w:type="dxa" w:w="100"/>
              <w:bottom w:type="dxa" w:w="80"/>
              <w:right w:type="dxa" w:w="100"/>
            </w:tcMar>
          </w:tcPr>
          <w:p>
            <w:r>
              <w:rPr>
                <w:b w:val="false"/>
                <w:bCs w:val="false"/>
                <w:color w:val="000000"/>
                <w:sz w:val="18"/>
                <w:szCs w:val="18"/>
              </w:rPr>
              <w:t xml:space="preserve">Security Operations</w:t>
            </w:r>
          </w:p>
        </w:tc>
        <w:tc>
          <w:tcPr>
            <w:tcW w:type="dxa" w:w="6350"/>
            <w:tcMar>
              <w:top w:type="dxa" w:w="80"/>
              <w:left w:type="dxa" w:w="100"/>
              <w:bottom w:type="dxa" w:w="80"/>
              <w:right w:type="dxa" w:w="100"/>
            </w:tcMar>
          </w:tcPr>
          <w:p>
            <w:r>
              <w:rPr>
                <w:b w:val="false"/>
                <w:bCs w:val="false"/>
                <w:color w:val="000000"/>
                <w:sz w:val="18"/>
                <w:szCs w:val="18"/>
              </w:rPr>
              <w:t xml:space="preserve">Executes monitoring, detection, and incident response activities</w:t>
            </w:r>
          </w:p>
        </w:tc>
      </w:tr>
      <w:tr>
        <w:tc>
          <w:tcPr>
            <w:tcW w:type="dxa" w:w="3000"/>
            <w:tcMar>
              <w:top w:type="dxa" w:w="80"/>
              <w:left w:type="dxa" w:w="100"/>
              <w:bottom w:type="dxa" w:w="80"/>
              <w:right w:type="dxa" w:w="100"/>
            </w:tcMar>
          </w:tcPr>
          <w:p>
            <w:r>
              <w:rPr>
                <w:b w:val="false"/>
                <w:bCs w:val="false"/>
                <w:color w:val="000000"/>
                <w:sz w:val="18"/>
                <w:szCs w:val="18"/>
              </w:rPr>
              <w:t xml:space="preserve">Platform Engineering</w:t>
            </w:r>
          </w:p>
        </w:tc>
        <w:tc>
          <w:tcPr>
            <w:tcW w:type="dxa" w:w="6350"/>
            <w:tcMar>
              <w:top w:type="dxa" w:w="80"/>
              <w:left w:type="dxa" w:w="100"/>
              <w:bottom w:type="dxa" w:w="80"/>
              <w:right w:type="dxa" w:w="100"/>
            </w:tcMar>
          </w:tcPr>
          <w:p>
            <w:r>
              <w:rPr>
                <w:b w:val="false"/>
                <w:bCs w:val="false"/>
                <w:color w:val="000000"/>
                <w:sz w:val="18"/>
                <w:szCs w:val="18"/>
              </w:rPr>
              <w:t xml:space="preserve">Implements and maintains technical controls; performs remediation</w:t>
            </w:r>
          </w:p>
        </w:tc>
      </w:tr>
    </w:tbl>
    <w:p>
      <w:pPr>
        <w:pStyle w:val="Heading1"/>
        <w:spacing w:after="160" w:before="320"/>
      </w:pPr>
      <w:r>
        <w:rPr>
          <w:b/>
          <w:bCs/>
          <w:color w:val="1F3864"/>
        </w:rPr>
        <w:t xml:space="preserve">9. Related Documentation</w:t>
      </w:r>
    </w:p>
    <w:p>
      <w:pPr>
        <w:pStyle w:val="ListParagraph"/>
        <w:numPr>
          <w:ilvl w:val="0"/>
          <w:numId w:val="2"/>
        </w:numPr>
        <w:spacing w:after="80"/>
      </w:pPr>
      <w:r>
        <w:t xml:space="preserve">Security Controls Traceability Matrix (SCTM) — control-by-control implementation and assessment results</w:t>
      </w:r>
    </w:p>
    <w:p>
      <w:pPr>
        <w:pStyle w:val="ListParagraph"/>
        <w:numPr>
          <w:ilvl w:val="0"/>
          <w:numId w:val="2"/>
        </w:numPr>
        <w:spacing w:after="80"/>
      </w:pPr>
      <w:r>
        <w:t xml:space="preserve">Security Assessment Report (SAR) — independent assessment findings and risk determinations</w:t>
      </w:r>
    </w:p>
    <w:p>
      <w:pPr>
        <w:pStyle w:val="ListParagraph"/>
        <w:numPr>
          <w:ilvl w:val="0"/>
          <w:numId w:val="2"/>
        </w:numPr>
        <w:spacing w:after="80"/>
      </w:pPr>
      <w:r>
        <w:t xml:space="preserve">Plan of Action and Milestones (POA&amp;M) — tracked remediation of identified weaknesses</w:t>
      </w:r>
    </w:p>
    <w:p>
      <w:pPr>
        <w:pStyle w:val="ListParagraph"/>
        <w:numPr>
          <w:ilvl w:val="0"/>
          <w:numId w:val="2"/>
        </w:numPr>
        <w:spacing w:after="80"/>
      </w:pPr>
      <w:r>
        <w:t xml:space="preserve">Contingency Plan, Incident Response Plan, and Configuration Management Plan — maintained separately and referenced by their respective control families</w:t>
      </w:r>
    </w:p>
    <w:p>
      <w:pPr>
        <w:pStyle w:val="Heading1"/>
        <w:spacing w:after="160" w:before="320"/>
      </w:pPr>
      <w:r>
        <w:rPr>
          <w:b/>
          <w:bCs/>
          <w:color w:val="1F3864"/>
        </w:rPr>
        <w:t xml:space="preserve">10. Document Revision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900"/>
        <w:gridCol w:w="3150"/>
      </w:tblGrid>
      <w:tr>
        <w:tc>
          <w:tcPr>
            <w:tcW w:type="dxa" w:w="1400"/>
            <w:shd w:fill="1F3864" w:val="clear"/>
            <w:tcMar>
              <w:top w:type="dxa" w:w="80"/>
              <w:left w:type="dxa" w:w="100"/>
              <w:bottom w:type="dxa" w:w="80"/>
              <w:right w:type="dxa" w:w="100"/>
            </w:tcMar>
          </w:tcPr>
          <w:p>
            <w:r>
              <w:rPr>
                <w:b/>
                <w:bCs/>
                <w:color w:val="FFFFFF"/>
                <w:sz w:val="18"/>
                <w:szCs w:val="18"/>
              </w:rPr>
              <w:t xml:space="preserve">Version</w:t>
            </w:r>
          </w:p>
        </w:tc>
        <w:tc>
          <w:tcPr>
            <w:tcW w:type="dxa" w:w="1900"/>
            <w:shd w:fill="1F3864" w:val="clear"/>
            <w:tcMar>
              <w:top w:type="dxa" w:w="80"/>
              <w:left w:type="dxa" w:w="100"/>
              <w:bottom w:type="dxa" w:w="80"/>
              <w:right w:type="dxa" w:w="100"/>
            </w:tcMar>
          </w:tcPr>
          <w:p>
            <w:r>
              <w:rPr>
                <w:b/>
                <w:bCs/>
                <w:color w:val="FFFFFF"/>
                <w:sz w:val="18"/>
                <w:szCs w:val="18"/>
              </w:rPr>
              <w:t xml:space="preserve">Date</w:t>
            </w:r>
          </w:p>
        </w:tc>
        <w:tc>
          <w:tcPr>
            <w:tcW w:type="dxa" w:w="2900"/>
            <w:shd w:fill="1F3864" w:val="clear"/>
            <w:tcMar>
              <w:top w:type="dxa" w:w="80"/>
              <w:left w:type="dxa" w:w="100"/>
              <w:bottom w:type="dxa" w:w="80"/>
              <w:right w:type="dxa" w:w="100"/>
            </w:tcMar>
          </w:tcPr>
          <w:p>
            <w:r>
              <w:rPr>
                <w:b/>
                <w:bCs/>
                <w:color w:val="FFFFFF"/>
                <w:sz w:val="18"/>
                <w:szCs w:val="18"/>
              </w:rPr>
              <w:t xml:space="preserve">Author</w:t>
            </w:r>
          </w:p>
        </w:tc>
        <w:tc>
          <w:tcPr>
            <w:tcW w:type="dxa" w:w="3150"/>
            <w:shd w:fill="1F3864" w:val="clear"/>
            <w:tcMar>
              <w:top w:type="dxa" w:w="80"/>
              <w:left w:type="dxa" w:w="100"/>
              <w:bottom w:type="dxa" w:w="80"/>
              <w:right w:type="dxa" w:w="100"/>
            </w:tcMar>
          </w:tcPr>
          <w:p>
            <w:r>
              <w:rPr>
                <w:b/>
                <w:bCs/>
                <w:color w:val="FFFFFF"/>
                <w:sz w:val="18"/>
                <w:szCs w:val="18"/>
              </w:rPr>
              <w:t xml:space="preserve">Summary of Changes</w:t>
            </w:r>
          </w:p>
        </w:tc>
      </w:tr>
      <w:tr>
        <w:tc>
          <w:tcPr>
            <w:tcW w:type="dxa" w:w="1400"/>
            <w:tcMar>
              <w:top w:type="dxa" w:w="80"/>
              <w:left w:type="dxa" w:w="100"/>
              <w:bottom w:type="dxa" w:w="80"/>
              <w:right w:type="dxa" w:w="100"/>
            </w:tcMar>
          </w:tcPr>
          <w:p>
            <w:r>
              <w:rPr>
                <w:b w:val="false"/>
                <w:bCs w:val="false"/>
                <w:color w:val="000000"/>
                <w:sz w:val="18"/>
                <w:szCs w:val="18"/>
              </w:rPr>
              <w:t xml:space="preserve">1.0</w:t>
            </w:r>
          </w:p>
        </w:tc>
        <w:tc>
          <w:tcPr>
            <w:tcW w:type="dxa" w:w="1900"/>
            <w:tcMar>
              <w:top w:type="dxa" w:w="80"/>
              <w:left w:type="dxa" w:w="100"/>
              <w:bottom w:type="dxa" w:w="80"/>
              <w:right w:type="dxa" w:w="100"/>
            </w:tcMar>
          </w:tcPr>
          <w:p>
            <w:r>
              <w:rPr>
                <w:b w:val="false"/>
                <w:bCs w:val="false"/>
                <w:color w:val="000000"/>
                <w:sz w:val="18"/>
                <w:szCs w:val="18"/>
              </w:rPr>
              <w:t>2025-07-30</w:t>
            </w:r>
          </w:p>
        </w:tc>
        <w:tc>
          <w:tcPr>
            <w:tcW w:type="dxa" w:w="2900"/>
            <w:tcMar>
              <w:top w:type="dxa" w:w="80"/>
              <w:left w:type="dxa" w:w="100"/>
              <w:bottom w:type="dxa" w:w="80"/>
              <w:right w:type="dxa" w:w="100"/>
            </w:tcMar>
          </w:tcPr>
          <w:p>
            <w:r>
              <w:rPr>
                <w:b w:val="false"/>
                <w:bCs w:val="false"/>
                <w:color w:val="000000"/>
                <w:sz w:val="18"/>
                <w:szCs w:val="18"/>
              </w:rPr>
              <w:t xml:space="preserve">C. Morrissey, ISSO</w:t>
            </w:r>
          </w:p>
        </w:tc>
        <w:tc>
          <w:tcPr>
            <w:tcW w:type="dxa" w:w="3150"/>
            <w:tcMar>
              <w:top w:type="dxa" w:w="80"/>
              <w:left w:type="dxa" w:w="100"/>
              <w:bottom w:type="dxa" w:w="80"/>
              <w:right w:type="dxa" w:w="100"/>
            </w:tcMar>
          </w:tcPr>
          <w:p>
            <w:r>
              <w:rPr>
                <w:b w:val="false"/>
                <w:bCs w:val="false"/>
                <w:color w:val="000000"/>
                <w:sz w:val="18"/>
                <w:szCs w:val="18"/>
              </w:rPr>
              <w:t xml:space="preserve">Initial SSP issuance for FedRAMP Moderate authorization</w:t>
            </w:r>
          </w:p>
        </w:tc>
      </w:tr>
      <w:tr>
        <w:tc>
          <w:tcPr>
            <w:tcW w:type="dxa" w:w="1400"/>
            <w:tcMar>
              <w:top w:type="dxa" w:w="80"/>
              <w:left w:type="dxa" w:w="100"/>
              <w:bottom w:type="dxa" w:w="80"/>
              <w:right w:type="dxa" w:w="100"/>
            </w:tcMar>
          </w:tcPr>
          <w:p>
            <w:r>
              <w:rPr>
                <w:b w:val="false"/>
                <w:bCs w:val="false"/>
                <w:color w:val="000000"/>
                <w:sz w:val="18"/>
                <w:szCs w:val="18"/>
              </w:rPr>
              <w:t xml:space="preserve">2.0</w:t>
            </w:r>
          </w:p>
        </w:tc>
        <w:tc>
          <w:tcPr>
            <w:tcW w:type="dxa" w:w="1900"/>
            <w:tcMar>
              <w:top w:type="dxa" w:w="80"/>
              <w:left w:type="dxa" w:w="100"/>
              <w:bottom w:type="dxa" w:w="80"/>
              <w:right w:type="dxa" w:w="100"/>
            </w:tcMar>
          </w:tcPr>
          <w:p>
            <w:r>
              <w:rPr>
                <w:b w:val="false"/>
                <w:bCs w:val="false"/>
                <w:color w:val="000000"/>
                <w:sz w:val="18"/>
                <w:szCs w:val="18"/>
              </w:rPr>
              <w:t>2026-01-07</w:t>
            </w:r>
          </w:p>
        </w:tc>
        <w:tc>
          <w:tcPr>
            <w:tcW w:type="dxa" w:w="2900"/>
            <w:tcMar>
              <w:top w:type="dxa" w:w="80"/>
              <w:left w:type="dxa" w:w="100"/>
              <w:bottom w:type="dxa" w:w="80"/>
              <w:right w:type="dxa" w:w="100"/>
            </w:tcMar>
          </w:tcPr>
          <w:p>
            <w:r>
              <w:rPr>
                <w:b w:val="false"/>
                <w:bCs w:val="false"/>
                <w:color w:val="000000"/>
                <w:sz w:val="18"/>
                <w:szCs w:val="18"/>
              </w:rPr>
              <w:t xml:space="preserve">C. Morrissey, ISSO</w:t>
            </w:r>
          </w:p>
        </w:tc>
        <w:tc>
          <w:tcPr>
            <w:tcW w:type="dxa" w:w="3150"/>
            <w:tcMar>
              <w:top w:type="dxa" w:w="80"/>
              <w:left w:type="dxa" w:w="100"/>
              <w:bottom w:type="dxa" w:w="80"/>
              <w:right w:type="dxa" w:w="100"/>
            </w:tcMar>
          </w:tcPr>
          <w:p>
            <w:r>
              <w:rPr>
                <w:b w:val="false"/>
                <w:bCs w:val="false"/>
                <w:color w:val="000000"/>
                <w:sz w:val="18"/>
                <w:szCs w:val="18"/>
              </w:rPr>
              <w:t xml:space="preserve">Updated authorization boundary following Login.gov integration; added external interconnection detail</w:t>
            </w:r>
          </w:p>
        </w:tc>
      </w:tr>
      <w:tr>
        <w:tc>
          <w:tcPr>
            <w:tcW w:type="dxa" w:w="1400"/>
            <w:tcMar>
              <w:top w:type="dxa" w:w="80"/>
              <w:left w:type="dxa" w:w="100"/>
              <w:bottom w:type="dxa" w:w="80"/>
              <w:right w:type="dxa" w:w="100"/>
            </w:tcMar>
          </w:tcPr>
          <w:p>
            <w:r>
              <w:rPr>
                <w:b w:val="false"/>
                <w:bCs w:val="false"/>
                <w:color w:val="000000"/>
                <w:sz w:val="18"/>
                <w:szCs w:val="18"/>
              </w:rPr>
              <w:t xml:space="preserve">2.1</w:t>
            </w:r>
          </w:p>
        </w:tc>
        <w:tc>
          <w:tcPr>
            <w:tcW w:type="dxa" w:w="1900"/>
            <w:tcMar>
              <w:top w:type="dxa" w:w="80"/>
              <w:left w:type="dxa" w:w="100"/>
              <w:bottom w:type="dxa" w:w="80"/>
              <w:right w:type="dxa" w:w="100"/>
            </w:tcMar>
          </w:tcPr>
          <w:p>
            <w:r>
              <w:rPr>
                <w:b w:val="false"/>
                <w:bCs w:val="false"/>
                <w:color w:val="000000"/>
                <w:sz w:val="18"/>
                <w:szCs w:val="18"/>
              </w:rPr>
              <w:t>2026-03-19</w:t>
            </w:r>
          </w:p>
        </w:tc>
        <w:tc>
          <w:tcPr>
            <w:tcW w:type="dxa" w:w="2900"/>
            <w:tcMar>
              <w:top w:type="dxa" w:w="80"/>
              <w:left w:type="dxa" w:w="100"/>
              <w:bottom w:type="dxa" w:w="80"/>
              <w:right w:type="dxa" w:w="100"/>
            </w:tcMar>
          </w:tcPr>
          <w:p>
            <w:r>
              <w:rPr>
                <w:b w:val="false"/>
                <w:bCs w:val="false"/>
                <w:color w:val="000000"/>
                <w:sz w:val="18"/>
                <w:szCs w:val="18"/>
              </w:rPr>
              <w:t xml:space="preserve">C. Morrissey, ISSO</w:t>
            </w:r>
          </w:p>
        </w:tc>
        <w:tc>
          <w:tcPr>
            <w:tcW w:type="dxa" w:w="3150"/>
            <w:tcMar>
              <w:top w:type="dxa" w:w="80"/>
              <w:left w:type="dxa" w:w="100"/>
              <w:bottom w:type="dxa" w:w="80"/>
              <w:right w:type="dxa" w:w="100"/>
            </w:tcMar>
          </w:tcPr>
          <w:p>
            <w:r>
              <w:rPr>
                <w:b w:val="false"/>
                <w:bCs w:val="false"/>
                <w:color w:val="000000"/>
                <w:sz w:val="18"/>
                <w:szCs w:val="18"/>
              </w:rPr>
              <w:t xml:space="preserve">Incorporated 3PAO assessment results; updated control implementation statuses and linked POA&amp;M identifiers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Controlled Unclassified Information (CUI)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Tailspin Civic Systems, Inc. — AwardWorks System Security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Morrissey</dc:creator>
  <cp:lastModifiedBy>Chris Morrissey</cp:lastModifiedBy>
  <cp:revision>1</cp:revision>
  <dcterms:created xsi:type="dcterms:W3CDTF">2025-07-14T13:30:00Z</dcterms:created>
  <dcterms:modified xsi:type="dcterms:W3CDTF">2026-03-19T19:44:00Z</dcterms:modified>
</cp:coreProperties>
</file>

<file path=docProps/custom.xml><?xml version="1.0" encoding="utf-8"?>
<Properties xmlns="http://schemas.openxmlformats.org/officeDocument/2006/custom-properties" xmlns:vt="http://schemas.openxmlformats.org/officeDocument/2006/docPropsVTypes"/>
</file>