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INCIDENT RESPONSE TABLETOP EXERCISE</w:t>
      </w:r>
    </w:p>
    <w:p>
      <w:pPr>
        <w:spacing w:after="60"/>
        <w:jc w:val="center"/>
      </w:pPr>
      <w:r>
        <w:rPr>
          <w:b/>
          <w:bCs/>
          <w:color w:val="1F3864"/>
          <w:sz w:val="28"/>
          <w:szCs w:val="28"/>
        </w:rPr>
        <w:t xml:space="preserve">After-Action Report (AAR)</w:t>
      </w:r>
    </w:p>
    <w:p>
      <w:pPr>
        <w:spacing w:after="40"/>
        <w:jc w:val="center"/>
      </w:pPr>
      <w:r>
        <w:rPr>
          <w:i/>
          <w:iCs/>
          <w:color w:val="595959"/>
          <w:sz w:val="20"/>
          <w:szCs w:val="20"/>
        </w:rPr>
        <w:t xml:space="preserve">Exercise Name: OPERATION QUIET LEDGER | Exercise Date: 2026-05-28</w:t>
      </w:r>
    </w:p>
    <w:p>
      <w:pPr>
        <w:spacing w:after="40"/>
        <w:jc w:val="center"/>
      </w:pPr>
      <w:r>
        <w:rPr>
          <w:i/>
          <w:iCs/>
          <w:color w:val="595959"/>
          <w:sz w:val="20"/>
          <w:szCs w:val="20"/>
        </w:rPr>
        <w:t xml:space="preserve">Tailspin Civic Systems, Inc. | AwardWorks Platform | Prepared by: Chris Morrissey, ISSO</w:t>
      </w:r>
    </w:p>
    <w:p>
      <w:pPr>
        <w:spacing w:after="280"/>
        <w:jc w:val="center"/>
      </w:pPr>
      <w:r>
        <w:rPr>
          <w:i/>
          <w:iCs/>
          <w:color w:val="AAAAAA"/>
          <w:sz w:val="18"/>
          <w:szCs w:val="18"/>
        </w:rPr>
        <w:t>Fictional organization. Created for portfolio demonstration purposes.</w:t>
      </w:r>
    </w:p>
    <w:p>
      <w:pPr>
        <w:pStyle w:val="Heading1"/>
        <w:spacing w:after="160" w:before="320"/>
      </w:pPr>
      <w:r>
        <w:rPr>
          <w:b/>
          <w:bCs/>
          <w:color w:val="1F3864"/>
        </w:rPr>
        <w:t xml:space="preserve">1. Exercise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Mar>
              <w:top w:type="dxa" w:w="80"/>
              <w:left w:type="dxa" w:w="100"/>
              <w:bottom w:type="dxa" w:w="80"/>
              <w:right w:type="dxa" w:w="100"/>
            </w:tcMar>
          </w:tcPr>
          <w:p>
            <w:r>
              <w:rPr>
                <w:b w:val="false"/>
                <w:bCs w:val="false"/>
                <w:color w:val="000000"/>
                <w:sz w:val="18"/>
                <w:szCs w:val="18"/>
              </w:rPr>
              <w:t xml:space="preserve">Exercise Name</w:t>
            </w:r>
          </w:p>
        </w:tc>
        <w:tc>
          <w:tcPr>
            <w:tcW w:type="dxa" w:w="6750"/>
            <w:tcMar>
              <w:top w:type="dxa" w:w="80"/>
              <w:left w:type="dxa" w:w="100"/>
              <w:bottom w:type="dxa" w:w="80"/>
              <w:right w:type="dxa" w:w="100"/>
            </w:tcMar>
          </w:tcPr>
          <w:p>
            <w:r>
              <w:rPr>
                <w:b w:val="false"/>
                <w:bCs w:val="false"/>
                <w:color w:val="000000"/>
                <w:sz w:val="18"/>
                <w:szCs w:val="18"/>
              </w:rPr>
              <w:t xml:space="preserve">OPERATION QUIET LEDGER</w:t>
            </w:r>
          </w:p>
        </w:tc>
      </w:tr>
      <w:tr>
        <w:tc>
          <w:tcPr>
            <w:tcW w:type="dxa" w:w="2600"/>
            <w:tcMar>
              <w:top w:type="dxa" w:w="80"/>
              <w:left w:type="dxa" w:w="100"/>
              <w:bottom w:type="dxa" w:w="80"/>
              <w:right w:type="dxa" w:w="100"/>
            </w:tcMar>
          </w:tcPr>
          <w:p>
            <w:r>
              <w:rPr>
                <w:b w:val="false"/>
                <w:bCs w:val="false"/>
                <w:color w:val="000000"/>
                <w:sz w:val="18"/>
                <w:szCs w:val="18"/>
              </w:rPr>
              <w:t xml:space="preserve">Exercise Type</w:t>
            </w:r>
          </w:p>
        </w:tc>
        <w:tc>
          <w:tcPr>
            <w:tcW w:type="dxa" w:w="6750"/>
            <w:tcMar>
              <w:top w:type="dxa" w:w="80"/>
              <w:left w:type="dxa" w:w="100"/>
              <w:bottom w:type="dxa" w:w="80"/>
              <w:right w:type="dxa" w:w="100"/>
            </w:tcMar>
          </w:tcPr>
          <w:p>
            <w:r>
              <w:rPr>
                <w:b w:val="false"/>
                <w:bCs w:val="false"/>
                <w:color w:val="000000"/>
                <w:sz w:val="18"/>
                <w:szCs w:val="18"/>
              </w:rPr>
              <w:t xml:space="preserve">Discussion-based tabletop exercise (TTX)</w:t>
            </w:r>
          </w:p>
        </w:tc>
      </w:tr>
      <w:tr>
        <w:tc>
          <w:tcPr>
            <w:tcW w:type="dxa" w:w="2600"/>
            <w:tcMar>
              <w:top w:type="dxa" w:w="80"/>
              <w:left w:type="dxa" w:w="100"/>
              <w:bottom w:type="dxa" w:w="80"/>
              <w:right w:type="dxa" w:w="100"/>
            </w:tcMar>
          </w:tcPr>
          <w:p>
            <w:r>
              <w:rPr>
                <w:b w:val="false"/>
                <w:bCs w:val="false"/>
                <w:color w:val="000000"/>
                <w:sz w:val="18"/>
                <w:szCs w:val="18"/>
              </w:rPr>
              <w:t xml:space="preserve">Date and Duration</w:t>
            </w:r>
          </w:p>
        </w:tc>
        <w:tc>
          <w:tcPr>
            <w:tcW w:type="dxa" w:w="6750"/>
            <w:tcMar>
              <w:top w:type="dxa" w:w="80"/>
              <w:left w:type="dxa" w:w="100"/>
              <w:bottom w:type="dxa" w:w="80"/>
              <w:right w:type="dxa" w:w="100"/>
            </w:tcMar>
          </w:tcPr>
          <w:p>
            <w:r>
              <w:rPr>
                <w:b w:val="false"/>
                <w:bCs w:val="false"/>
                <w:color w:val="000000"/>
                <w:sz w:val="18"/>
                <w:szCs w:val="18"/>
              </w:rPr>
              <w:t xml:space="preserve">2026-05-28, 3 hours (13:00–16:00 ET)</w:t>
            </w:r>
          </w:p>
        </w:tc>
      </w:tr>
      <w:tr>
        <w:tc>
          <w:tcPr>
            <w:tcW w:type="dxa" w:w="2600"/>
            <w:tcMar>
              <w:top w:type="dxa" w:w="80"/>
              <w:left w:type="dxa" w:w="100"/>
              <w:bottom w:type="dxa" w:w="80"/>
              <w:right w:type="dxa" w:w="100"/>
            </w:tcMar>
          </w:tcPr>
          <w:p>
            <w:r>
              <w:rPr>
                <w:b w:val="false"/>
                <w:bCs w:val="false"/>
                <w:color w:val="000000"/>
                <w:sz w:val="18"/>
                <w:szCs w:val="18"/>
              </w:rPr>
              <w:t xml:space="preserve">Scenario Theme</w:t>
            </w:r>
          </w:p>
        </w:tc>
        <w:tc>
          <w:tcPr>
            <w:tcW w:type="dxa" w:w="6750"/>
            <w:tcMar>
              <w:top w:type="dxa" w:w="80"/>
              <w:left w:type="dxa" w:w="100"/>
              <w:bottom w:type="dxa" w:w="80"/>
              <w:right w:type="dxa" w:w="100"/>
            </w:tcMar>
          </w:tcPr>
          <w:p>
            <w:r>
              <w:rPr>
                <w:b w:val="false"/>
                <w:bCs w:val="false"/>
                <w:color w:val="000000"/>
                <w:sz w:val="18"/>
                <w:szCs w:val="18"/>
              </w:rPr>
              <w:t xml:space="preserve">Compromised agency administrator credential leading to suspected unauthorized access to grant applicant PII</w:t>
            </w:r>
          </w:p>
        </w:tc>
      </w:tr>
      <w:tr>
        <w:tc>
          <w:tcPr>
            <w:tcW w:type="dxa" w:w="2600"/>
            <w:tcMar>
              <w:top w:type="dxa" w:w="80"/>
              <w:left w:type="dxa" w:w="100"/>
              <w:bottom w:type="dxa" w:w="80"/>
              <w:right w:type="dxa" w:w="100"/>
            </w:tcMar>
          </w:tcPr>
          <w:p>
            <w:r>
              <w:rPr>
                <w:b w:val="false"/>
                <w:bCs w:val="false"/>
                <w:color w:val="000000"/>
                <w:sz w:val="18"/>
                <w:szCs w:val="18"/>
              </w:rPr>
              <w:t xml:space="preserve">Primary Objective</w:t>
            </w:r>
          </w:p>
        </w:tc>
        <w:tc>
          <w:tcPr>
            <w:tcW w:type="dxa" w:w="6750"/>
            <w:tcMar>
              <w:top w:type="dxa" w:w="80"/>
              <w:left w:type="dxa" w:w="100"/>
              <w:bottom w:type="dxa" w:w="80"/>
              <w:right w:type="dxa" w:w="100"/>
            </w:tcMar>
          </w:tcPr>
          <w:p>
            <w:r>
              <w:rPr>
                <w:b w:val="false"/>
                <w:bCs w:val="false"/>
                <w:color w:val="000000"/>
                <w:sz w:val="18"/>
                <w:szCs w:val="18"/>
              </w:rPr>
              <w:t xml:space="preserve">Validate the organization's ability to meet the one-hour US-CERT and agency ISSO notification requirement, including after-hours escalation</w:t>
            </w:r>
          </w:p>
        </w:tc>
      </w:tr>
      <w:tr>
        <w:tc>
          <w:tcPr>
            <w:tcW w:type="dxa" w:w="2600"/>
            <w:tcMar>
              <w:top w:type="dxa" w:w="80"/>
              <w:left w:type="dxa" w:w="100"/>
              <w:bottom w:type="dxa" w:w="80"/>
              <w:right w:type="dxa" w:w="100"/>
            </w:tcMar>
          </w:tcPr>
          <w:p>
            <w:r>
              <w:rPr>
                <w:b w:val="false"/>
                <w:bCs w:val="false"/>
                <w:color w:val="000000"/>
                <w:sz w:val="18"/>
                <w:szCs w:val="18"/>
              </w:rPr>
              <w:t xml:space="preserve">Driving Requirement</w:t>
            </w:r>
          </w:p>
        </w:tc>
        <w:tc>
          <w:tcPr>
            <w:tcW w:type="dxa" w:w="6750"/>
            <w:tcMar>
              <w:top w:type="dxa" w:w="80"/>
              <w:left w:type="dxa" w:w="100"/>
              <w:bottom w:type="dxa" w:w="80"/>
              <w:right w:type="dxa" w:w="100"/>
            </w:tcMar>
          </w:tcPr>
          <w:p>
            <w:r>
              <w:rPr>
                <w:b w:val="false"/>
                <w:bCs w:val="false"/>
                <w:color w:val="000000"/>
                <w:sz w:val="18"/>
                <w:szCs w:val="18"/>
              </w:rPr>
              <w:t xml:space="preserve">SAR finding FIND-006 / POA&amp;M item V-006</w:t>
            </w:r>
          </w:p>
        </w:tc>
      </w:tr>
      <w:tr>
        <w:tc>
          <w:tcPr>
            <w:tcW w:type="dxa" w:w="2600"/>
            <w:tcMar>
              <w:top w:type="dxa" w:w="80"/>
              <w:left w:type="dxa" w:w="100"/>
              <w:bottom w:type="dxa" w:w="80"/>
              <w:right w:type="dxa" w:w="100"/>
            </w:tcMar>
          </w:tcPr>
          <w:p>
            <w:r>
              <w:rPr>
                <w:b w:val="false"/>
                <w:bCs w:val="false"/>
                <w:color w:val="000000"/>
                <w:sz w:val="18"/>
                <w:szCs w:val="18"/>
              </w:rPr>
              <w:t xml:space="preserve">Controls Exercised</w:t>
            </w:r>
          </w:p>
        </w:tc>
        <w:tc>
          <w:tcPr>
            <w:tcW w:type="dxa" w:w="6750"/>
            <w:tcMar>
              <w:top w:type="dxa" w:w="80"/>
              <w:left w:type="dxa" w:w="100"/>
              <w:bottom w:type="dxa" w:w="80"/>
              <w:right w:type="dxa" w:w="100"/>
            </w:tcMar>
          </w:tcPr>
          <w:p>
            <w:r>
              <w:rPr>
                <w:b w:val="false"/>
                <w:bCs w:val="false"/>
                <w:color w:val="000000"/>
                <w:sz w:val="18"/>
                <w:szCs w:val="18"/>
              </w:rPr>
              <w:t xml:space="preserve">IR-4 (Incident Handling), IR-6 (Incident Reporting), IR-8 (Incident Response Plan), AC-2, AU-6</w:t>
            </w:r>
          </w:p>
        </w:tc>
      </w:tr>
      <w:tr>
        <w:tc>
          <w:tcPr>
            <w:tcW w:type="dxa" w:w="2600"/>
            <w:tcMar>
              <w:top w:type="dxa" w:w="80"/>
              <w:left w:type="dxa" w:w="100"/>
              <w:bottom w:type="dxa" w:w="80"/>
              <w:right w:type="dxa" w:w="100"/>
            </w:tcMar>
          </w:tcPr>
          <w:p>
            <w:r>
              <w:rPr>
                <w:b w:val="false"/>
                <w:bCs w:val="false"/>
                <w:color w:val="000000"/>
                <w:sz w:val="18"/>
                <w:szCs w:val="18"/>
              </w:rPr>
              <w:t xml:space="preserve">Facilitator</w:t>
            </w:r>
          </w:p>
        </w:tc>
        <w:tc>
          <w:tcPr>
            <w:tcW w:type="dxa" w:w="6750"/>
            <w:tcMar>
              <w:top w:type="dxa" w:w="80"/>
              <w:left w:type="dxa" w:w="100"/>
              <w:bottom w:type="dxa" w:w="80"/>
              <w:right w:type="dxa" w:w="100"/>
            </w:tcMar>
          </w:tcPr>
          <w:p>
            <w:r>
              <w:rPr>
                <w:b w:val="false"/>
                <w:bCs w:val="false"/>
                <w:color w:val="000000"/>
                <w:sz w:val="18"/>
                <w:szCs w:val="18"/>
              </w:rPr>
              <w:t xml:space="preserve">ISSO (exercise design and control)</w:t>
            </w:r>
          </w:p>
        </w:tc>
      </w:tr>
      <w:tr>
        <w:tc>
          <w:tcPr>
            <w:tcW w:type="dxa" w:w="2600"/>
            <w:tcMar>
              <w:top w:type="dxa" w:w="80"/>
              <w:left w:type="dxa" w:w="100"/>
              <w:bottom w:type="dxa" w:w="80"/>
              <w:right w:type="dxa" w:w="100"/>
            </w:tcMar>
          </w:tcPr>
          <w:p>
            <w:r>
              <w:rPr>
                <w:b w:val="false"/>
                <w:bCs w:val="false"/>
                <w:color w:val="000000"/>
                <w:sz w:val="18"/>
                <w:szCs w:val="18"/>
              </w:rPr>
              <w:t xml:space="preserve">Evaluators</w:t>
            </w:r>
          </w:p>
        </w:tc>
        <w:tc>
          <w:tcPr>
            <w:tcW w:type="dxa" w:w="6750"/>
            <w:tcMar>
              <w:top w:type="dxa" w:w="80"/>
              <w:left w:type="dxa" w:w="100"/>
              <w:bottom w:type="dxa" w:w="80"/>
              <w:right w:type="dxa" w:w="100"/>
            </w:tcMar>
          </w:tcPr>
          <w:p>
            <w:r>
              <w:rPr>
                <w:b w:val="false"/>
                <w:bCs w:val="false"/>
                <w:color w:val="000000"/>
                <w:sz w:val="18"/>
                <w:szCs w:val="18"/>
              </w:rPr>
              <w:t xml:space="preserve">Two independent observers: Security Operations Manager (non-participant) and outside counsel</w:t>
            </w:r>
          </w:p>
        </w:tc>
      </w:tr>
      <w:tr>
        <w:tc>
          <w:tcPr>
            <w:tcW w:type="dxa" w:w="2600"/>
            <w:tcMar>
              <w:top w:type="dxa" w:w="80"/>
              <w:left w:type="dxa" w:w="100"/>
              <w:bottom w:type="dxa" w:w="80"/>
              <w:right w:type="dxa" w:w="100"/>
            </w:tcMar>
          </w:tcPr>
          <w:p>
            <w:r>
              <w:rPr>
                <w:b w:val="false"/>
                <w:bCs w:val="false"/>
                <w:color w:val="000000"/>
                <w:sz w:val="18"/>
                <w:szCs w:val="18"/>
              </w:rPr>
              <w:t xml:space="preserve">Classification</w:t>
            </w:r>
          </w:p>
        </w:tc>
        <w:tc>
          <w:tcPr>
            <w:tcW w:type="dxa" w:w="6750"/>
            <w:tcMar>
              <w:top w:type="dxa" w:w="80"/>
              <w:left w:type="dxa" w:w="100"/>
              <w:bottom w:type="dxa" w:w="80"/>
              <w:right w:type="dxa" w:w="100"/>
            </w:tcMar>
          </w:tcPr>
          <w:p>
            <w:r>
              <w:rPr>
                <w:b w:val="false"/>
                <w:bCs w:val="false"/>
                <w:color w:val="000000"/>
                <w:sz w:val="18"/>
                <w:szCs w:val="18"/>
              </w:rPr>
              <w:t xml:space="preserve">Controlled Unclassified Information (CUI)</w:t>
            </w:r>
          </w:p>
        </w:tc>
      </w:tr>
    </w:tbl>
    <w:p>
      <w:pPr>
        <w:pStyle w:val="Heading1"/>
        <w:spacing w:after="160" w:before="320"/>
      </w:pPr>
      <w:r>
        <w:rPr>
          <w:b/>
          <w:bCs/>
          <w:color w:val="1F3864"/>
        </w:rPr>
        <w:t xml:space="preserve">2. Exercise Objectives</w:t>
      </w:r>
    </w:p>
    <w:p>
      <w:pPr>
        <w:spacing w:after="160"/>
      </w:pPr>
      <w:r>
        <w:t xml:space="preserve">The exercise was designed around four measurable objectives, each with defined success criteria established before execution.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F3864" w:val="clear"/>
            <w:tcMar>
              <w:top w:type="dxa" w:w="80"/>
              <w:left w:type="dxa" w:w="100"/>
              <w:bottom w:type="dxa" w:w="80"/>
              <w:right w:type="dxa" w:w="100"/>
            </w:tcMar>
          </w:tcPr>
          <w:p>
            <w:r>
              <w:rPr>
                <w:b/>
                <w:bCs/>
                <w:color w:val="FFFFFF"/>
                <w:sz w:val="18"/>
                <w:szCs w:val="18"/>
              </w:rPr>
              <w:t xml:space="preserve">#</w:t>
            </w:r>
          </w:p>
        </w:tc>
        <w:tc>
          <w:tcPr>
            <w:tcW w:type="dxa" w:w="4300"/>
            <w:shd w:fill="1F3864" w:val="clear"/>
            <w:tcMar>
              <w:top w:type="dxa" w:w="80"/>
              <w:left w:type="dxa" w:w="100"/>
              <w:bottom w:type="dxa" w:w="80"/>
              <w:right w:type="dxa" w:w="100"/>
            </w:tcMar>
          </w:tcPr>
          <w:p>
            <w:r>
              <w:rPr>
                <w:b/>
                <w:bCs/>
                <w:color w:val="FFFFFF"/>
                <w:sz w:val="18"/>
                <w:szCs w:val="18"/>
              </w:rPr>
              <w:t xml:space="preserve">Objective</w:t>
            </w:r>
          </w:p>
        </w:tc>
        <w:tc>
          <w:tcPr>
            <w:tcW w:type="dxa" w:w="3850"/>
            <w:shd w:fill="1F3864" w:val="clear"/>
            <w:tcMar>
              <w:top w:type="dxa" w:w="80"/>
              <w:left w:type="dxa" w:w="100"/>
              <w:bottom w:type="dxa" w:w="80"/>
              <w:right w:type="dxa" w:w="100"/>
            </w:tcMar>
          </w:tcPr>
          <w:p>
            <w:r>
              <w:rPr>
                <w:b/>
                <w:bCs/>
                <w:color w:val="FFFFFF"/>
                <w:sz w:val="18"/>
                <w:szCs w:val="18"/>
              </w:rPr>
              <w:t xml:space="preserve">Success Criteria</w:t>
            </w:r>
          </w:p>
        </w:tc>
      </w:tr>
      <w:tr>
        <w:tc>
          <w:tcPr>
            <w:tcW w:type="dxa" w:w="1200"/>
            <w:tcMar>
              <w:top w:type="dxa" w:w="80"/>
              <w:left w:type="dxa" w:w="100"/>
              <w:bottom w:type="dxa" w:w="80"/>
              <w:right w:type="dxa" w:w="100"/>
            </w:tcMar>
          </w:tcPr>
          <w:p>
            <w:r>
              <w:rPr>
                <w:b w:val="false"/>
                <w:bCs w:val="false"/>
                <w:color w:val="000000"/>
                <w:sz w:val="18"/>
                <w:szCs w:val="18"/>
              </w:rPr>
              <w:t xml:space="preserve">1</w:t>
            </w:r>
          </w:p>
        </w:tc>
        <w:tc>
          <w:tcPr>
            <w:tcW w:type="dxa" w:w="4300"/>
            <w:tcMar>
              <w:top w:type="dxa" w:w="80"/>
              <w:left w:type="dxa" w:w="100"/>
              <w:bottom w:type="dxa" w:w="80"/>
              <w:right w:type="dxa" w:w="100"/>
            </w:tcMar>
          </w:tcPr>
          <w:p>
            <w:r>
              <w:rPr>
                <w:b w:val="false"/>
                <w:bCs w:val="false"/>
                <w:color w:val="000000"/>
                <w:sz w:val="18"/>
                <w:szCs w:val="18"/>
              </w:rPr>
              <w:t xml:space="preserve">Validate the one-hour external notification timeline</w:t>
            </w:r>
          </w:p>
        </w:tc>
        <w:tc>
          <w:tcPr>
            <w:tcW w:type="dxa" w:w="3850"/>
            <w:tcMar>
              <w:top w:type="dxa" w:w="80"/>
              <w:left w:type="dxa" w:w="100"/>
              <w:bottom w:type="dxa" w:w="80"/>
              <w:right w:type="dxa" w:w="100"/>
            </w:tcMar>
          </w:tcPr>
          <w:p>
            <w:r>
              <w:rPr>
                <w:b w:val="false"/>
                <w:bCs w:val="false"/>
                <w:color w:val="000000"/>
                <w:sz w:val="18"/>
                <w:szCs w:val="18"/>
              </w:rPr>
              <w:t xml:space="preserve">Notification decision made and draft notification prepared within 60 minutes of incident determination</w:t>
            </w:r>
          </w:p>
        </w:tc>
      </w:tr>
      <w:tr>
        <w:tc>
          <w:tcPr>
            <w:tcW w:type="dxa" w:w="1200"/>
            <w:tcMar>
              <w:top w:type="dxa" w:w="80"/>
              <w:left w:type="dxa" w:w="100"/>
              <w:bottom w:type="dxa" w:w="80"/>
              <w:right w:type="dxa" w:w="100"/>
            </w:tcMar>
          </w:tcPr>
          <w:p>
            <w:r>
              <w:rPr>
                <w:b w:val="false"/>
                <w:bCs w:val="false"/>
                <w:color w:val="000000"/>
                <w:sz w:val="18"/>
                <w:szCs w:val="18"/>
              </w:rPr>
              <w:t xml:space="preserve">2</w:t>
            </w:r>
          </w:p>
        </w:tc>
        <w:tc>
          <w:tcPr>
            <w:tcW w:type="dxa" w:w="4300"/>
            <w:tcMar>
              <w:top w:type="dxa" w:w="80"/>
              <w:left w:type="dxa" w:w="100"/>
              <w:bottom w:type="dxa" w:w="80"/>
              <w:right w:type="dxa" w:w="100"/>
            </w:tcMar>
          </w:tcPr>
          <w:p>
            <w:r>
              <w:rPr>
                <w:b w:val="false"/>
                <w:bCs w:val="false"/>
                <w:color w:val="000000"/>
                <w:sz w:val="18"/>
                <w:szCs w:val="18"/>
              </w:rPr>
              <w:t xml:space="preserve">Test after-hours escalation to non-technical stakeholders</w:t>
            </w:r>
          </w:p>
        </w:tc>
        <w:tc>
          <w:tcPr>
            <w:tcW w:type="dxa" w:w="3850"/>
            <w:tcMar>
              <w:top w:type="dxa" w:w="80"/>
              <w:left w:type="dxa" w:w="100"/>
              <w:bottom w:type="dxa" w:w="80"/>
              <w:right w:type="dxa" w:w="100"/>
            </w:tcMar>
          </w:tcPr>
          <w:p>
            <w:r>
              <w:rPr>
                <w:b w:val="false"/>
                <w:bCs w:val="false"/>
                <w:color w:val="000000"/>
                <w:sz w:val="18"/>
                <w:szCs w:val="18"/>
              </w:rPr>
              <w:t xml:space="preserve">Legal and Communications reached and engaged within 30 minutes of escalation trigger</w:t>
            </w:r>
          </w:p>
        </w:tc>
      </w:tr>
      <w:tr>
        <w:tc>
          <w:tcPr>
            <w:tcW w:type="dxa" w:w="1200"/>
            <w:tcMar>
              <w:top w:type="dxa" w:w="80"/>
              <w:left w:type="dxa" w:w="100"/>
              <w:bottom w:type="dxa" w:w="80"/>
              <w:right w:type="dxa" w:w="100"/>
            </w:tcMar>
          </w:tcPr>
          <w:p>
            <w:r>
              <w:rPr>
                <w:b w:val="false"/>
                <w:bCs w:val="false"/>
                <w:color w:val="000000"/>
                <w:sz w:val="18"/>
                <w:szCs w:val="18"/>
              </w:rPr>
              <w:t xml:space="preserve">3</w:t>
            </w:r>
          </w:p>
        </w:tc>
        <w:tc>
          <w:tcPr>
            <w:tcW w:type="dxa" w:w="4300"/>
            <w:tcMar>
              <w:top w:type="dxa" w:w="80"/>
              <w:left w:type="dxa" w:w="100"/>
              <w:bottom w:type="dxa" w:w="80"/>
              <w:right w:type="dxa" w:w="100"/>
            </w:tcMar>
          </w:tcPr>
          <w:p>
            <w:r>
              <w:rPr>
                <w:b w:val="false"/>
                <w:bCs w:val="false"/>
                <w:color w:val="000000"/>
                <w:sz w:val="18"/>
                <w:szCs w:val="18"/>
              </w:rPr>
              <w:t xml:space="preserve">Exercise the incident severity classification process</w:t>
            </w:r>
          </w:p>
        </w:tc>
        <w:tc>
          <w:tcPr>
            <w:tcW w:type="dxa" w:w="3850"/>
            <w:tcMar>
              <w:top w:type="dxa" w:w="80"/>
              <w:left w:type="dxa" w:w="100"/>
              <w:bottom w:type="dxa" w:w="80"/>
              <w:right w:type="dxa" w:w="100"/>
            </w:tcMar>
          </w:tcPr>
          <w:p>
            <w:r>
              <w:rPr>
                <w:b w:val="false"/>
                <w:bCs w:val="false"/>
                <w:color w:val="000000"/>
                <w:sz w:val="18"/>
                <w:szCs w:val="18"/>
              </w:rPr>
              <w:t xml:space="preserve">Severity assigned within 15 minutes of initial alert, with documented rationale</w:t>
            </w:r>
          </w:p>
        </w:tc>
      </w:tr>
      <w:tr>
        <w:tc>
          <w:tcPr>
            <w:tcW w:type="dxa" w:w="1200"/>
            <w:tcMar>
              <w:top w:type="dxa" w:w="80"/>
              <w:left w:type="dxa" w:w="100"/>
              <w:bottom w:type="dxa" w:w="80"/>
              <w:right w:type="dxa" w:w="100"/>
            </w:tcMar>
          </w:tcPr>
          <w:p>
            <w:r>
              <w:rPr>
                <w:b w:val="false"/>
                <w:bCs w:val="false"/>
                <w:color w:val="000000"/>
                <w:sz w:val="18"/>
                <w:szCs w:val="18"/>
              </w:rPr>
              <w:t xml:space="preserve">4</w:t>
            </w:r>
          </w:p>
        </w:tc>
        <w:tc>
          <w:tcPr>
            <w:tcW w:type="dxa" w:w="4300"/>
            <w:tcMar>
              <w:top w:type="dxa" w:w="80"/>
              <w:left w:type="dxa" w:w="100"/>
              <w:bottom w:type="dxa" w:w="80"/>
              <w:right w:type="dxa" w:w="100"/>
            </w:tcMar>
          </w:tcPr>
          <w:p>
            <w:r>
              <w:rPr>
                <w:b w:val="false"/>
                <w:bCs w:val="false"/>
                <w:color w:val="000000"/>
                <w:sz w:val="18"/>
                <w:szCs w:val="18"/>
              </w:rPr>
              <w:t xml:space="preserve">Validate accuracy of the contact roster</w:t>
            </w:r>
          </w:p>
        </w:tc>
        <w:tc>
          <w:tcPr>
            <w:tcW w:type="dxa" w:w="3850"/>
            <w:tcMar>
              <w:top w:type="dxa" w:w="80"/>
              <w:left w:type="dxa" w:w="100"/>
              <w:bottom w:type="dxa" w:w="80"/>
              <w:right w:type="dxa" w:w="100"/>
            </w:tcMar>
          </w:tcPr>
          <w:p>
            <w:r>
              <w:rPr>
                <w:b w:val="false"/>
                <w:bCs w:val="false"/>
                <w:color w:val="000000"/>
                <w:sz w:val="18"/>
                <w:szCs w:val="18"/>
              </w:rPr>
              <w:t xml:space="preserve">All required contacts reachable using only information in the current IR Plan roster</w:t>
            </w:r>
          </w:p>
        </w:tc>
      </w:tr>
    </w:tbl>
    <w:p>
      <w:pPr>
        <w:pStyle w:val="Heading1"/>
        <w:spacing w:after="160" w:before="320"/>
      </w:pPr>
      <w:r>
        <w:rPr>
          <w:b/>
          <w:bCs/>
          <w:color w:val="1F3864"/>
        </w:rPr>
        <w:t xml:space="preserve">3. Participants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50"/>
      </w:tblGrid>
      <w:tr>
        <w:tc>
          <w:tcPr>
            <w:tcW w:type="dxa" w:w="2800"/>
            <w:shd w:fill="1F3864" w:val="clear"/>
            <w:tcMar>
              <w:top w:type="dxa" w:w="80"/>
              <w:left w:type="dxa" w:w="100"/>
              <w:bottom w:type="dxa" w:w="80"/>
              <w:right w:type="dxa" w:w="100"/>
            </w:tcMar>
          </w:tcPr>
          <w:p>
            <w:r>
              <w:rPr>
                <w:b/>
                <w:bCs/>
                <w:color w:val="FFFFFF"/>
                <w:sz w:val="18"/>
                <w:szCs w:val="18"/>
              </w:rPr>
              <w:t xml:space="preserve">Role</w:t>
            </w:r>
          </w:p>
        </w:tc>
        <w:tc>
          <w:tcPr>
            <w:tcW w:type="dxa" w:w="3200"/>
            <w:shd w:fill="1F3864" w:val="clear"/>
            <w:tcMar>
              <w:top w:type="dxa" w:w="80"/>
              <w:left w:type="dxa" w:w="100"/>
              <w:bottom w:type="dxa" w:w="80"/>
              <w:right w:type="dxa" w:w="100"/>
            </w:tcMar>
          </w:tcPr>
          <w:p>
            <w:r>
              <w:rPr>
                <w:b/>
                <w:bCs/>
                <w:color w:val="FFFFFF"/>
                <w:sz w:val="18"/>
                <w:szCs w:val="18"/>
              </w:rPr>
              <w:t xml:space="preserve">Function in Exercise</w:t>
            </w:r>
          </w:p>
        </w:tc>
        <w:tc>
          <w:tcPr>
            <w:tcW w:type="dxa" w:w="3350"/>
            <w:shd w:fill="1F3864" w:val="clear"/>
            <w:tcMar>
              <w:top w:type="dxa" w:w="80"/>
              <w:left w:type="dxa" w:w="100"/>
              <w:bottom w:type="dxa" w:w="80"/>
              <w:right w:type="dxa" w:w="100"/>
            </w:tcMar>
          </w:tcPr>
          <w:p>
            <w:r>
              <w:rPr>
                <w:b/>
                <w:bCs/>
                <w:color w:val="FFFFFF"/>
                <w:sz w:val="18"/>
                <w:szCs w:val="18"/>
              </w:rPr>
              <w:t xml:space="preserve">Organization</w:t>
            </w:r>
          </w:p>
        </w:tc>
      </w:tr>
      <w:tr>
        <w:tc>
          <w:tcPr>
            <w:tcW w:type="dxa" w:w="2800"/>
            <w:tcMar>
              <w:top w:type="dxa" w:w="80"/>
              <w:left w:type="dxa" w:w="100"/>
              <w:bottom w:type="dxa" w:w="80"/>
              <w:right w:type="dxa" w:w="100"/>
            </w:tcMar>
          </w:tcPr>
          <w:p>
            <w:r>
              <w:rPr>
                <w:b w:val="false"/>
                <w:bCs w:val="false"/>
                <w:color w:val="000000"/>
                <w:sz w:val="18"/>
                <w:szCs w:val="18"/>
              </w:rPr>
              <w:t xml:space="preserve">Incident Response Lead</w:t>
            </w:r>
          </w:p>
        </w:tc>
        <w:tc>
          <w:tcPr>
            <w:tcW w:type="dxa" w:w="3200"/>
            <w:tcMar>
              <w:top w:type="dxa" w:w="80"/>
              <w:left w:type="dxa" w:w="100"/>
              <w:bottom w:type="dxa" w:w="80"/>
              <w:right w:type="dxa" w:w="100"/>
            </w:tcMar>
          </w:tcPr>
          <w:p>
            <w:r>
              <w:rPr>
                <w:b w:val="false"/>
                <w:bCs w:val="false"/>
                <w:color w:val="000000"/>
                <w:sz w:val="18"/>
                <w:szCs w:val="18"/>
              </w:rPr>
              <w:t xml:space="preserve">Incident Commander</w:t>
            </w:r>
          </w:p>
        </w:tc>
        <w:tc>
          <w:tcPr>
            <w:tcW w:type="dxa" w:w="3350"/>
            <w:tcMar>
              <w:top w:type="dxa" w:w="80"/>
              <w:left w:type="dxa" w:w="100"/>
              <w:bottom w:type="dxa" w:w="80"/>
              <w:right w:type="dxa" w:w="100"/>
            </w:tcMar>
          </w:tcPr>
          <w:p>
            <w:r>
              <w:rPr>
                <w:b w:val="false"/>
                <w:bCs w:val="false"/>
                <w:color w:val="000000"/>
                <w:sz w:val="18"/>
                <w:szCs w:val="18"/>
              </w:rPr>
              <w:t xml:space="preserve">Tailspin Civic Systems</w:t>
            </w:r>
          </w:p>
        </w:tc>
      </w:tr>
      <w:tr>
        <w:tc>
          <w:tcPr>
            <w:tcW w:type="dxa" w:w="2800"/>
            <w:tcMar>
              <w:top w:type="dxa" w:w="80"/>
              <w:left w:type="dxa" w:w="100"/>
              <w:bottom w:type="dxa" w:w="80"/>
              <w:right w:type="dxa" w:w="100"/>
            </w:tcMar>
          </w:tcPr>
          <w:p>
            <w:r>
              <w:rPr>
                <w:b w:val="false"/>
                <w:bCs w:val="false"/>
                <w:color w:val="000000"/>
                <w:sz w:val="18"/>
                <w:szCs w:val="18"/>
              </w:rPr>
              <w:t xml:space="preserve">Security Operations Analyst (on-call)</w:t>
            </w:r>
          </w:p>
        </w:tc>
        <w:tc>
          <w:tcPr>
            <w:tcW w:type="dxa" w:w="3200"/>
            <w:tcMar>
              <w:top w:type="dxa" w:w="80"/>
              <w:left w:type="dxa" w:w="100"/>
              <w:bottom w:type="dxa" w:w="80"/>
              <w:right w:type="dxa" w:w="100"/>
            </w:tcMar>
          </w:tcPr>
          <w:p>
            <w:r>
              <w:rPr>
                <w:b w:val="false"/>
                <w:bCs w:val="false"/>
                <w:color w:val="000000"/>
                <w:sz w:val="18"/>
                <w:szCs w:val="18"/>
              </w:rPr>
              <w:t xml:space="preserve">Initial detection and triage</w:t>
            </w:r>
          </w:p>
        </w:tc>
        <w:tc>
          <w:tcPr>
            <w:tcW w:type="dxa" w:w="3350"/>
            <w:tcMar>
              <w:top w:type="dxa" w:w="80"/>
              <w:left w:type="dxa" w:w="100"/>
              <w:bottom w:type="dxa" w:w="80"/>
              <w:right w:type="dxa" w:w="100"/>
            </w:tcMar>
          </w:tcPr>
          <w:p>
            <w:r>
              <w:rPr>
                <w:b w:val="false"/>
                <w:bCs w:val="false"/>
                <w:color w:val="000000"/>
                <w:sz w:val="18"/>
                <w:szCs w:val="18"/>
              </w:rPr>
              <w:t xml:space="preserve">Tailspin Civic Systems</w:t>
            </w:r>
          </w:p>
        </w:tc>
      </w:tr>
      <w:tr>
        <w:tc>
          <w:tcPr>
            <w:tcW w:type="dxa" w:w="2800"/>
            <w:tcMar>
              <w:top w:type="dxa" w:w="80"/>
              <w:left w:type="dxa" w:w="100"/>
              <w:bottom w:type="dxa" w:w="80"/>
              <w:right w:type="dxa" w:w="100"/>
            </w:tcMar>
          </w:tcPr>
          <w:p>
            <w:r>
              <w:rPr>
                <w:b w:val="false"/>
                <w:bCs w:val="false"/>
                <w:color w:val="000000"/>
                <w:sz w:val="18"/>
                <w:szCs w:val="18"/>
              </w:rPr>
              <w:t xml:space="preserve">ISSO</w:t>
            </w:r>
          </w:p>
        </w:tc>
        <w:tc>
          <w:tcPr>
            <w:tcW w:type="dxa" w:w="3200"/>
            <w:tcMar>
              <w:top w:type="dxa" w:w="80"/>
              <w:left w:type="dxa" w:w="100"/>
              <w:bottom w:type="dxa" w:w="80"/>
              <w:right w:type="dxa" w:w="100"/>
            </w:tcMar>
          </w:tcPr>
          <w:p>
            <w:r>
              <w:rPr>
                <w:b w:val="false"/>
                <w:bCs w:val="false"/>
                <w:color w:val="000000"/>
                <w:sz w:val="18"/>
                <w:szCs w:val="18"/>
              </w:rPr>
              <w:t xml:space="preserve">External notification decision and drafting</w:t>
            </w:r>
          </w:p>
        </w:tc>
        <w:tc>
          <w:tcPr>
            <w:tcW w:type="dxa" w:w="3350"/>
            <w:tcMar>
              <w:top w:type="dxa" w:w="80"/>
              <w:left w:type="dxa" w:w="100"/>
              <w:bottom w:type="dxa" w:w="80"/>
              <w:right w:type="dxa" w:w="100"/>
            </w:tcMar>
          </w:tcPr>
          <w:p>
            <w:r>
              <w:rPr>
                <w:b w:val="false"/>
                <w:bCs w:val="false"/>
                <w:color w:val="000000"/>
                <w:sz w:val="18"/>
                <w:szCs w:val="18"/>
              </w:rPr>
              <w:t xml:space="preserve">Tailspin Civic Systems</w:t>
            </w:r>
          </w:p>
        </w:tc>
      </w:tr>
      <w:tr>
        <w:tc>
          <w:tcPr>
            <w:tcW w:type="dxa" w:w="2800"/>
            <w:tcMar>
              <w:top w:type="dxa" w:w="80"/>
              <w:left w:type="dxa" w:w="100"/>
              <w:bottom w:type="dxa" w:w="80"/>
              <w:right w:type="dxa" w:w="100"/>
            </w:tcMar>
          </w:tcPr>
          <w:p>
            <w:r>
              <w:rPr>
                <w:b w:val="false"/>
                <w:bCs w:val="false"/>
                <w:color w:val="000000"/>
                <w:sz w:val="18"/>
                <w:szCs w:val="18"/>
              </w:rPr>
              <w:t xml:space="preserve">Director of Platform Engineering</w:t>
            </w:r>
          </w:p>
        </w:tc>
        <w:tc>
          <w:tcPr>
            <w:tcW w:type="dxa" w:w="3200"/>
            <w:tcMar>
              <w:top w:type="dxa" w:w="80"/>
              <w:left w:type="dxa" w:w="100"/>
              <w:bottom w:type="dxa" w:w="80"/>
              <w:right w:type="dxa" w:w="100"/>
            </w:tcMar>
          </w:tcPr>
          <w:p>
            <w:r>
              <w:rPr>
                <w:b w:val="false"/>
                <w:bCs w:val="false"/>
                <w:color w:val="000000"/>
                <w:sz w:val="18"/>
                <w:szCs w:val="18"/>
              </w:rPr>
              <w:t xml:space="preserve">Technical containment decisions</w:t>
            </w:r>
          </w:p>
        </w:tc>
        <w:tc>
          <w:tcPr>
            <w:tcW w:type="dxa" w:w="3350"/>
            <w:tcMar>
              <w:top w:type="dxa" w:w="80"/>
              <w:left w:type="dxa" w:w="100"/>
              <w:bottom w:type="dxa" w:w="80"/>
              <w:right w:type="dxa" w:w="100"/>
            </w:tcMar>
          </w:tcPr>
          <w:p>
            <w:r>
              <w:rPr>
                <w:b w:val="false"/>
                <w:bCs w:val="false"/>
                <w:color w:val="000000"/>
                <w:sz w:val="18"/>
                <w:szCs w:val="18"/>
              </w:rPr>
              <w:t xml:space="preserve">Tailspin Civic Systems</w:t>
            </w:r>
          </w:p>
        </w:tc>
      </w:tr>
      <w:tr>
        <w:tc>
          <w:tcPr>
            <w:tcW w:type="dxa" w:w="2800"/>
            <w:tcMar>
              <w:top w:type="dxa" w:w="80"/>
              <w:left w:type="dxa" w:w="100"/>
              <w:bottom w:type="dxa" w:w="80"/>
              <w:right w:type="dxa" w:w="100"/>
            </w:tcMar>
          </w:tcPr>
          <w:p>
            <w:r>
              <w:rPr>
                <w:b w:val="false"/>
                <w:bCs w:val="false"/>
                <w:color w:val="000000"/>
                <w:sz w:val="18"/>
                <w:szCs w:val="18"/>
              </w:rPr>
              <w:t xml:space="preserve">General Counsel</w:t>
            </w:r>
          </w:p>
        </w:tc>
        <w:tc>
          <w:tcPr>
            <w:tcW w:type="dxa" w:w="3200"/>
            <w:tcMar>
              <w:top w:type="dxa" w:w="80"/>
              <w:left w:type="dxa" w:w="100"/>
              <w:bottom w:type="dxa" w:w="80"/>
              <w:right w:type="dxa" w:w="100"/>
            </w:tcMar>
          </w:tcPr>
          <w:p>
            <w:r>
              <w:rPr>
                <w:b w:val="false"/>
                <w:bCs w:val="false"/>
                <w:color w:val="000000"/>
                <w:sz w:val="18"/>
                <w:szCs w:val="18"/>
              </w:rPr>
              <w:t xml:space="preserve">Legal and regulatory guidance</w:t>
            </w:r>
          </w:p>
        </w:tc>
        <w:tc>
          <w:tcPr>
            <w:tcW w:type="dxa" w:w="3350"/>
            <w:tcMar>
              <w:top w:type="dxa" w:w="80"/>
              <w:left w:type="dxa" w:w="100"/>
              <w:bottom w:type="dxa" w:w="80"/>
              <w:right w:type="dxa" w:w="100"/>
            </w:tcMar>
          </w:tcPr>
          <w:p>
            <w:r>
              <w:rPr>
                <w:b w:val="false"/>
                <w:bCs w:val="false"/>
                <w:color w:val="000000"/>
                <w:sz w:val="18"/>
                <w:szCs w:val="18"/>
              </w:rPr>
              <w:t xml:space="preserve">Tailspin Civic Systems</w:t>
            </w:r>
          </w:p>
        </w:tc>
      </w:tr>
      <w:tr>
        <w:tc>
          <w:tcPr>
            <w:tcW w:type="dxa" w:w="2800"/>
            <w:tcMar>
              <w:top w:type="dxa" w:w="80"/>
              <w:left w:type="dxa" w:w="100"/>
              <w:bottom w:type="dxa" w:w="80"/>
              <w:right w:type="dxa" w:w="100"/>
            </w:tcMar>
          </w:tcPr>
          <w:p>
            <w:r>
              <w:rPr>
                <w:b w:val="false"/>
                <w:bCs w:val="false"/>
                <w:color w:val="000000"/>
                <w:sz w:val="18"/>
                <w:szCs w:val="18"/>
              </w:rPr>
              <w:t xml:space="preserve">Director of Communications</w:t>
            </w:r>
          </w:p>
        </w:tc>
        <w:tc>
          <w:tcPr>
            <w:tcW w:type="dxa" w:w="3200"/>
            <w:tcMar>
              <w:top w:type="dxa" w:w="80"/>
              <w:left w:type="dxa" w:w="100"/>
              <w:bottom w:type="dxa" w:w="80"/>
              <w:right w:type="dxa" w:w="100"/>
            </w:tcMar>
          </w:tcPr>
          <w:p>
            <w:r>
              <w:rPr>
                <w:b w:val="false"/>
                <w:bCs w:val="false"/>
                <w:color w:val="000000"/>
                <w:sz w:val="18"/>
                <w:szCs w:val="18"/>
              </w:rPr>
              <w:t xml:space="preserve">Customer and public messaging</w:t>
            </w:r>
          </w:p>
        </w:tc>
        <w:tc>
          <w:tcPr>
            <w:tcW w:type="dxa" w:w="3350"/>
            <w:tcMar>
              <w:top w:type="dxa" w:w="80"/>
              <w:left w:type="dxa" w:w="100"/>
              <w:bottom w:type="dxa" w:w="80"/>
              <w:right w:type="dxa" w:w="100"/>
            </w:tcMar>
          </w:tcPr>
          <w:p>
            <w:r>
              <w:rPr>
                <w:b w:val="false"/>
                <w:bCs w:val="false"/>
                <w:color w:val="000000"/>
                <w:sz w:val="18"/>
                <w:szCs w:val="18"/>
              </w:rPr>
              <w:t xml:space="preserve">Tailspin Civic Systems</w:t>
            </w:r>
          </w:p>
        </w:tc>
      </w:tr>
      <w:tr>
        <w:tc>
          <w:tcPr>
            <w:tcW w:type="dxa" w:w="2800"/>
            <w:tcMar>
              <w:top w:type="dxa" w:w="80"/>
              <w:left w:type="dxa" w:w="100"/>
              <w:bottom w:type="dxa" w:w="80"/>
              <w:right w:type="dxa" w:w="100"/>
            </w:tcMar>
          </w:tcPr>
          <w:p>
            <w:r>
              <w:rPr>
                <w:b w:val="false"/>
                <w:bCs w:val="false"/>
                <w:color w:val="000000"/>
                <w:sz w:val="18"/>
                <w:szCs w:val="18"/>
              </w:rPr>
              <w:t xml:space="preserve">Agency Liaison (simulated)</w:t>
            </w:r>
          </w:p>
        </w:tc>
        <w:tc>
          <w:tcPr>
            <w:tcW w:type="dxa" w:w="3200"/>
            <w:tcMar>
              <w:top w:type="dxa" w:w="80"/>
              <w:left w:type="dxa" w:w="100"/>
              <w:bottom w:type="dxa" w:w="80"/>
              <w:right w:type="dxa" w:w="100"/>
            </w:tcMar>
          </w:tcPr>
          <w:p>
            <w:r>
              <w:rPr>
                <w:b w:val="false"/>
                <w:bCs w:val="false"/>
                <w:color w:val="000000"/>
                <w:sz w:val="18"/>
                <w:szCs w:val="18"/>
              </w:rPr>
              <w:t xml:space="preserve">Sponsoring agency ISSO role</w:t>
            </w:r>
          </w:p>
        </w:tc>
        <w:tc>
          <w:tcPr>
            <w:tcW w:type="dxa" w:w="3350"/>
            <w:tcMar>
              <w:top w:type="dxa" w:w="80"/>
              <w:left w:type="dxa" w:w="100"/>
              <w:bottom w:type="dxa" w:w="80"/>
              <w:right w:type="dxa" w:w="100"/>
            </w:tcMar>
          </w:tcPr>
          <w:p>
            <w:r>
              <w:rPr>
                <w:b w:val="false"/>
                <w:bCs w:val="false"/>
                <w:color w:val="000000"/>
                <w:sz w:val="18"/>
                <w:szCs w:val="18"/>
              </w:rPr>
              <w:t xml:space="preserve">Played by evaluator</w:t>
            </w:r>
          </w:p>
        </w:tc>
      </w:tr>
      <w:tr>
        <w:tc>
          <w:tcPr>
            <w:tcW w:type="dxa" w:w="2800"/>
            <w:tcMar>
              <w:top w:type="dxa" w:w="80"/>
              <w:left w:type="dxa" w:w="100"/>
              <w:bottom w:type="dxa" w:w="80"/>
              <w:right w:type="dxa" w:w="100"/>
            </w:tcMar>
          </w:tcPr>
          <w:p>
            <w:r>
              <w:rPr>
                <w:b w:val="false"/>
                <w:bCs w:val="false"/>
                <w:color w:val="000000"/>
                <w:sz w:val="18"/>
                <w:szCs w:val="18"/>
              </w:rPr>
              <w:t xml:space="preserve">Evaluators (2)</w:t>
            </w:r>
          </w:p>
        </w:tc>
        <w:tc>
          <w:tcPr>
            <w:tcW w:type="dxa" w:w="3200"/>
            <w:tcMar>
              <w:top w:type="dxa" w:w="80"/>
              <w:left w:type="dxa" w:w="100"/>
              <w:bottom w:type="dxa" w:w="80"/>
              <w:right w:type="dxa" w:w="100"/>
            </w:tcMar>
          </w:tcPr>
          <w:p>
            <w:r>
              <w:rPr>
                <w:b w:val="false"/>
                <w:bCs w:val="false"/>
                <w:color w:val="000000"/>
                <w:sz w:val="18"/>
                <w:szCs w:val="18"/>
              </w:rPr>
              <w:t xml:space="preserve">Observation and timing</w:t>
            </w:r>
          </w:p>
        </w:tc>
        <w:tc>
          <w:tcPr>
            <w:tcW w:type="dxa" w:w="3350"/>
            <w:tcMar>
              <w:top w:type="dxa" w:w="80"/>
              <w:left w:type="dxa" w:w="100"/>
              <w:bottom w:type="dxa" w:w="80"/>
              <w:right w:type="dxa" w:w="100"/>
            </w:tcMar>
          </w:tcPr>
          <w:p>
            <w:r>
              <w:rPr>
                <w:b w:val="false"/>
                <w:bCs w:val="false"/>
                <w:color w:val="000000"/>
                <w:sz w:val="18"/>
                <w:szCs w:val="18"/>
              </w:rPr>
              <w:t xml:space="preserve">Internal and outside counsel</w:t>
            </w:r>
          </w:p>
        </w:tc>
      </w:tr>
    </w:tbl>
    <w:p>
      <w:pPr>
        <w:pStyle w:val="Heading1"/>
        <w:spacing w:after="160" w:before="320"/>
      </w:pPr>
      <w:r>
        <w:rPr>
          <w:b/>
          <w:bCs/>
          <w:color w:val="1F3864"/>
        </w:rPr>
        <w:t xml:space="preserve">4. Scenario Narrative and Injects</w:t>
      </w:r>
    </w:p>
    <w:p>
      <w:pPr>
        <w:spacing w:after="160"/>
      </w:pPr>
      <w:r>
        <w:t xml:space="preserve">The scenario unfolded through five timed injects delivered by the facilitator. Participants were not given advance notice of inject content. The exercise clock began at T+0 with the initial detection alert.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50"/>
      </w:tblGrid>
      <w:tr>
        <w:tc>
          <w:tcPr>
            <w:tcW w:type="dxa" w:w="1200"/>
            <w:shd w:fill="1F3864" w:val="clear"/>
            <w:tcMar>
              <w:top w:type="dxa" w:w="80"/>
              <w:left w:type="dxa" w:w="100"/>
              <w:bottom w:type="dxa" w:w="80"/>
              <w:right w:type="dxa" w:w="100"/>
            </w:tcMar>
          </w:tcPr>
          <w:p>
            <w:r>
              <w:rPr>
                <w:b/>
                <w:bCs/>
                <w:color w:val="FFFFFF"/>
                <w:sz w:val="18"/>
                <w:szCs w:val="18"/>
              </w:rPr>
              <w:t xml:space="preserve">Time</w:t>
            </w:r>
          </w:p>
        </w:tc>
        <w:tc>
          <w:tcPr>
            <w:tcW w:type="dxa" w:w="2200"/>
            <w:shd w:fill="1F3864" w:val="clear"/>
            <w:tcMar>
              <w:top w:type="dxa" w:w="80"/>
              <w:left w:type="dxa" w:w="100"/>
              <w:bottom w:type="dxa" w:w="80"/>
              <w:right w:type="dxa" w:w="100"/>
            </w:tcMar>
          </w:tcPr>
          <w:p>
            <w:r>
              <w:rPr>
                <w:b/>
                <w:bCs/>
                <w:color w:val="FFFFFF"/>
                <w:sz w:val="18"/>
                <w:szCs w:val="18"/>
              </w:rPr>
              <w:t xml:space="preserve">Inject</w:t>
            </w:r>
          </w:p>
        </w:tc>
        <w:tc>
          <w:tcPr>
            <w:tcW w:type="dxa" w:w="5950"/>
            <w:shd w:fill="1F3864" w:val="clear"/>
            <w:tcMar>
              <w:top w:type="dxa" w:w="80"/>
              <w:left w:type="dxa" w:w="100"/>
              <w:bottom w:type="dxa" w:w="80"/>
              <w:right w:type="dxa" w:w="100"/>
            </w:tcMar>
          </w:tcPr>
          <w:p>
            <w:r>
              <w:rPr>
                <w:b/>
                <w:bCs/>
                <w:color w:val="FFFFFF"/>
                <w:sz w:val="18"/>
                <w:szCs w:val="18"/>
              </w:rPr>
              <w:t xml:space="preserve">Content Delivered to Participants</w:t>
            </w:r>
          </w:p>
        </w:tc>
      </w:tr>
      <w:tr>
        <w:tc>
          <w:tcPr>
            <w:tcW w:type="dxa" w:w="1200"/>
            <w:tcMar>
              <w:top w:type="dxa" w:w="80"/>
              <w:left w:type="dxa" w:w="100"/>
              <w:bottom w:type="dxa" w:w="80"/>
              <w:right w:type="dxa" w:w="100"/>
            </w:tcMar>
          </w:tcPr>
          <w:p>
            <w:r>
              <w:rPr>
                <w:b w:val="false"/>
                <w:bCs w:val="false"/>
                <w:color w:val="000000"/>
                <w:sz w:val="18"/>
                <w:szCs w:val="18"/>
              </w:rPr>
              <w:t xml:space="preserve">T+0</w:t>
            </w:r>
          </w:p>
        </w:tc>
        <w:tc>
          <w:tcPr>
            <w:tcW w:type="dxa" w:w="2200"/>
            <w:tcMar>
              <w:top w:type="dxa" w:w="80"/>
              <w:left w:type="dxa" w:w="100"/>
              <w:bottom w:type="dxa" w:w="80"/>
              <w:right w:type="dxa" w:w="100"/>
            </w:tcMar>
          </w:tcPr>
          <w:p>
            <w:r>
              <w:rPr>
                <w:b w:val="false"/>
                <w:bCs w:val="false"/>
                <w:color w:val="000000"/>
                <w:sz w:val="18"/>
                <w:szCs w:val="18"/>
              </w:rPr>
              <w:t xml:space="preserve">Initial Alert</w:t>
            </w:r>
          </w:p>
        </w:tc>
        <w:tc>
          <w:tcPr>
            <w:tcW w:type="dxa" w:w="5950"/>
            <w:tcMar>
              <w:top w:type="dxa" w:w="80"/>
              <w:left w:type="dxa" w:w="100"/>
              <w:bottom w:type="dxa" w:w="80"/>
              <w:right w:type="dxa" w:w="100"/>
            </w:tcMar>
          </w:tcPr>
          <w:p>
            <w:r>
              <w:rPr>
                <w:b w:val="false"/>
                <w:bCs w:val="false"/>
                <w:color w:val="000000"/>
                <w:sz w:val="18"/>
                <w:szCs w:val="18"/>
              </w:rPr>
              <w:t xml:space="preserve">SIEM alert fires: an Agency Administrator account for a sponsoring agency tenant authenticated successfully from an unrecognized geographic location outside normal business hours, followed by a bulk export of applicant records.</w:t>
            </w:r>
          </w:p>
        </w:tc>
      </w:tr>
      <w:tr>
        <w:tc>
          <w:tcPr>
            <w:tcW w:type="dxa" w:w="1200"/>
            <w:tcMar>
              <w:top w:type="dxa" w:w="80"/>
              <w:left w:type="dxa" w:w="100"/>
              <w:bottom w:type="dxa" w:w="80"/>
              <w:right w:type="dxa" w:w="100"/>
            </w:tcMar>
          </w:tcPr>
          <w:p>
            <w:r>
              <w:rPr>
                <w:b w:val="false"/>
                <w:bCs w:val="false"/>
                <w:color w:val="000000"/>
                <w:sz w:val="18"/>
                <w:szCs w:val="18"/>
              </w:rPr>
              <w:t xml:space="preserve">T+18</w:t>
            </w:r>
          </w:p>
        </w:tc>
        <w:tc>
          <w:tcPr>
            <w:tcW w:type="dxa" w:w="2200"/>
            <w:tcMar>
              <w:top w:type="dxa" w:w="80"/>
              <w:left w:type="dxa" w:w="100"/>
              <w:bottom w:type="dxa" w:w="80"/>
              <w:right w:type="dxa" w:w="100"/>
            </w:tcMar>
          </w:tcPr>
          <w:p>
            <w:r>
              <w:rPr>
                <w:b w:val="false"/>
                <w:bCs w:val="false"/>
                <w:color w:val="000000"/>
                <w:sz w:val="18"/>
                <w:szCs w:val="18"/>
              </w:rPr>
              <w:t xml:space="preserve">Escalating Detail</w:t>
            </w:r>
          </w:p>
        </w:tc>
        <w:tc>
          <w:tcPr>
            <w:tcW w:type="dxa" w:w="5950"/>
            <w:tcMar>
              <w:top w:type="dxa" w:w="80"/>
              <w:left w:type="dxa" w:w="100"/>
              <w:bottom w:type="dxa" w:w="80"/>
              <w:right w:type="dxa" w:w="100"/>
            </w:tcMar>
          </w:tcPr>
          <w:p>
            <w:r>
              <w:rPr>
                <w:b w:val="false"/>
                <w:bCs w:val="false"/>
                <w:color w:val="000000"/>
                <w:sz w:val="18"/>
                <w:szCs w:val="18"/>
              </w:rPr>
              <w:t xml:space="preserve">Audit logs show the same account created a new Agency Administrator account and modified role assignments for two existing users. Approximately 4,200 applicant records were included in the export.</w:t>
            </w:r>
          </w:p>
        </w:tc>
      </w:tr>
      <w:tr>
        <w:tc>
          <w:tcPr>
            <w:tcW w:type="dxa" w:w="1200"/>
            <w:tcMar>
              <w:top w:type="dxa" w:w="80"/>
              <w:left w:type="dxa" w:w="100"/>
              <w:bottom w:type="dxa" w:w="80"/>
              <w:right w:type="dxa" w:w="100"/>
            </w:tcMar>
          </w:tcPr>
          <w:p>
            <w:r>
              <w:rPr>
                <w:b w:val="false"/>
                <w:bCs w:val="false"/>
                <w:color w:val="000000"/>
                <w:sz w:val="18"/>
                <w:szCs w:val="18"/>
              </w:rPr>
              <w:t xml:space="preserve">T+35</w:t>
            </w:r>
          </w:p>
        </w:tc>
        <w:tc>
          <w:tcPr>
            <w:tcW w:type="dxa" w:w="2200"/>
            <w:tcMar>
              <w:top w:type="dxa" w:w="80"/>
              <w:left w:type="dxa" w:w="100"/>
              <w:bottom w:type="dxa" w:w="80"/>
              <w:right w:type="dxa" w:w="100"/>
            </w:tcMar>
          </w:tcPr>
          <w:p>
            <w:r>
              <w:rPr>
                <w:b w:val="false"/>
                <w:bCs w:val="false"/>
                <w:color w:val="000000"/>
                <w:sz w:val="18"/>
                <w:szCs w:val="18"/>
              </w:rPr>
              <w:t xml:space="preserve">Stakeholder Pressure</w:t>
            </w:r>
          </w:p>
        </w:tc>
        <w:tc>
          <w:tcPr>
            <w:tcW w:type="dxa" w:w="5950"/>
            <w:tcMar>
              <w:top w:type="dxa" w:w="80"/>
              <w:left w:type="dxa" w:w="100"/>
              <w:bottom w:type="dxa" w:w="80"/>
              <w:right w:type="dxa" w:w="100"/>
            </w:tcMar>
          </w:tcPr>
          <w:p>
            <w:r>
              <w:rPr>
                <w:b w:val="false"/>
                <w:bCs w:val="false"/>
                <w:color w:val="000000"/>
                <w:sz w:val="18"/>
                <w:szCs w:val="18"/>
              </w:rPr>
              <w:t xml:space="preserve">The sponsoring agency's program officer emails asking why she received an unexpected account-creation notification. She requests a response within the hour.</w:t>
            </w:r>
          </w:p>
        </w:tc>
      </w:tr>
      <w:tr>
        <w:tc>
          <w:tcPr>
            <w:tcW w:type="dxa" w:w="1200"/>
            <w:tcMar>
              <w:top w:type="dxa" w:w="80"/>
              <w:left w:type="dxa" w:w="100"/>
              <w:bottom w:type="dxa" w:w="80"/>
              <w:right w:type="dxa" w:w="100"/>
            </w:tcMar>
          </w:tcPr>
          <w:p>
            <w:r>
              <w:rPr>
                <w:b w:val="false"/>
                <w:bCs w:val="false"/>
                <w:color w:val="000000"/>
                <w:sz w:val="18"/>
                <w:szCs w:val="18"/>
              </w:rPr>
              <w:t xml:space="preserve">T+52</w:t>
            </w:r>
          </w:p>
        </w:tc>
        <w:tc>
          <w:tcPr>
            <w:tcW w:type="dxa" w:w="2200"/>
            <w:tcMar>
              <w:top w:type="dxa" w:w="80"/>
              <w:left w:type="dxa" w:w="100"/>
              <w:bottom w:type="dxa" w:w="80"/>
              <w:right w:type="dxa" w:w="100"/>
            </w:tcMar>
          </w:tcPr>
          <w:p>
            <w:r>
              <w:rPr>
                <w:b w:val="false"/>
                <w:bCs w:val="false"/>
                <w:color w:val="000000"/>
                <w:sz w:val="18"/>
                <w:szCs w:val="18"/>
              </w:rPr>
              <w:t xml:space="preserve">Complicating Factor</w:t>
            </w:r>
          </w:p>
        </w:tc>
        <w:tc>
          <w:tcPr>
            <w:tcW w:type="dxa" w:w="5950"/>
            <w:tcMar>
              <w:top w:type="dxa" w:w="80"/>
              <w:left w:type="dxa" w:w="100"/>
              <w:bottom w:type="dxa" w:w="80"/>
              <w:right w:type="dxa" w:w="100"/>
            </w:tcMar>
          </w:tcPr>
          <w:p>
            <w:r>
              <w:rPr>
                <w:b w:val="false"/>
                <w:bCs w:val="false"/>
                <w:color w:val="000000"/>
                <w:sz w:val="18"/>
                <w:szCs w:val="18"/>
              </w:rPr>
              <w:t xml:space="preserve">Threat intelligence indicates the source IP is associated with a credential-stuffing campaign targeting government SaaS platforms. It remains unclear whether the agency IdP itself is compromised.</w:t>
            </w:r>
          </w:p>
        </w:tc>
      </w:tr>
      <w:tr>
        <w:tc>
          <w:tcPr>
            <w:tcW w:type="dxa" w:w="1200"/>
            <w:tcMar>
              <w:top w:type="dxa" w:w="80"/>
              <w:left w:type="dxa" w:w="100"/>
              <w:bottom w:type="dxa" w:w="80"/>
              <w:right w:type="dxa" w:w="100"/>
            </w:tcMar>
          </w:tcPr>
          <w:p>
            <w:r>
              <w:rPr>
                <w:b w:val="false"/>
                <w:bCs w:val="false"/>
                <w:color w:val="000000"/>
                <w:sz w:val="18"/>
                <w:szCs w:val="18"/>
              </w:rPr>
              <w:t xml:space="preserve">T+75</w:t>
            </w:r>
          </w:p>
        </w:tc>
        <w:tc>
          <w:tcPr>
            <w:tcW w:type="dxa" w:w="2200"/>
            <w:tcMar>
              <w:top w:type="dxa" w:w="80"/>
              <w:left w:type="dxa" w:w="100"/>
              <w:bottom w:type="dxa" w:w="80"/>
              <w:right w:type="dxa" w:w="100"/>
            </w:tcMar>
          </w:tcPr>
          <w:p>
            <w:r>
              <w:rPr>
                <w:b w:val="false"/>
                <w:bCs w:val="false"/>
                <w:color w:val="000000"/>
                <w:sz w:val="18"/>
                <w:szCs w:val="18"/>
              </w:rPr>
              <w:t xml:space="preserve">Media Inquiry</w:t>
            </w:r>
          </w:p>
        </w:tc>
        <w:tc>
          <w:tcPr>
            <w:tcW w:type="dxa" w:w="5950"/>
            <w:tcMar>
              <w:top w:type="dxa" w:w="80"/>
              <w:left w:type="dxa" w:w="100"/>
              <w:bottom w:type="dxa" w:w="80"/>
              <w:right w:type="dxa" w:w="100"/>
            </w:tcMar>
          </w:tcPr>
          <w:p>
            <w:r>
              <w:rPr>
                <w:b w:val="false"/>
                <w:bCs w:val="false"/>
                <w:color w:val="000000"/>
                <w:sz w:val="18"/>
                <w:szCs w:val="18"/>
              </w:rPr>
              <w:t xml:space="preserve">A reporter contacts the general company inbox asking whether Tailspin Civic Systems is 'experiencing a data breach affecting grant applicants.'</w:t>
            </w:r>
          </w:p>
        </w:tc>
      </w:tr>
    </w:tbl>
    <w:p>
      <w:pPr>
        <w:pStyle w:val="Heading1"/>
        <w:spacing w:after="160" w:before="320"/>
      </w:pPr>
      <w:r>
        <w:rPr>
          <w:b/>
          <w:bCs/>
          <w:color w:val="1F3864"/>
        </w:rPr>
        <w:t xml:space="preserve">5. Timeline of Participant Actions</w:t>
      </w:r>
    </w:p>
    <w:p>
      <w:pPr>
        <w:spacing w:after="160"/>
      </w:pPr>
      <w:r>
        <w:t xml:space="preserve">Times reflect the exercise clock as recorded by the evaluators. Actions are those taken or verbally committed to by participants during the exercise.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50"/>
      </w:tblGrid>
      <w:tr>
        <w:tc>
          <w:tcPr>
            <w:tcW w:type="dxa" w:w="1200"/>
            <w:shd w:fill="1F3864" w:val="clear"/>
            <w:tcMar>
              <w:top w:type="dxa" w:w="80"/>
              <w:left w:type="dxa" w:w="100"/>
              <w:bottom w:type="dxa" w:w="80"/>
              <w:right w:type="dxa" w:w="100"/>
            </w:tcMar>
          </w:tcPr>
          <w:p>
            <w:r>
              <w:rPr>
                <w:b/>
                <w:bCs/>
                <w:color w:val="FFFFFF"/>
                <w:sz w:val="18"/>
                <w:szCs w:val="18"/>
              </w:rPr>
              <w:t xml:space="preserve">Time</w:t>
            </w:r>
          </w:p>
        </w:tc>
        <w:tc>
          <w:tcPr>
            <w:tcW w:type="dxa" w:w="3200"/>
            <w:shd w:fill="1F3864" w:val="clear"/>
            <w:tcMar>
              <w:top w:type="dxa" w:w="80"/>
              <w:left w:type="dxa" w:w="100"/>
              <w:bottom w:type="dxa" w:w="80"/>
              <w:right w:type="dxa" w:w="100"/>
            </w:tcMar>
          </w:tcPr>
          <w:p>
            <w:r>
              <w:rPr>
                <w:b/>
                <w:bCs/>
                <w:color w:val="FFFFFF"/>
                <w:sz w:val="18"/>
                <w:szCs w:val="18"/>
              </w:rPr>
              <w:t xml:space="preserve">Action</w:t>
            </w:r>
          </w:p>
        </w:tc>
        <w:tc>
          <w:tcPr>
            <w:tcW w:type="dxa" w:w="4950"/>
            <w:shd w:fill="1F3864" w:val="clear"/>
            <w:tcMar>
              <w:top w:type="dxa" w:w="80"/>
              <w:left w:type="dxa" w:w="100"/>
              <w:bottom w:type="dxa" w:w="80"/>
              <w:right w:type="dxa" w:w="100"/>
            </w:tcMar>
          </w:tcPr>
          <w:p>
            <w:r>
              <w:rPr>
                <w:b/>
                <w:bCs/>
                <w:color w:val="FFFFFF"/>
                <w:sz w:val="18"/>
                <w:szCs w:val="18"/>
              </w:rPr>
              <w:t xml:space="preserve">Evaluator Note</w:t>
            </w:r>
          </w:p>
        </w:tc>
      </w:tr>
      <w:tr>
        <w:tc>
          <w:tcPr>
            <w:tcW w:type="dxa" w:w="1200"/>
            <w:tcMar>
              <w:top w:type="dxa" w:w="80"/>
              <w:left w:type="dxa" w:w="100"/>
              <w:bottom w:type="dxa" w:w="80"/>
              <w:right w:type="dxa" w:w="100"/>
            </w:tcMar>
          </w:tcPr>
          <w:p>
            <w:r>
              <w:rPr>
                <w:b w:val="false"/>
                <w:bCs w:val="false"/>
                <w:color w:val="000000"/>
                <w:sz w:val="18"/>
                <w:szCs w:val="18"/>
              </w:rPr>
              <w:t xml:space="preserve">T+0</w:t>
            </w:r>
          </w:p>
        </w:tc>
        <w:tc>
          <w:tcPr>
            <w:tcW w:type="dxa" w:w="3200"/>
            <w:tcMar>
              <w:top w:type="dxa" w:w="80"/>
              <w:left w:type="dxa" w:w="100"/>
              <w:bottom w:type="dxa" w:w="80"/>
              <w:right w:type="dxa" w:w="100"/>
            </w:tcMar>
          </w:tcPr>
          <w:p>
            <w:r>
              <w:rPr>
                <w:b w:val="false"/>
                <w:bCs w:val="false"/>
                <w:color w:val="000000"/>
                <w:sz w:val="18"/>
                <w:szCs w:val="18"/>
              </w:rPr>
              <w:t xml:space="preserve">Alert received and acknowledged by on-call analyst</w:t>
            </w:r>
          </w:p>
        </w:tc>
        <w:tc>
          <w:tcPr>
            <w:tcW w:type="dxa" w:w="4950"/>
            <w:tcMar>
              <w:top w:type="dxa" w:w="80"/>
              <w:left w:type="dxa" w:w="100"/>
              <w:bottom w:type="dxa" w:w="80"/>
              <w:right w:type="dxa" w:w="100"/>
            </w:tcMar>
          </w:tcPr>
          <w:p>
            <w:r>
              <w:rPr>
                <w:b w:val="false"/>
                <w:bCs w:val="false"/>
                <w:color w:val="000000"/>
                <w:sz w:val="18"/>
                <w:szCs w:val="18"/>
              </w:rPr>
              <w:t xml:space="preserve">Acknowledgment within 4 minutes; met internal expectation</w:t>
            </w:r>
          </w:p>
        </w:tc>
      </w:tr>
      <w:tr>
        <w:tc>
          <w:tcPr>
            <w:tcW w:type="dxa" w:w="1200"/>
            <w:tcMar>
              <w:top w:type="dxa" w:w="80"/>
              <w:left w:type="dxa" w:w="100"/>
              <w:bottom w:type="dxa" w:w="80"/>
              <w:right w:type="dxa" w:w="100"/>
            </w:tcMar>
          </w:tcPr>
          <w:p>
            <w:r>
              <w:rPr>
                <w:b w:val="false"/>
                <w:bCs w:val="false"/>
                <w:color w:val="000000"/>
                <w:sz w:val="18"/>
                <w:szCs w:val="18"/>
              </w:rPr>
              <w:t xml:space="preserve">T+9</w:t>
            </w:r>
          </w:p>
        </w:tc>
        <w:tc>
          <w:tcPr>
            <w:tcW w:type="dxa" w:w="3200"/>
            <w:tcMar>
              <w:top w:type="dxa" w:w="80"/>
              <w:left w:type="dxa" w:w="100"/>
              <w:bottom w:type="dxa" w:w="80"/>
              <w:right w:type="dxa" w:w="100"/>
            </w:tcMar>
          </w:tcPr>
          <w:p>
            <w:r>
              <w:rPr>
                <w:b w:val="false"/>
                <w:bCs w:val="false"/>
                <w:color w:val="000000"/>
                <w:sz w:val="18"/>
                <w:szCs w:val="18"/>
              </w:rPr>
              <w:t xml:space="preserve">Analyst escalated to Incident Response Lead</w:t>
            </w:r>
          </w:p>
        </w:tc>
        <w:tc>
          <w:tcPr>
            <w:tcW w:type="dxa" w:w="4950"/>
            <w:tcMar>
              <w:top w:type="dxa" w:w="80"/>
              <w:left w:type="dxa" w:w="100"/>
              <w:bottom w:type="dxa" w:w="80"/>
              <w:right w:type="dxa" w:w="100"/>
            </w:tcMar>
          </w:tcPr>
          <w:p>
            <w:r>
              <w:rPr>
                <w:b w:val="false"/>
                <w:bCs w:val="false"/>
                <w:color w:val="000000"/>
                <w:sz w:val="18"/>
                <w:szCs w:val="18"/>
              </w:rPr>
              <w:t xml:space="preserve">Correct escalation path used</w:t>
            </w:r>
          </w:p>
        </w:tc>
      </w:tr>
      <w:tr>
        <w:tc>
          <w:tcPr>
            <w:tcW w:type="dxa" w:w="1200"/>
            <w:tcMar>
              <w:top w:type="dxa" w:w="80"/>
              <w:left w:type="dxa" w:w="100"/>
              <w:bottom w:type="dxa" w:w="80"/>
              <w:right w:type="dxa" w:w="100"/>
            </w:tcMar>
          </w:tcPr>
          <w:p>
            <w:r>
              <w:rPr>
                <w:b w:val="false"/>
                <w:bCs w:val="false"/>
                <w:color w:val="000000"/>
                <w:sz w:val="18"/>
                <w:szCs w:val="18"/>
              </w:rPr>
              <w:t xml:space="preserve">T+22</w:t>
            </w:r>
          </w:p>
        </w:tc>
        <w:tc>
          <w:tcPr>
            <w:tcW w:type="dxa" w:w="3200"/>
            <w:tcMar>
              <w:top w:type="dxa" w:w="80"/>
              <w:left w:type="dxa" w:w="100"/>
              <w:bottom w:type="dxa" w:w="80"/>
              <w:right w:type="dxa" w:w="100"/>
            </w:tcMar>
          </w:tcPr>
          <w:p>
            <w:r>
              <w:rPr>
                <w:b w:val="false"/>
                <w:bCs w:val="false"/>
                <w:color w:val="000000"/>
                <w:sz w:val="18"/>
                <w:szCs w:val="18"/>
              </w:rPr>
              <w:t xml:space="preserve">Severity classified as Sev-1 (confirmed unauthorized access to CUI/PII)</w:t>
            </w:r>
          </w:p>
        </w:tc>
        <w:tc>
          <w:tcPr>
            <w:tcW w:type="dxa" w:w="4950"/>
            <w:tcMar>
              <w:top w:type="dxa" w:w="80"/>
              <w:left w:type="dxa" w:w="100"/>
              <w:bottom w:type="dxa" w:w="80"/>
              <w:right w:type="dxa" w:w="100"/>
            </w:tcMar>
          </w:tcPr>
          <w:p>
            <w:r>
              <w:rPr>
                <w:b w:val="false"/>
                <w:bCs w:val="false"/>
                <w:color w:val="000000"/>
                <w:sz w:val="18"/>
                <w:szCs w:val="18"/>
              </w:rPr>
              <w:t xml:space="preserve">Exceeded the 15-minute objective by 7 minutes; see Finding TTX-01</w:t>
            </w:r>
          </w:p>
        </w:tc>
      </w:tr>
      <w:tr>
        <w:tc>
          <w:tcPr>
            <w:tcW w:type="dxa" w:w="1200"/>
            <w:tcMar>
              <w:top w:type="dxa" w:w="80"/>
              <w:left w:type="dxa" w:w="100"/>
              <w:bottom w:type="dxa" w:w="80"/>
              <w:right w:type="dxa" w:w="100"/>
            </w:tcMar>
          </w:tcPr>
          <w:p>
            <w:r>
              <w:rPr>
                <w:b w:val="false"/>
                <w:bCs w:val="false"/>
                <w:color w:val="000000"/>
                <w:sz w:val="18"/>
                <w:szCs w:val="18"/>
              </w:rPr>
              <w:t xml:space="preserve">T+26</w:t>
            </w:r>
          </w:p>
        </w:tc>
        <w:tc>
          <w:tcPr>
            <w:tcW w:type="dxa" w:w="3200"/>
            <w:tcMar>
              <w:top w:type="dxa" w:w="80"/>
              <w:left w:type="dxa" w:w="100"/>
              <w:bottom w:type="dxa" w:w="80"/>
              <w:right w:type="dxa" w:w="100"/>
            </w:tcMar>
          </w:tcPr>
          <w:p>
            <w:r>
              <w:rPr>
                <w:b w:val="false"/>
                <w:bCs w:val="false"/>
                <w:color w:val="000000"/>
                <w:sz w:val="18"/>
                <w:szCs w:val="18"/>
              </w:rPr>
              <w:t xml:space="preserve">Containment decision: account disabled, sessions revoked, tenant export capability suspended</w:t>
            </w:r>
          </w:p>
        </w:tc>
        <w:tc>
          <w:tcPr>
            <w:tcW w:type="dxa" w:w="4950"/>
            <w:tcMar>
              <w:top w:type="dxa" w:w="80"/>
              <w:left w:type="dxa" w:w="100"/>
              <w:bottom w:type="dxa" w:w="80"/>
              <w:right w:type="dxa" w:w="100"/>
            </w:tcMar>
          </w:tcPr>
          <w:p>
            <w:r>
              <w:rPr>
                <w:b w:val="false"/>
                <w:bCs w:val="false"/>
                <w:color w:val="000000"/>
                <w:sz w:val="18"/>
                <w:szCs w:val="18"/>
              </w:rPr>
              <w:t xml:space="preserve">Decisive and correctly sequenced</w:t>
            </w:r>
          </w:p>
        </w:tc>
      </w:tr>
      <w:tr>
        <w:tc>
          <w:tcPr>
            <w:tcW w:type="dxa" w:w="1200"/>
            <w:tcMar>
              <w:top w:type="dxa" w:w="80"/>
              <w:left w:type="dxa" w:w="100"/>
              <w:bottom w:type="dxa" w:w="80"/>
              <w:right w:type="dxa" w:w="100"/>
            </w:tcMar>
          </w:tcPr>
          <w:p>
            <w:r>
              <w:rPr>
                <w:b w:val="false"/>
                <w:bCs w:val="false"/>
                <w:color w:val="000000"/>
                <w:sz w:val="18"/>
                <w:szCs w:val="18"/>
              </w:rPr>
              <w:t xml:space="preserve">T+31</w:t>
            </w:r>
          </w:p>
        </w:tc>
        <w:tc>
          <w:tcPr>
            <w:tcW w:type="dxa" w:w="3200"/>
            <w:tcMar>
              <w:top w:type="dxa" w:w="80"/>
              <w:left w:type="dxa" w:w="100"/>
              <w:bottom w:type="dxa" w:w="80"/>
              <w:right w:type="dxa" w:w="100"/>
            </w:tcMar>
          </w:tcPr>
          <w:p>
            <w:r>
              <w:rPr>
                <w:b w:val="false"/>
                <w:bCs w:val="false"/>
                <w:color w:val="000000"/>
                <w:sz w:val="18"/>
                <w:szCs w:val="18"/>
              </w:rPr>
              <w:t xml:space="preserve">ISSO engaged and began external notification assessment</w:t>
            </w:r>
          </w:p>
        </w:tc>
        <w:tc>
          <w:tcPr>
            <w:tcW w:type="dxa" w:w="4950"/>
            <w:tcMar>
              <w:top w:type="dxa" w:w="80"/>
              <w:left w:type="dxa" w:w="100"/>
              <w:bottom w:type="dxa" w:w="80"/>
              <w:right w:type="dxa" w:w="100"/>
            </w:tcMar>
          </w:tcPr>
          <w:p>
            <w:r>
              <w:rPr>
                <w:b w:val="false"/>
                <w:bCs w:val="false"/>
                <w:color w:val="000000"/>
                <w:sz w:val="18"/>
                <w:szCs w:val="18"/>
              </w:rPr>
              <w:t xml:space="preserve">Appropriate</w:t>
            </w:r>
          </w:p>
        </w:tc>
      </w:tr>
      <w:tr>
        <w:tc>
          <w:tcPr>
            <w:tcW w:type="dxa" w:w="1200"/>
            <w:tcMar>
              <w:top w:type="dxa" w:w="80"/>
              <w:left w:type="dxa" w:w="100"/>
              <w:bottom w:type="dxa" w:w="80"/>
              <w:right w:type="dxa" w:w="100"/>
            </w:tcMar>
          </w:tcPr>
          <w:p>
            <w:r>
              <w:rPr>
                <w:b w:val="false"/>
                <w:bCs w:val="false"/>
                <w:color w:val="000000"/>
                <w:sz w:val="18"/>
                <w:szCs w:val="18"/>
              </w:rPr>
              <w:t xml:space="preserve">T+38</w:t>
            </w:r>
          </w:p>
        </w:tc>
        <w:tc>
          <w:tcPr>
            <w:tcW w:type="dxa" w:w="3200"/>
            <w:tcMar>
              <w:top w:type="dxa" w:w="80"/>
              <w:left w:type="dxa" w:w="100"/>
              <w:bottom w:type="dxa" w:w="80"/>
              <w:right w:type="dxa" w:w="100"/>
            </w:tcMar>
          </w:tcPr>
          <w:p>
            <w:r>
              <w:rPr>
                <w:b w:val="false"/>
                <w:bCs w:val="false"/>
                <w:color w:val="000000"/>
                <w:sz w:val="18"/>
                <w:szCs w:val="18"/>
              </w:rPr>
              <w:t xml:space="preserve">Attempt to reach General Counsel using IR Plan roster — listed mobile number was outdated</w:t>
            </w:r>
          </w:p>
        </w:tc>
        <w:tc>
          <w:tcPr>
            <w:tcW w:type="dxa" w:w="4950"/>
            <w:tcMar>
              <w:top w:type="dxa" w:w="80"/>
              <w:left w:type="dxa" w:w="100"/>
              <w:bottom w:type="dxa" w:w="80"/>
              <w:right w:type="dxa" w:w="100"/>
            </w:tcMar>
          </w:tcPr>
          <w:p>
            <w:r>
              <w:rPr>
                <w:b w:val="false"/>
                <w:bCs w:val="false"/>
                <w:color w:val="000000"/>
                <w:sz w:val="18"/>
                <w:szCs w:val="18"/>
              </w:rPr>
              <w:t xml:space="preserve">Contact roster defect; see Finding TTX-02</w:t>
            </w:r>
          </w:p>
        </w:tc>
      </w:tr>
      <w:tr>
        <w:tc>
          <w:tcPr>
            <w:tcW w:type="dxa" w:w="1200"/>
            <w:tcMar>
              <w:top w:type="dxa" w:w="80"/>
              <w:left w:type="dxa" w:w="100"/>
              <w:bottom w:type="dxa" w:w="80"/>
              <w:right w:type="dxa" w:w="100"/>
            </w:tcMar>
          </w:tcPr>
          <w:p>
            <w:r>
              <w:rPr>
                <w:b w:val="false"/>
                <w:bCs w:val="false"/>
                <w:color w:val="000000"/>
                <w:sz w:val="18"/>
                <w:szCs w:val="18"/>
              </w:rPr>
              <w:t xml:space="preserve">T+47</w:t>
            </w:r>
          </w:p>
        </w:tc>
        <w:tc>
          <w:tcPr>
            <w:tcW w:type="dxa" w:w="3200"/>
            <w:tcMar>
              <w:top w:type="dxa" w:w="80"/>
              <w:left w:type="dxa" w:w="100"/>
              <w:bottom w:type="dxa" w:w="80"/>
              <w:right w:type="dxa" w:w="100"/>
            </w:tcMar>
          </w:tcPr>
          <w:p>
            <w:r>
              <w:rPr>
                <w:b w:val="false"/>
                <w:bCs w:val="false"/>
                <w:color w:val="000000"/>
                <w:sz w:val="18"/>
                <w:szCs w:val="18"/>
              </w:rPr>
              <w:t xml:space="preserve">General Counsel reached through an informal channel (personal knowledge of an alternate number)</w:t>
            </w:r>
          </w:p>
        </w:tc>
        <w:tc>
          <w:tcPr>
            <w:tcW w:type="dxa" w:w="4950"/>
            <w:tcMar>
              <w:top w:type="dxa" w:w="80"/>
              <w:left w:type="dxa" w:w="100"/>
              <w:bottom w:type="dxa" w:w="80"/>
              <w:right w:type="dxa" w:w="100"/>
            </w:tcMar>
          </w:tcPr>
          <w:p>
            <w:r>
              <w:rPr>
                <w:b w:val="false"/>
                <w:bCs w:val="false"/>
                <w:color w:val="000000"/>
                <w:sz w:val="18"/>
                <w:szCs w:val="18"/>
              </w:rPr>
              <w:t xml:space="preserve">Objective 2 met only through undocumented means</w:t>
            </w:r>
          </w:p>
        </w:tc>
      </w:tr>
      <w:tr>
        <w:tc>
          <w:tcPr>
            <w:tcW w:type="dxa" w:w="1200"/>
            <w:tcMar>
              <w:top w:type="dxa" w:w="80"/>
              <w:left w:type="dxa" w:w="100"/>
              <w:bottom w:type="dxa" w:w="80"/>
              <w:right w:type="dxa" w:w="100"/>
            </w:tcMar>
          </w:tcPr>
          <w:p>
            <w:r>
              <w:rPr>
                <w:b w:val="false"/>
                <w:bCs w:val="false"/>
                <w:color w:val="000000"/>
                <w:sz w:val="18"/>
                <w:szCs w:val="18"/>
              </w:rPr>
              <w:t xml:space="preserve">T+58</w:t>
            </w:r>
          </w:p>
        </w:tc>
        <w:tc>
          <w:tcPr>
            <w:tcW w:type="dxa" w:w="3200"/>
            <w:tcMar>
              <w:top w:type="dxa" w:w="80"/>
              <w:left w:type="dxa" w:w="100"/>
              <w:bottom w:type="dxa" w:w="80"/>
              <w:right w:type="dxa" w:w="100"/>
            </w:tcMar>
          </w:tcPr>
          <w:p>
            <w:r>
              <w:rPr>
                <w:b w:val="false"/>
                <w:bCs w:val="false"/>
                <w:color w:val="000000"/>
                <w:sz w:val="18"/>
                <w:szCs w:val="18"/>
              </w:rPr>
              <w:t xml:space="preserve">Communications Director engaged</w:t>
            </w:r>
          </w:p>
        </w:tc>
        <w:tc>
          <w:tcPr>
            <w:tcW w:type="dxa" w:w="4950"/>
            <w:tcMar>
              <w:top w:type="dxa" w:w="80"/>
              <w:left w:type="dxa" w:w="100"/>
              <w:bottom w:type="dxa" w:w="80"/>
              <w:right w:type="dxa" w:w="100"/>
            </w:tcMar>
          </w:tcPr>
          <w:p>
            <w:r>
              <w:rPr>
                <w:b w:val="false"/>
                <w:bCs w:val="false"/>
                <w:color w:val="000000"/>
                <w:sz w:val="18"/>
                <w:szCs w:val="18"/>
              </w:rPr>
              <w:t xml:space="preserve">Within tolerance</w:t>
            </w:r>
          </w:p>
        </w:tc>
      </w:tr>
      <w:tr>
        <w:tc>
          <w:tcPr>
            <w:tcW w:type="dxa" w:w="1200"/>
            <w:tcMar>
              <w:top w:type="dxa" w:w="80"/>
              <w:left w:type="dxa" w:w="100"/>
              <w:bottom w:type="dxa" w:w="80"/>
              <w:right w:type="dxa" w:w="100"/>
            </w:tcMar>
          </w:tcPr>
          <w:p>
            <w:r>
              <w:rPr>
                <w:b w:val="false"/>
                <w:bCs w:val="false"/>
                <w:color w:val="000000"/>
                <w:sz w:val="18"/>
                <w:szCs w:val="18"/>
              </w:rPr>
              <w:t xml:space="preserve">T+64</w:t>
            </w:r>
          </w:p>
        </w:tc>
        <w:tc>
          <w:tcPr>
            <w:tcW w:type="dxa" w:w="3200"/>
            <w:tcMar>
              <w:top w:type="dxa" w:w="80"/>
              <w:left w:type="dxa" w:w="100"/>
              <w:bottom w:type="dxa" w:w="80"/>
              <w:right w:type="dxa" w:w="100"/>
            </w:tcMar>
          </w:tcPr>
          <w:p>
            <w:r>
              <w:rPr>
                <w:b w:val="false"/>
                <w:bCs w:val="false"/>
                <w:color w:val="000000"/>
                <w:sz w:val="18"/>
                <w:szCs w:val="18"/>
              </w:rPr>
              <w:t xml:space="preserve">Draft US-CERT notification completed; agency ISSO notification drafted</w:t>
            </w:r>
          </w:p>
        </w:tc>
        <w:tc>
          <w:tcPr>
            <w:tcW w:type="dxa" w:w="4950"/>
            <w:tcMar>
              <w:top w:type="dxa" w:w="80"/>
              <w:left w:type="dxa" w:w="100"/>
              <w:bottom w:type="dxa" w:w="80"/>
              <w:right w:type="dxa" w:w="100"/>
            </w:tcMar>
          </w:tcPr>
          <w:p>
            <w:r>
              <w:rPr>
                <w:b w:val="false"/>
                <w:bCs w:val="false"/>
                <w:color w:val="000000"/>
                <w:sz w:val="18"/>
                <w:szCs w:val="18"/>
              </w:rPr>
              <w:t xml:space="preserve">Exceeded the 60-minute objective by 4 minutes; see Finding TTX-01</w:t>
            </w:r>
          </w:p>
        </w:tc>
      </w:tr>
      <w:tr>
        <w:tc>
          <w:tcPr>
            <w:tcW w:type="dxa" w:w="1200"/>
            <w:tcMar>
              <w:top w:type="dxa" w:w="80"/>
              <w:left w:type="dxa" w:w="100"/>
              <w:bottom w:type="dxa" w:w="80"/>
              <w:right w:type="dxa" w:w="100"/>
            </w:tcMar>
          </w:tcPr>
          <w:p>
            <w:r>
              <w:rPr>
                <w:b w:val="false"/>
                <w:bCs w:val="false"/>
                <w:color w:val="000000"/>
                <w:sz w:val="18"/>
                <w:szCs w:val="18"/>
              </w:rPr>
              <w:t xml:space="preserve">T+71</w:t>
            </w:r>
          </w:p>
        </w:tc>
        <w:tc>
          <w:tcPr>
            <w:tcW w:type="dxa" w:w="3200"/>
            <w:tcMar>
              <w:top w:type="dxa" w:w="80"/>
              <w:left w:type="dxa" w:w="100"/>
              <w:bottom w:type="dxa" w:w="80"/>
              <w:right w:type="dxa" w:w="100"/>
            </w:tcMar>
          </w:tcPr>
          <w:p>
            <w:r>
              <w:rPr>
                <w:b w:val="false"/>
                <w:bCs w:val="false"/>
                <w:color w:val="000000"/>
                <w:sz w:val="18"/>
                <w:szCs w:val="18"/>
              </w:rPr>
              <w:t xml:space="preserve">Debate on whether agency-side IdP compromise changes notification obligations</w:t>
            </w:r>
          </w:p>
        </w:tc>
        <w:tc>
          <w:tcPr>
            <w:tcW w:type="dxa" w:w="4950"/>
            <w:tcMar>
              <w:top w:type="dxa" w:w="80"/>
              <w:left w:type="dxa" w:w="100"/>
              <w:bottom w:type="dxa" w:w="80"/>
              <w:right w:type="dxa" w:w="100"/>
            </w:tcMar>
          </w:tcPr>
          <w:p>
            <w:r>
              <w:rPr>
                <w:b w:val="false"/>
                <w:bCs w:val="false"/>
                <w:color w:val="000000"/>
                <w:sz w:val="18"/>
                <w:szCs w:val="18"/>
              </w:rPr>
              <w:t xml:space="preserve">Productive; no plan guidance existed to resolve it; see Finding TTX-03</w:t>
            </w:r>
          </w:p>
        </w:tc>
      </w:tr>
      <w:tr>
        <w:tc>
          <w:tcPr>
            <w:tcW w:type="dxa" w:w="1200"/>
            <w:tcMar>
              <w:top w:type="dxa" w:w="80"/>
              <w:left w:type="dxa" w:w="100"/>
              <w:bottom w:type="dxa" w:w="80"/>
              <w:right w:type="dxa" w:w="100"/>
            </w:tcMar>
          </w:tcPr>
          <w:p>
            <w:r>
              <w:rPr>
                <w:b w:val="false"/>
                <w:bCs w:val="false"/>
                <w:color w:val="000000"/>
                <w:sz w:val="18"/>
                <w:szCs w:val="18"/>
              </w:rPr>
              <w:t xml:space="preserve">T+83</w:t>
            </w:r>
          </w:p>
        </w:tc>
        <w:tc>
          <w:tcPr>
            <w:tcW w:type="dxa" w:w="3200"/>
            <w:tcMar>
              <w:top w:type="dxa" w:w="80"/>
              <w:left w:type="dxa" w:w="100"/>
              <w:bottom w:type="dxa" w:w="80"/>
              <w:right w:type="dxa" w:w="100"/>
            </w:tcMar>
          </w:tcPr>
          <w:p>
            <w:r>
              <w:rPr>
                <w:b w:val="false"/>
                <w:bCs w:val="false"/>
                <w:color w:val="000000"/>
                <w:sz w:val="18"/>
                <w:szCs w:val="18"/>
              </w:rPr>
              <w:t xml:space="preserve">Media inquiry routed to Communications; holding statement drafted</w:t>
            </w:r>
          </w:p>
        </w:tc>
        <w:tc>
          <w:tcPr>
            <w:tcW w:type="dxa" w:w="4950"/>
            <w:tcMar>
              <w:top w:type="dxa" w:w="80"/>
              <w:left w:type="dxa" w:w="100"/>
              <w:bottom w:type="dxa" w:w="80"/>
              <w:right w:type="dxa" w:w="100"/>
            </w:tcMar>
          </w:tcPr>
          <w:p>
            <w:r>
              <w:rPr>
                <w:b w:val="false"/>
                <w:bCs w:val="false"/>
                <w:color w:val="000000"/>
                <w:sz w:val="18"/>
                <w:szCs w:val="18"/>
              </w:rPr>
              <w:t xml:space="preserve">Handled correctly; pre-approved holding statement was located and used</w:t>
            </w:r>
          </w:p>
        </w:tc>
      </w:tr>
    </w:tbl>
    <w:p>
      <w:pPr>
        <w:pStyle w:val="Heading1"/>
        <w:spacing w:after="160" w:before="320"/>
      </w:pPr>
      <w:r>
        <w:rPr>
          <w:b/>
          <w:bCs/>
          <w:color w:val="1F3864"/>
        </w:rPr>
        <w:t xml:space="preserve">6. Evaluation Against Objectives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600"/>
        <w:gridCol w:w="2650"/>
      </w:tblGrid>
      <w:tr>
        <w:tc>
          <w:tcPr>
            <w:tcW w:type="dxa" w:w="900"/>
            <w:shd w:fill="1F3864" w:val="clear"/>
            <w:tcMar>
              <w:top w:type="dxa" w:w="80"/>
              <w:left w:type="dxa" w:w="100"/>
              <w:bottom w:type="dxa" w:w="80"/>
              <w:right w:type="dxa" w:w="100"/>
            </w:tcMar>
          </w:tcPr>
          <w:p>
            <w:r>
              <w:rPr>
                <w:b/>
                <w:bCs/>
                <w:color w:val="FFFFFF"/>
                <w:sz w:val="18"/>
                <w:szCs w:val="18"/>
              </w:rPr>
              <w:t xml:space="preserve">#</w:t>
            </w:r>
          </w:p>
        </w:tc>
        <w:tc>
          <w:tcPr>
            <w:tcW w:type="dxa" w:w="4200"/>
            <w:shd w:fill="1F3864" w:val="clear"/>
            <w:tcMar>
              <w:top w:type="dxa" w:w="80"/>
              <w:left w:type="dxa" w:w="100"/>
              <w:bottom w:type="dxa" w:w="80"/>
              <w:right w:type="dxa" w:w="100"/>
            </w:tcMar>
          </w:tcPr>
          <w:p>
            <w:r>
              <w:rPr>
                <w:b/>
                <w:bCs/>
                <w:color w:val="FFFFFF"/>
                <w:sz w:val="18"/>
                <w:szCs w:val="18"/>
              </w:rPr>
              <w:t xml:space="preserve">Objective</w:t>
            </w:r>
          </w:p>
        </w:tc>
        <w:tc>
          <w:tcPr>
            <w:tcW w:type="dxa" w:w="1600"/>
            <w:shd w:fill="1F3864" w:val="clear"/>
            <w:tcMar>
              <w:top w:type="dxa" w:w="80"/>
              <w:left w:type="dxa" w:w="100"/>
              <w:bottom w:type="dxa" w:w="80"/>
              <w:right w:type="dxa" w:w="100"/>
            </w:tcMar>
          </w:tcPr>
          <w:p>
            <w:r>
              <w:rPr>
                <w:b/>
                <w:bCs/>
                <w:color w:val="FFFFFF"/>
                <w:sz w:val="18"/>
                <w:szCs w:val="18"/>
              </w:rPr>
              <w:t xml:space="preserve">Result</w:t>
            </w:r>
          </w:p>
        </w:tc>
        <w:tc>
          <w:tcPr>
            <w:tcW w:type="dxa" w:w="2650"/>
            <w:shd w:fill="1F3864" w:val="clear"/>
            <w:tcMar>
              <w:top w:type="dxa" w:w="80"/>
              <w:left w:type="dxa" w:w="100"/>
              <w:bottom w:type="dxa" w:w="80"/>
              <w:right w:type="dxa" w:w="100"/>
            </w:tcMar>
          </w:tcPr>
          <w:p>
            <w:r>
              <w:rPr>
                <w:b/>
                <w:bCs/>
                <w:color w:val="FFFFFF"/>
                <w:sz w:val="18"/>
                <w:szCs w:val="18"/>
              </w:rPr>
              <w:t xml:space="preserve">Basis</w:t>
            </w:r>
          </w:p>
        </w:tc>
      </w:tr>
      <w:tr>
        <w:tc>
          <w:tcPr>
            <w:tcW w:type="dxa" w:w="900"/>
            <w:tcMar>
              <w:top w:type="dxa" w:w="80"/>
              <w:left w:type="dxa" w:w="100"/>
              <w:bottom w:type="dxa" w:w="80"/>
              <w:right w:type="dxa" w:w="100"/>
            </w:tcMar>
          </w:tcPr>
          <w:p>
            <w:r>
              <w:rPr>
                <w:b w:val="false"/>
                <w:bCs w:val="false"/>
                <w:color w:val="000000"/>
                <w:sz w:val="18"/>
                <w:szCs w:val="18"/>
              </w:rPr>
              <w:t xml:space="preserve">1</w:t>
            </w:r>
          </w:p>
        </w:tc>
        <w:tc>
          <w:tcPr>
            <w:tcW w:type="dxa" w:w="4200"/>
            <w:tcMar>
              <w:top w:type="dxa" w:w="80"/>
              <w:left w:type="dxa" w:w="100"/>
              <w:bottom w:type="dxa" w:w="80"/>
              <w:right w:type="dxa" w:w="100"/>
            </w:tcMar>
          </w:tcPr>
          <w:p>
            <w:r>
              <w:rPr>
                <w:b w:val="false"/>
                <w:bCs w:val="false"/>
                <w:color w:val="000000"/>
                <w:sz w:val="18"/>
                <w:szCs w:val="18"/>
              </w:rPr>
              <w:t xml:space="preserve">One-hour external notification timeline</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Partially Met</w:t>
            </w:r>
          </w:p>
        </w:tc>
        <w:tc>
          <w:tcPr>
            <w:tcW w:type="dxa" w:w="2650"/>
            <w:tcMar>
              <w:top w:type="dxa" w:w="80"/>
              <w:left w:type="dxa" w:w="100"/>
              <w:bottom w:type="dxa" w:w="80"/>
              <w:right w:type="dxa" w:w="100"/>
            </w:tcMar>
          </w:tcPr>
          <w:p>
            <w:r>
              <w:rPr>
                <w:b w:val="false"/>
                <w:bCs w:val="false"/>
                <w:color w:val="000000"/>
                <w:sz w:val="18"/>
                <w:szCs w:val="18"/>
              </w:rPr>
              <w:t xml:space="preserve">Draft notification completed at T+64, four minutes past the requirement</w:t>
            </w:r>
          </w:p>
        </w:tc>
      </w:tr>
      <w:tr>
        <w:tc>
          <w:tcPr>
            <w:tcW w:type="dxa" w:w="900"/>
            <w:tcMar>
              <w:top w:type="dxa" w:w="80"/>
              <w:left w:type="dxa" w:w="100"/>
              <w:bottom w:type="dxa" w:w="80"/>
              <w:right w:type="dxa" w:w="100"/>
            </w:tcMar>
          </w:tcPr>
          <w:p>
            <w:r>
              <w:rPr>
                <w:b w:val="false"/>
                <w:bCs w:val="false"/>
                <w:color w:val="000000"/>
                <w:sz w:val="18"/>
                <w:szCs w:val="18"/>
              </w:rPr>
              <w:t xml:space="preserve">2</w:t>
            </w:r>
          </w:p>
        </w:tc>
        <w:tc>
          <w:tcPr>
            <w:tcW w:type="dxa" w:w="4200"/>
            <w:tcMar>
              <w:top w:type="dxa" w:w="80"/>
              <w:left w:type="dxa" w:w="100"/>
              <w:bottom w:type="dxa" w:w="80"/>
              <w:right w:type="dxa" w:w="100"/>
            </w:tcMar>
          </w:tcPr>
          <w:p>
            <w:r>
              <w:rPr>
                <w:b w:val="false"/>
                <w:bCs w:val="false"/>
                <w:color w:val="000000"/>
                <w:sz w:val="18"/>
                <w:szCs w:val="18"/>
              </w:rPr>
              <w:t xml:space="preserve">After-hours escalation to non-technical stakeholders</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Partially Met</w:t>
            </w:r>
          </w:p>
        </w:tc>
        <w:tc>
          <w:tcPr>
            <w:tcW w:type="dxa" w:w="2650"/>
            <w:tcMar>
              <w:top w:type="dxa" w:w="80"/>
              <w:left w:type="dxa" w:w="100"/>
              <w:bottom w:type="dxa" w:w="80"/>
              <w:right w:type="dxa" w:w="100"/>
            </w:tcMar>
          </w:tcPr>
          <w:p>
            <w:r>
              <w:rPr>
                <w:b w:val="false"/>
                <w:bCs w:val="false"/>
                <w:color w:val="000000"/>
                <w:sz w:val="18"/>
                <w:szCs w:val="18"/>
              </w:rPr>
              <w:t xml:space="preserve">Legal reached at T+47, but only via an undocumented alternate contact</w:t>
            </w:r>
          </w:p>
        </w:tc>
      </w:tr>
      <w:tr>
        <w:tc>
          <w:tcPr>
            <w:tcW w:type="dxa" w:w="900"/>
            <w:tcMar>
              <w:top w:type="dxa" w:w="80"/>
              <w:left w:type="dxa" w:w="100"/>
              <w:bottom w:type="dxa" w:w="80"/>
              <w:right w:type="dxa" w:w="100"/>
            </w:tcMar>
          </w:tcPr>
          <w:p>
            <w:r>
              <w:rPr>
                <w:b w:val="false"/>
                <w:bCs w:val="false"/>
                <w:color w:val="000000"/>
                <w:sz w:val="18"/>
                <w:szCs w:val="18"/>
              </w:rPr>
              <w:t xml:space="preserve">3</w:t>
            </w:r>
          </w:p>
        </w:tc>
        <w:tc>
          <w:tcPr>
            <w:tcW w:type="dxa" w:w="4200"/>
            <w:tcMar>
              <w:top w:type="dxa" w:w="80"/>
              <w:left w:type="dxa" w:w="100"/>
              <w:bottom w:type="dxa" w:w="80"/>
              <w:right w:type="dxa" w:w="100"/>
            </w:tcMar>
          </w:tcPr>
          <w:p>
            <w:r>
              <w:rPr>
                <w:b w:val="false"/>
                <w:bCs w:val="false"/>
                <w:color w:val="000000"/>
                <w:sz w:val="18"/>
                <w:szCs w:val="18"/>
              </w:rPr>
              <w:t xml:space="preserve">Incident severity classification within 15 minutes</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Not Met</w:t>
            </w:r>
          </w:p>
        </w:tc>
        <w:tc>
          <w:tcPr>
            <w:tcW w:type="dxa" w:w="2650"/>
            <w:tcMar>
              <w:top w:type="dxa" w:w="80"/>
              <w:left w:type="dxa" w:w="100"/>
              <w:bottom w:type="dxa" w:w="80"/>
              <w:right w:type="dxa" w:w="100"/>
            </w:tcMar>
          </w:tcPr>
          <w:p>
            <w:r>
              <w:rPr>
                <w:b w:val="false"/>
                <w:bCs w:val="false"/>
                <w:color w:val="000000"/>
                <w:sz w:val="18"/>
                <w:szCs w:val="18"/>
              </w:rPr>
              <w:t xml:space="preserve">Classification occurred at T+22</w:t>
            </w:r>
          </w:p>
        </w:tc>
      </w:tr>
      <w:tr>
        <w:tc>
          <w:tcPr>
            <w:tcW w:type="dxa" w:w="900"/>
            <w:tcMar>
              <w:top w:type="dxa" w:w="80"/>
              <w:left w:type="dxa" w:w="100"/>
              <w:bottom w:type="dxa" w:w="80"/>
              <w:right w:type="dxa" w:w="100"/>
            </w:tcMar>
          </w:tcPr>
          <w:p>
            <w:r>
              <w:rPr>
                <w:b w:val="false"/>
                <w:bCs w:val="false"/>
                <w:color w:val="000000"/>
                <w:sz w:val="18"/>
                <w:szCs w:val="18"/>
              </w:rPr>
              <w:t xml:space="preserve">4</w:t>
            </w:r>
          </w:p>
        </w:tc>
        <w:tc>
          <w:tcPr>
            <w:tcW w:type="dxa" w:w="4200"/>
            <w:tcMar>
              <w:top w:type="dxa" w:w="80"/>
              <w:left w:type="dxa" w:w="100"/>
              <w:bottom w:type="dxa" w:w="80"/>
              <w:right w:type="dxa" w:w="100"/>
            </w:tcMar>
          </w:tcPr>
          <w:p>
            <w:r>
              <w:rPr>
                <w:b w:val="false"/>
                <w:bCs w:val="false"/>
                <w:color w:val="000000"/>
                <w:sz w:val="18"/>
                <w:szCs w:val="18"/>
              </w:rPr>
              <w:t xml:space="preserve">Contact roster accuracy</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Not Met</w:t>
            </w:r>
          </w:p>
        </w:tc>
        <w:tc>
          <w:tcPr>
            <w:tcW w:type="dxa" w:w="2650"/>
            <w:tcMar>
              <w:top w:type="dxa" w:w="80"/>
              <w:left w:type="dxa" w:w="100"/>
              <w:bottom w:type="dxa" w:w="80"/>
              <w:right w:type="dxa" w:w="100"/>
            </w:tcMar>
          </w:tcPr>
          <w:p>
            <w:r>
              <w:rPr>
                <w:b w:val="false"/>
                <w:bCs w:val="false"/>
                <w:color w:val="000000"/>
                <w:sz w:val="18"/>
                <w:szCs w:val="18"/>
              </w:rPr>
              <w:t xml:space="preserve">One of eight roster entries was outdated</w:t>
            </w:r>
          </w:p>
        </w:tc>
      </w:tr>
    </w:tbl>
    <w:p>
      <w:pPr>
        <w:pStyle w:val="Heading1"/>
        <w:spacing w:after="160" w:before="320"/>
      </w:pPr>
      <w:r>
        <w:rPr>
          <w:b/>
          <w:bCs/>
          <w:color w:val="1F3864"/>
        </w:rPr>
        <w:t xml:space="preserve">7. Strengths Observed</w:t>
      </w:r>
    </w:p>
    <w:p>
      <w:pPr>
        <w:pStyle w:val="ListParagraph"/>
        <w:numPr>
          <w:ilvl w:val="0"/>
          <w:numId w:val="2"/>
        </w:numPr>
        <w:spacing w:after="80"/>
      </w:pPr>
      <w:r>
        <w:t xml:space="preserve">Technical containment was decisive and correctly sequenced. The team disabled the account, revoked active sessions, and suspended tenant export capability within 26 minutes without waiting for full root-cause understanding — the correct instinct for a Sev-1 involving active data exfiltration.</w:t>
      </w:r>
    </w:p>
    <w:p>
      <w:pPr>
        <w:pStyle w:val="ListParagraph"/>
        <w:numPr>
          <w:ilvl w:val="0"/>
          <w:numId w:val="2"/>
        </w:numPr>
        <w:spacing w:after="80"/>
      </w:pPr>
      <w:r>
        <w:t xml:space="preserve">Evidence preservation was raised unprompted by the on-call analyst before containment actions were taken, avoiding a common tabletop failure where containment destroys forensic artifacts.</w:t>
      </w:r>
    </w:p>
    <w:p>
      <w:pPr>
        <w:pStyle w:val="ListParagraph"/>
        <w:numPr>
          <w:ilvl w:val="0"/>
          <w:numId w:val="2"/>
        </w:numPr>
        <w:spacing w:after="80"/>
      </w:pPr>
      <w:r>
        <w:t xml:space="preserve">The pre-approved media holding statement existed, was located quickly, and was used appropriately, keeping the media inject from consuming incident response capacity.</w:t>
      </w:r>
    </w:p>
    <w:p>
      <w:pPr>
        <w:pStyle w:val="ListParagraph"/>
        <w:numPr>
          <w:ilvl w:val="0"/>
          <w:numId w:val="2"/>
        </w:numPr>
        <w:spacing w:after="80"/>
      </w:pPr>
      <w:r>
        <w:t xml:space="preserve">Participants correctly identified that a compromised agency-side credential does not relieve the CSP of its own notification obligations — an accurate reading of the shared responsibility model.</w:t>
      </w:r>
    </w:p>
    <w:p>
      <w:pPr>
        <w:pStyle w:val="Heading1"/>
        <w:spacing w:after="160" w:before="320"/>
      </w:pPr>
      <w:r>
        <w:rPr>
          <w:b/>
          <w:bCs/>
          <w:color w:val="1F3864"/>
        </w:rPr>
        <w:t xml:space="preserve">8. Findings and Corrective Actions</w:t>
      </w:r>
    </w:p>
    <w:p>
      <w:pPr>
        <w:spacing w:after="160"/>
      </w:pPr>
      <w:r>
        <w:t xml:space="preserve">Three findings were identified. Each is assigned an owner and a due date, and will be tracked to closure alongside the POA&amp;M.</w:t>
      </w:r>
    </w:p>
    <w:p>
      <w:pPr>
        <w:pStyle w:val="Heading2"/>
        <w:spacing w:after="120" w:before="260"/>
      </w:pPr>
      <w:r>
        <w:rPr>
          <w:b/>
          <w:bCs/>
          <w:color w:val="1F3864"/>
        </w:rPr>
        <w:t xml:space="preserve">TTX-01 — Notification and Classification Timelines Missed</w:t>
      </w:r>
    </w:p>
    <w:p>
      <w:pPr>
        <w:spacing w:after="120"/>
      </w:pPr>
      <w:r>
        <w:rPr>
          <w:b/>
          <w:bCs/>
        </w:rPr>
        <w:t xml:space="preserve">Observation. </w:t>
      </w:r>
      <w:r>
        <w:t xml:space="preserve">Severity classification took 22 minutes against a 15-minute objective, and the external notification draft was completed at T+64 against a 60-minute requirement. The delay originated in classification: participants spent time seeking additional confirmation before assigning Sev-1, which pushed every downstream step.</w:t>
      </w:r>
    </w:p>
    <w:p>
      <w:pPr>
        <w:spacing w:after="120"/>
      </w:pPr>
      <w:r>
        <w:rPr>
          <w:b/>
          <w:bCs/>
        </w:rPr>
        <w:t xml:space="preserve">Analysis. </w:t>
      </w:r>
      <w:r>
        <w:t xml:space="preserve">The Incident Response Plan defines severity tiers but does not state that classification should be made on available information and revised as facts develop. Participants defaulted to seeking certainty, which is the wrong bias when a regulatory clock is running.</w:t>
      </w:r>
    </w:p>
    <w:p>
      <w:pPr>
        <w:spacing w:after="120"/>
      </w:pPr>
      <w:r>
        <w:rPr>
          <w:b/>
          <w:bCs/>
        </w:rPr>
        <w:t xml:space="preserve">Corrective Action. </w:t>
      </w:r>
      <w:r>
        <w:t xml:space="preserve">Revise the IR Plan to direct provisional severity assignment within 10 minutes on available evidence, with explicit authority to downgrade later. Add a pre-drafted US-CERT notification template with fillable fields so drafting time is reduced to minutes.</w:t>
      </w:r>
    </w:p>
    <w:p>
      <w:pPr>
        <w:spacing w:after="120"/>
      </w:pPr>
      <w:r>
        <w:rPr>
          <w:b/>
          <w:bCs/>
        </w:rPr>
        <w:t xml:space="preserve">Owner / Due Date. </w:t>
      </w:r>
      <w:r>
        <w:t xml:space="preserve">Incident Response Lead / 2026-06-30</w:t>
      </w:r>
    </w:p>
    <w:p>
      <w:pPr>
        <w:pStyle w:val="Heading2"/>
        <w:spacing w:after="120" w:before="260"/>
      </w:pPr>
      <w:r>
        <w:rPr>
          <w:b/>
          <w:bCs/>
          <w:color w:val="1F3864"/>
        </w:rPr>
        <w:t xml:space="preserve">TTX-02 — Outdated Contact Information in IR Plan Roster</w:t>
      </w:r>
    </w:p>
    <w:p>
      <w:pPr>
        <w:spacing w:after="120"/>
      </w:pPr>
      <w:r>
        <w:rPr>
          <w:b/>
          <w:bCs/>
        </w:rPr>
        <w:t xml:space="preserve">Observation. </w:t>
      </w:r>
      <w:r>
        <w:t xml:space="preserve">The mobile number listed for General Counsel was outdated. Contact was ultimately made only because a participant personally knew an alternate number — a dependency that would not survive personnel turnover.</w:t>
      </w:r>
    </w:p>
    <w:p>
      <w:pPr>
        <w:spacing w:after="120"/>
      </w:pPr>
      <w:r>
        <w:rPr>
          <w:b/>
          <w:bCs/>
        </w:rPr>
        <w:t xml:space="preserve">Analysis. </w:t>
      </w:r>
      <w:r>
        <w:t xml:space="preserve">The contact roster has no verification cadence. It is updated reactively when someone notices an error, which by definition means errors are discovered during incidents.</w:t>
      </w:r>
    </w:p>
    <w:p>
      <w:pPr>
        <w:spacing w:after="120"/>
      </w:pPr>
      <w:r>
        <w:rPr>
          <w:b/>
          <w:bCs/>
        </w:rPr>
        <w:t xml:space="preserve">Corrective Action. </w:t>
      </w:r>
      <w:r>
        <w:t xml:space="preserve">Institute a quarterly contact roster verification with a documented test call or message to every listed contact. Add a secondary contact method for every role. Move the roster to a location accessible without VPN, since a network-affecting incident could otherwise render it unreachable.</w:t>
      </w:r>
    </w:p>
    <w:p>
      <w:pPr>
        <w:spacing w:after="120"/>
      </w:pPr>
      <w:r>
        <w:rPr>
          <w:b/>
          <w:bCs/>
        </w:rPr>
        <w:t xml:space="preserve">Owner / Due Date. </w:t>
      </w:r>
      <w:r>
        <w:t xml:space="preserve">ISSO / 2026-06-15</w:t>
      </w:r>
    </w:p>
    <w:p>
      <w:pPr>
        <w:pStyle w:val="Heading2"/>
        <w:spacing w:after="120" w:before="260"/>
      </w:pPr>
      <w:r>
        <w:rPr>
          <w:b/>
          <w:bCs/>
          <w:color w:val="1F3864"/>
        </w:rPr>
        <w:t xml:space="preserve">TTX-03 — No Guidance for Incidents Originating at the Customer Boundary</w:t>
      </w:r>
    </w:p>
    <w:p>
      <w:pPr>
        <w:spacing w:after="120"/>
      </w:pPr>
      <w:r>
        <w:rPr>
          <w:b/>
          <w:bCs/>
        </w:rPr>
        <w:t xml:space="preserve">Observation. </w:t>
      </w:r>
      <w:r>
        <w:t xml:space="preserve">When the scenario introduced ambiguity about whether the agency's identity provider was compromised, participants spent roughly twelve minutes debating notification and coordination obligations with no plan guidance to resolve it.</w:t>
      </w:r>
    </w:p>
    <w:p>
      <w:pPr>
        <w:spacing w:after="120"/>
      </w:pPr>
      <w:r>
        <w:rPr>
          <w:b/>
          <w:bCs/>
        </w:rPr>
        <w:t xml:space="preserve">Analysis. </w:t>
      </w:r>
      <w:r>
        <w:t xml:space="preserve">The Incident Response Plan addresses incidents originating within the CSP boundary but is silent on incidents where the initial compromise occurs on the customer side and manifests within the platform. This is a foreseeable and arguably more likely scenario than a direct platform compromise.</w:t>
      </w:r>
    </w:p>
    <w:p>
      <w:pPr>
        <w:spacing w:after="120"/>
      </w:pPr>
      <w:r>
        <w:rPr>
          <w:b/>
          <w:bCs/>
        </w:rPr>
        <w:t xml:space="preserve">Corrective Action. </w:t>
      </w:r>
      <w:r>
        <w:t xml:space="preserve">Add a section to the IR Plan covering customer-boundary incidents, defining CSP notification obligations regardless of origin, the process for coordinating with the agency's own incident responders, and the decision criteria for suspending a tenant's access during an active investigation. Cross-reference the Customer Responsibility Matrix (IR-6).</w:t>
      </w:r>
    </w:p>
    <w:p>
      <w:pPr>
        <w:spacing w:after="120"/>
      </w:pPr>
      <w:r>
        <w:rPr>
          <w:b/>
          <w:bCs/>
        </w:rPr>
        <w:t xml:space="preserve">Owner / Due Date. </w:t>
      </w:r>
      <w:r>
        <w:t xml:space="preserve">Incident Response Lead, with ISSO and General Counsel review / 2026-07-15</w:t>
      </w:r>
    </w:p>
    <w:p>
      <w:pPr>
        <w:pStyle w:val="Heading1"/>
        <w:spacing w:after="160" w:before="320"/>
      </w:pPr>
      <w:r>
        <w:rPr>
          <w:b/>
          <w:bCs/>
          <w:color w:val="1F3864"/>
        </w:rPr>
        <w:t xml:space="preserve">9. Corrective Action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2000"/>
        <w:gridCol w:w="2250"/>
      </w:tblGrid>
      <w:tr>
        <w:tc>
          <w:tcPr>
            <w:tcW w:type="dxa" w:w="1300"/>
            <w:shd w:fill="1F3864" w:val="clear"/>
            <w:tcMar>
              <w:top w:type="dxa" w:w="80"/>
              <w:left w:type="dxa" w:w="100"/>
              <w:bottom w:type="dxa" w:w="80"/>
              <w:right w:type="dxa" w:w="100"/>
            </w:tcMar>
          </w:tcPr>
          <w:p>
            <w:r>
              <w:rPr>
                <w:b/>
                <w:bCs/>
                <w:color w:val="FFFFFF"/>
                <w:sz w:val="18"/>
                <w:szCs w:val="18"/>
              </w:rPr>
              <w:t xml:space="preserve">Finding</w:t>
            </w:r>
          </w:p>
        </w:tc>
        <w:tc>
          <w:tcPr>
            <w:tcW w:type="dxa" w:w="3800"/>
            <w:shd w:fill="1F3864" w:val="clear"/>
            <w:tcMar>
              <w:top w:type="dxa" w:w="80"/>
              <w:left w:type="dxa" w:w="100"/>
              <w:bottom w:type="dxa" w:w="80"/>
              <w:right w:type="dxa" w:w="100"/>
            </w:tcMar>
          </w:tcPr>
          <w:p>
            <w:r>
              <w:rPr>
                <w:b/>
                <w:bCs/>
                <w:color w:val="FFFFFF"/>
                <w:sz w:val="18"/>
                <w:szCs w:val="18"/>
              </w:rPr>
              <w:t xml:space="preserve">Corrective Action</w:t>
            </w:r>
          </w:p>
        </w:tc>
        <w:tc>
          <w:tcPr>
            <w:tcW w:type="dxa" w:w="2000"/>
            <w:shd w:fill="1F3864" w:val="clear"/>
            <w:tcMar>
              <w:top w:type="dxa" w:w="80"/>
              <w:left w:type="dxa" w:w="100"/>
              <w:bottom w:type="dxa" w:w="80"/>
              <w:right w:type="dxa" w:w="100"/>
            </w:tcMar>
          </w:tcPr>
          <w:p>
            <w:r>
              <w:rPr>
                <w:b/>
                <w:bCs/>
                <w:color w:val="FFFFFF"/>
                <w:sz w:val="18"/>
                <w:szCs w:val="18"/>
              </w:rPr>
              <w:t xml:space="preserve">Owner</w:t>
            </w:r>
          </w:p>
        </w:tc>
        <w:tc>
          <w:tcPr>
            <w:tcW w:type="dxa" w:w="2250"/>
            <w:shd w:fill="1F3864" w:val="clear"/>
            <w:tcMar>
              <w:top w:type="dxa" w:w="80"/>
              <w:left w:type="dxa" w:w="100"/>
              <w:bottom w:type="dxa" w:w="80"/>
              <w:right w:type="dxa" w:w="100"/>
            </w:tcMar>
          </w:tcPr>
          <w:p>
            <w:r>
              <w:rPr>
                <w:b/>
                <w:bCs/>
                <w:color w:val="FFFFFF"/>
                <w:sz w:val="18"/>
                <w:szCs w:val="18"/>
              </w:rPr>
              <w:t xml:space="preserve">Due Date</w:t>
            </w:r>
          </w:p>
        </w:tc>
      </w:tr>
      <w:tr>
        <w:tc>
          <w:tcPr>
            <w:tcW w:type="dxa" w:w="1300"/>
            <w:tcMar>
              <w:top w:type="dxa" w:w="80"/>
              <w:left w:type="dxa" w:w="100"/>
              <w:bottom w:type="dxa" w:w="80"/>
              <w:right w:type="dxa" w:w="100"/>
            </w:tcMar>
          </w:tcPr>
          <w:p>
            <w:r>
              <w:rPr>
                <w:b w:val="false"/>
                <w:bCs w:val="false"/>
                <w:color w:val="000000"/>
                <w:sz w:val="18"/>
                <w:szCs w:val="18"/>
              </w:rPr>
              <w:t xml:space="preserve">TTX-01</w:t>
            </w:r>
          </w:p>
        </w:tc>
        <w:tc>
          <w:tcPr>
            <w:tcW w:type="dxa" w:w="3800"/>
            <w:tcMar>
              <w:top w:type="dxa" w:w="80"/>
              <w:left w:type="dxa" w:w="100"/>
              <w:bottom w:type="dxa" w:w="80"/>
              <w:right w:type="dxa" w:w="100"/>
            </w:tcMar>
          </w:tcPr>
          <w:p>
            <w:r>
              <w:rPr>
                <w:b w:val="false"/>
                <w:bCs w:val="false"/>
                <w:color w:val="000000"/>
                <w:sz w:val="18"/>
                <w:szCs w:val="18"/>
              </w:rPr>
              <w:t xml:space="preserve">Provisional severity within 10 minutes; pre-drafted notification template</w:t>
            </w:r>
          </w:p>
        </w:tc>
        <w:tc>
          <w:tcPr>
            <w:tcW w:type="dxa" w:w="2000"/>
            <w:tcMar>
              <w:top w:type="dxa" w:w="80"/>
              <w:left w:type="dxa" w:w="100"/>
              <w:bottom w:type="dxa" w:w="80"/>
              <w:right w:type="dxa" w:w="100"/>
            </w:tcMar>
          </w:tcPr>
          <w:p>
            <w:r>
              <w:rPr>
                <w:b w:val="false"/>
                <w:bCs w:val="false"/>
                <w:color w:val="000000"/>
                <w:sz w:val="18"/>
                <w:szCs w:val="18"/>
              </w:rPr>
              <w:t xml:space="preserve">Incident Response Lead</w:t>
            </w:r>
          </w:p>
        </w:tc>
        <w:tc>
          <w:tcPr>
            <w:tcW w:type="dxa" w:w="2250"/>
            <w:tcMar>
              <w:top w:type="dxa" w:w="80"/>
              <w:left w:type="dxa" w:w="100"/>
              <w:bottom w:type="dxa" w:w="80"/>
              <w:right w:type="dxa" w:w="100"/>
            </w:tcMar>
          </w:tcPr>
          <w:p>
            <w:r>
              <w:rPr>
                <w:b w:val="false"/>
                <w:bCs w:val="false"/>
                <w:color w:val="000000"/>
                <w:sz w:val="18"/>
                <w:szCs w:val="18"/>
              </w:rPr>
              <w:t xml:space="preserve">2026-06-30</w:t>
            </w:r>
          </w:p>
        </w:tc>
      </w:tr>
      <w:tr>
        <w:tc>
          <w:tcPr>
            <w:tcW w:type="dxa" w:w="1300"/>
            <w:tcMar>
              <w:top w:type="dxa" w:w="80"/>
              <w:left w:type="dxa" w:w="100"/>
              <w:bottom w:type="dxa" w:w="80"/>
              <w:right w:type="dxa" w:w="100"/>
            </w:tcMar>
          </w:tcPr>
          <w:p>
            <w:r>
              <w:rPr>
                <w:b w:val="false"/>
                <w:bCs w:val="false"/>
                <w:color w:val="000000"/>
                <w:sz w:val="18"/>
                <w:szCs w:val="18"/>
              </w:rPr>
              <w:t xml:space="preserve">TTX-02</w:t>
            </w:r>
          </w:p>
        </w:tc>
        <w:tc>
          <w:tcPr>
            <w:tcW w:type="dxa" w:w="3800"/>
            <w:tcMar>
              <w:top w:type="dxa" w:w="80"/>
              <w:left w:type="dxa" w:w="100"/>
              <w:bottom w:type="dxa" w:w="80"/>
              <w:right w:type="dxa" w:w="100"/>
            </w:tcMar>
          </w:tcPr>
          <w:p>
            <w:r>
              <w:rPr>
                <w:b w:val="false"/>
                <w:bCs w:val="false"/>
                <w:color w:val="000000"/>
                <w:sz w:val="18"/>
                <w:szCs w:val="18"/>
              </w:rPr>
              <w:t xml:space="preserve">Quarterly roster verification; secondary contacts; offline-accessible roster</w:t>
            </w:r>
          </w:p>
        </w:tc>
        <w:tc>
          <w:tcPr>
            <w:tcW w:type="dxa" w:w="2000"/>
            <w:tcMar>
              <w:top w:type="dxa" w:w="80"/>
              <w:left w:type="dxa" w:w="100"/>
              <w:bottom w:type="dxa" w:w="80"/>
              <w:right w:type="dxa" w:w="100"/>
            </w:tcMar>
          </w:tcPr>
          <w:p>
            <w:r>
              <w:rPr>
                <w:b w:val="false"/>
                <w:bCs w:val="false"/>
                <w:color w:val="000000"/>
                <w:sz w:val="18"/>
                <w:szCs w:val="18"/>
              </w:rPr>
              <w:t xml:space="preserve">ISSO</w:t>
            </w:r>
          </w:p>
        </w:tc>
        <w:tc>
          <w:tcPr>
            <w:tcW w:type="dxa" w:w="2250"/>
            <w:tcMar>
              <w:top w:type="dxa" w:w="80"/>
              <w:left w:type="dxa" w:w="100"/>
              <w:bottom w:type="dxa" w:w="80"/>
              <w:right w:type="dxa" w:w="100"/>
            </w:tcMar>
          </w:tcPr>
          <w:p>
            <w:r>
              <w:rPr>
                <w:b w:val="false"/>
                <w:bCs w:val="false"/>
                <w:color w:val="000000"/>
                <w:sz w:val="18"/>
                <w:szCs w:val="18"/>
              </w:rPr>
              <w:t xml:space="preserve">2026-06-15</w:t>
            </w:r>
          </w:p>
        </w:tc>
      </w:tr>
      <w:tr>
        <w:tc>
          <w:tcPr>
            <w:tcW w:type="dxa" w:w="1300"/>
            <w:tcMar>
              <w:top w:type="dxa" w:w="80"/>
              <w:left w:type="dxa" w:w="100"/>
              <w:bottom w:type="dxa" w:w="80"/>
              <w:right w:type="dxa" w:w="100"/>
            </w:tcMar>
          </w:tcPr>
          <w:p>
            <w:r>
              <w:rPr>
                <w:b w:val="false"/>
                <w:bCs w:val="false"/>
                <w:color w:val="000000"/>
                <w:sz w:val="18"/>
                <w:szCs w:val="18"/>
              </w:rPr>
              <w:t xml:space="preserve">TTX-03</w:t>
            </w:r>
          </w:p>
        </w:tc>
        <w:tc>
          <w:tcPr>
            <w:tcW w:type="dxa" w:w="3800"/>
            <w:tcMar>
              <w:top w:type="dxa" w:w="80"/>
              <w:left w:type="dxa" w:w="100"/>
              <w:bottom w:type="dxa" w:w="80"/>
              <w:right w:type="dxa" w:w="100"/>
            </w:tcMar>
          </w:tcPr>
          <w:p>
            <w:r>
              <w:rPr>
                <w:b w:val="false"/>
                <w:bCs w:val="false"/>
                <w:color w:val="000000"/>
                <w:sz w:val="18"/>
                <w:szCs w:val="18"/>
              </w:rPr>
              <w:t xml:space="preserve">IR Plan section for customer-boundary incidents</w:t>
            </w:r>
          </w:p>
        </w:tc>
        <w:tc>
          <w:tcPr>
            <w:tcW w:type="dxa" w:w="2000"/>
            <w:tcMar>
              <w:top w:type="dxa" w:w="80"/>
              <w:left w:type="dxa" w:w="100"/>
              <w:bottom w:type="dxa" w:w="80"/>
              <w:right w:type="dxa" w:w="100"/>
            </w:tcMar>
          </w:tcPr>
          <w:p>
            <w:r>
              <w:rPr>
                <w:b w:val="false"/>
                <w:bCs w:val="false"/>
                <w:color w:val="000000"/>
                <w:sz w:val="18"/>
                <w:szCs w:val="18"/>
              </w:rPr>
              <w:t xml:space="preserve">Incident Response Lead</w:t>
            </w:r>
          </w:p>
        </w:tc>
        <w:tc>
          <w:tcPr>
            <w:tcW w:type="dxa" w:w="2250"/>
            <w:tcMar>
              <w:top w:type="dxa" w:w="80"/>
              <w:left w:type="dxa" w:w="100"/>
              <w:bottom w:type="dxa" w:w="80"/>
              <w:right w:type="dxa" w:w="100"/>
            </w:tcMar>
          </w:tcPr>
          <w:p>
            <w:r>
              <w:rPr>
                <w:b w:val="false"/>
                <w:bCs w:val="false"/>
                <w:color w:val="000000"/>
                <w:sz w:val="18"/>
                <w:szCs w:val="18"/>
              </w:rPr>
              <w:t xml:space="preserve">2026-07-15</w:t>
            </w:r>
          </w:p>
        </w:tc>
      </w:tr>
    </w:tbl>
    <w:p>
      <w:pPr>
        <w:pStyle w:val="Heading1"/>
        <w:spacing w:after="160" w:before="320"/>
      </w:pPr>
      <w:r>
        <w:rPr>
          <w:b/>
          <w:bCs/>
          <w:color w:val="1F3864"/>
        </w:rPr>
        <w:t xml:space="preserve">10. POA&amp;M Disposition</w:t>
      </w:r>
    </w:p>
    <w:p>
      <w:pPr>
        <w:spacing w:after="160"/>
      </w:pPr>
      <w:r>
        <w:t xml:space="preserve">This exercise was conducted to satisfy POA&amp;M item V-006, which arose from SAR finding FIND-006. The exercise was executed as planned and the notification workflow was tested end to end with Legal and Communications participation, satisfying the milestone requirements.</w:t>
      </w:r>
    </w:p>
    <w:p>
      <w:pPr>
        <w:spacing w:after="160"/>
      </w:pPr>
      <w:r>
        <w:t xml:space="preserve">However, the exercise demonstrated that the one-hour notification requirement was not met, which means the underlying deficiency is not yet resolved. The ISSO recommends that V-006 remain open pending completion of the three corrective actions above, with closure requested only after a follow-up exercise demonstrates notification within the required timeline.</w:t>
      </w:r>
    </w:p>
    <w:p>
      <w:pPr>
        <w:spacing w:after="160"/>
      </w:pPr>
      <w:r>
        <w:t xml:space="preserve">This recommendation is deliberate. Closing a POA&amp;M item on the basis that an exercise occurred, rather than on the basis that the exercise succeeded, would misrepresent the organization's posture to the Authorizing Official.</w:t>
      </w:r>
    </w:p>
    <w:p>
      <w:pPr>
        <w:pStyle w:val="Heading1"/>
        <w:spacing w:after="160" w:before="320"/>
      </w:pPr>
      <w:r>
        <w:rPr>
          <w:b/>
          <w:bCs/>
          <w:color w:val="1F3864"/>
        </w:rPr>
        <w:t xml:space="preserve">11. Recommended Next Exercise</w:t>
      </w:r>
    </w:p>
    <w:p>
      <w:pPr>
        <w:pStyle w:val="ListParagraph"/>
        <w:numPr>
          <w:ilvl w:val="0"/>
          <w:numId w:val="2"/>
        </w:numPr>
        <w:spacing w:after="80"/>
      </w:pPr>
      <w:r>
        <w:t xml:space="preserve">Conduct a follow-up notification-focused exercise no later than 2026-09-30 to validate corrective actions, using a different scenario vector to avoid rehearsed responses.</w:t>
      </w:r>
    </w:p>
    <w:p>
      <w:pPr>
        <w:pStyle w:val="ListParagraph"/>
        <w:numPr>
          <w:ilvl w:val="0"/>
          <w:numId w:val="2"/>
        </w:numPr>
        <w:spacing w:after="80"/>
      </w:pPr>
      <w:r>
        <w:t xml:space="preserve">Include the sponsoring agency's actual ISSO as a participant rather than a simulated role, to validate the real coordination path.</w:t>
      </w:r>
    </w:p>
    <w:p>
      <w:pPr>
        <w:pStyle w:val="ListParagraph"/>
        <w:numPr>
          <w:ilvl w:val="0"/>
          <w:numId w:val="2"/>
        </w:numPr>
        <w:spacing w:after="80"/>
      </w:pPr>
      <w:r>
        <w:t xml:space="preserve">Introduce an unannounced after-hours start time, since both this exercise and the prior one were conducted during business hours with participants pre-assembled.</w:t>
      </w:r>
    </w:p>
    <w:p>
      <w:pPr>
        <w:pStyle w:val="Heading1"/>
        <w:spacing w:after="160" w:before="320"/>
      </w:pPr>
      <w:r>
        <w:rPr>
          <w:b/>
          <w:bCs/>
          <w:color w:val="1F3864"/>
        </w:rPr>
        <w:t xml:space="preserve">12. Distribution and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Recipient</w:t>
            </w:r>
          </w:p>
        </w:tc>
        <w:tc>
          <w:tcPr>
            <w:tcW w:type="dxa" w:w="6350"/>
            <w:shd w:fill="1F3864" w:val="clear"/>
            <w:tcMar>
              <w:top w:type="dxa" w:w="80"/>
              <w:left w:type="dxa" w:w="100"/>
              <w:bottom w:type="dxa" w:w="80"/>
              <w:right w:type="dxa" w:w="100"/>
            </w:tcMar>
          </w:tcPr>
          <w:p>
            <w:r>
              <w:rPr>
                <w:b/>
                <w:bCs/>
                <w:color w:val="FFFFFF"/>
                <w:sz w:val="18"/>
                <w:szCs w:val="18"/>
              </w:rPr>
              <w:t xml:space="preserve">Purpose</w:t>
            </w:r>
          </w:p>
        </w:tc>
      </w:tr>
      <w:tr>
        <w:tc>
          <w:tcPr>
            <w:tcW w:type="dxa" w:w="3000"/>
            <w:tcMar>
              <w:top w:type="dxa" w:w="80"/>
              <w:left w:type="dxa" w:w="100"/>
              <w:bottom w:type="dxa" w:w="80"/>
              <w:right w:type="dxa" w:w="100"/>
            </w:tcMar>
          </w:tcPr>
          <w:p>
            <w:r>
              <w:rPr>
                <w:b w:val="false"/>
                <w:bCs w:val="false"/>
                <w:color w:val="000000"/>
                <w:sz w:val="18"/>
                <w:szCs w:val="18"/>
              </w:rPr>
              <w:t xml:space="preserve">System Owner</w:t>
            </w:r>
          </w:p>
        </w:tc>
        <w:tc>
          <w:tcPr>
            <w:tcW w:type="dxa" w:w="6350"/>
            <w:tcMar>
              <w:top w:type="dxa" w:w="80"/>
              <w:left w:type="dxa" w:w="100"/>
              <w:bottom w:type="dxa" w:w="80"/>
              <w:right w:type="dxa" w:w="100"/>
            </w:tcMar>
          </w:tcPr>
          <w:p>
            <w:r>
              <w:rPr>
                <w:b w:val="false"/>
                <w:bCs w:val="false"/>
                <w:color w:val="000000"/>
                <w:sz w:val="18"/>
                <w:szCs w:val="18"/>
              </w:rPr>
              <w:t xml:space="preserve">Awareness and resourcing of corrective actions</w:t>
            </w:r>
          </w:p>
        </w:tc>
      </w:tr>
      <w:tr>
        <w:tc>
          <w:tcPr>
            <w:tcW w:type="dxa" w:w="3000"/>
            <w:tcMar>
              <w:top w:type="dxa" w:w="80"/>
              <w:left w:type="dxa" w:w="100"/>
              <w:bottom w:type="dxa" w:w="80"/>
              <w:right w:type="dxa" w:w="100"/>
            </w:tcMar>
          </w:tcPr>
          <w:p>
            <w:r>
              <w:rPr>
                <w:b w:val="false"/>
                <w:bCs w:val="false"/>
                <w:color w:val="000000"/>
                <w:sz w:val="18"/>
                <w:szCs w:val="18"/>
              </w:rPr>
              <w:t xml:space="preserve">ISSO</w:t>
            </w:r>
          </w:p>
        </w:tc>
        <w:tc>
          <w:tcPr>
            <w:tcW w:type="dxa" w:w="6350"/>
            <w:tcMar>
              <w:top w:type="dxa" w:w="80"/>
              <w:left w:type="dxa" w:w="100"/>
              <w:bottom w:type="dxa" w:w="80"/>
              <w:right w:type="dxa" w:w="100"/>
            </w:tcMar>
          </w:tcPr>
          <w:p>
            <w:r>
              <w:rPr>
                <w:b w:val="false"/>
                <w:bCs w:val="false"/>
                <w:color w:val="000000"/>
                <w:sz w:val="18"/>
                <w:szCs w:val="18"/>
              </w:rPr>
              <w:t xml:space="preserve">POA&amp;M maintenance and continuous monitoring reporting</w:t>
            </w:r>
          </w:p>
        </w:tc>
      </w:tr>
      <w:tr>
        <w:tc>
          <w:tcPr>
            <w:tcW w:type="dxa" w:w="3000"/>
            <w:tcMar>
              <w:top w:type="dxa" w:w="80"/>
              <w:left w:type="dxa" w:w="100"/>
              <w:bottom w:type="dxa" w:w="80"/>
              <w:right w:type="dxa" w:w="100"/>
            </w:tcMar>
          </w:tcPr>
          <w:p>
            <w:r>
              <w:rPr>
                <w:b w:val="false"/>
                <w:bCs w:val="false"/>
                <w:color w:val="000000"/>
                <w:sz w:val="18"/>
                <w:szCs w:val="18"/>
              </w:rPr>
              <w:t xml:space="preserve">Incident Response Lead</w:t>
            </w:r>
          </w:p>
        </w:tc>
        <w:tc>
          <w:tcPr>
            <w:tcW w:type="dxa" w:w="6350"/>
            <w:tcMar>
              <w:top w:type="dxa" w:w="80"/>
              <w:left w:type="dxa" w:w="100"/>
              <w:bottom w:type="dxa" w:w="80"/>
              <w:right w:type="dxa" w:w="100"/>
            </w:tcMar>
          </w:tcPr>
          <w:p>
            <w:r>
              <w:rPr>
                <w:b w:val="false"/>
                <w:bCs w:val="false"/>
                <w:color w:val="000000"/>
                <w:sz w:val="18"/>
                <w:szCs w:val="18"/>
              </w:rPr>
              <w:t xml:space="preserve">Corrective action ownership</w:t>
            </w:r>
          </w:p>
        </w:tc>
      </w:tr>
      <w:tr>
        <w:tc>
          <w:tcPr>
            <w:tcW w:type="dxa" w:w="3000"/>
            <w:tcMar>
              <w:top w:type="dxa" w:w="80"/>
              <w:left w:type="dxa" w:w="100"/>
              <w:bottom w:type="dxa" w:w="80"/>
              <w:right w:type="dxa" w:w="100"/>
            </w:tcMar>
          </w:tcPr>
          <w:p>
            <w:r>
              <w:rPr>
                <w:b w:val="false"/>
                <w:bCs w:val="false"/>
                <w:color w:val="000000"/>
                <w:sz w:val="18"/>
                <w:szCs w:val="18"/>
              </w:rPr>
              <w:t xml:space="preserve">General Counsel</w:t>
            </w:r>
          </w:p>
        </w:tc>
        <w:tc>
          <w:tcPr>
            <w:tcW w:type="dxa" w:w="6350"/>
            <w:tcMar>
              <w:top w:type="dxa" w:w="80"/>
              <w:left w:type="dxa" w:w="100"/>
              <w:bottom w:type="dxa" w:w="80"/>
              <w:right w:type="dxa" w:w="100"/>
            </w:tcMar>
          </w:tcPr>
          <w:p>
            <w:r>
              <w:rPr>
                <w:b w:val="false"/>
                <w:bCs w:val="false"/>
                <w:color w:val="000000"/>
                <w:sz w:val="18"/>
                <w:szCs w:val="18"/>
              </w:rPr>
              <w:t xml:space="preserve">Awareness of legal coordination findings</w:t>
            </w:r>
          </w:p>
        </w:tc>
      </w:tr>
      <w:tr>
        <w:tc>
          <w:tcPr>
            <w:tcW w:type="dxa" w:w="3000"/>
            <w:tcMar>
              <w:top w:type="dxa" w:w="80"/>
              <w:left w:type="dxa" w:w="100"/>
              <w:bottom w:type="dxa" w:w="80"/>
              <w:right w:type="dxa" w:w="100"/>
            </w:tcMar>
          </w:tcPr>
          <w:p>
            <w:r>
              <w:rPr>
                <w:b w:val="false"/>
                <w:bCs w:val="false"/>
                <w:color w:val="000000"/>
                <w:sz w:val="18"/>
                <w:szCs w:val="18"/>
              </w:rPr>
              <w:t xml:space="preserve">Sponsoring Agency AO (via ConMon submission)</w:t>
            </w:r>
          </w:p>
        </w:tc>
        <w:tc>
          <w:tcPr>
            <w:tcW w:type="dxa" w:w="6350"/>
            <w:tcMar>
              <w:top w:type="dxa" w:w="80"/>
              <w:left w:type="dxa" w:w="100"/>
              <w:bottom w:type="dxa" w:w="80"/>
              <w:right w:type="dxa" w:w="100"/>
            </w:tcMar>
          </w:tcPr>
          <w:p>
            <w:r>
              <w:rPr>
                <w:b w:val="false"/>
                <w:bCs w:val="false"/>
                <w:color w:val="000000"/>
                <w:sz w:val="18"/>
                <w:szCs w:val="18"/>
              </w:rPr>
              <w:t xml:space="preserve">Evidence of contingency and incident response testing</w:t>
            </w:r>
          </w:p>
        </w:tc>
      </w:tr>
    </w:tbl>
    <w:p>
      <w:pPr>
        <w:spacing w:after="160"/>
      </w:pPr>
      <w:r>
        <w:t xml:space="preserve">Approved by: Incident Response Lead and ISSO, 2026-06-04. This report contains exercise artifacts only and does not describe an actual security incident.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Controlled Unclassified Information (CUI)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AwardWorks Platform — IR Tabletop After-Action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2026-08-13T15:40:11.872Z</dcterms:created>
  <dcterms:modified xsi:type="dcterms:W3CDTF">2026-08-13T15:40:11.884Z</dcterms:modified>
</cp:coreProperties>
</file>

<file path=docProps/custom.xml><?xml version="1.0" encoding="utf-8"?>
<Properties xmlns="http://schemas.openxmlformats.org/officeDocument/2006/custom-properties" xmlns:vt="http://schemas.openxmlformats.org/officeDocument/2006/docPropsVTypes"/>
</file>