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MERIDIAN HEALTH ANALYTICS, INC.</w:t>
      </w:r>
    </w:p>
    <w:p>
      <w:pPr>
        <w:spacing w:after="80"/>
        <w:jc w:val="center"/>
      </w:pPr>
      <w:r>
        <w:rPr>
          <w:b/>
          <w:bCs/>
          <w:color w:val="1F3864"/>
          <w:sz w:val="32"/>
          <w:szCs w:val="32"/>
        </w:rPr>
        <w:t xml:space="preserve">Business Impact Analysis (BIA)</w:t>
      </w:r>
    </w:p>
    <w:p>
      <w:pPr>
        <w:spacing w:after="40"/>
        <w:jc w:val="center"/>
      </w:pPr>
      <w:r>
        <w:rPr>
          <w:i/>
          <w:iCs/>
          <w:color w:val="595959"/>
          <w:sz w:val="20"/>
          <w:szCs w:val="20"/>
        </w:rPr>
        <w:t xml:space="preserve">Prepared by: GRC Function | Date: 2026-02-15 | Next Review: 2027-02-15</w:t>
      </w:r>
    </w:p>
    <w:p>
      <w:pPr>
        <w:spacing w:after="300"/>
        <w:jc w:val="center"/>
      </w:pPr>
      <w:r>
        <w:rPr>
          <w:i/>
          <w:iCs/>
          <w:color w:val="AAAAAA"/>
          <w:sz w:val="18"/>
          <w:szCs w:val="18"/>
        </w:rPr>
        <w:t xml:space="preserve">Sample GRC portfolio artifact — fictional company</w:t>
      </w:r>
    </w:p>
    <w:p>
      <w:pPr>
        <w:pStyle w:val="Heading1"/>
        <w:spacing w:after="160" w:before="320"/>
      </w:pPr>
      <w:r>
        <w:rPr>
          <w:b/>
          <w:bCs/>
          <w:color w:val="1F3864"/>
        </w:rPr>
        <w:t xml:space="preserve">1. Purpose &amp; Scope</w:t>
      </w:r>
    </w:p>
    <w:p>
      <w:pPr>
        <w:spacing w:after="160"/>
      </w:pPr>
      <w:r>
        <w:t xml:space="preserve">This Business Impact Analysis (BIA) identifies and prioritizes Meridian Health Analytics' critical business processes, quantifies the operational and financial impact of their disruption, and establishes recovery objectives that inform Business Continuity and Disaster Recovery planning. This BIA covers all processes supporting claims processing, billing, and patient-facing services.</w:t>
      </w:r>
    </w:p>
    <w:p>
      <w:pPr>
        <w:pStyle w:val="Heading1"/>
        <w:spacing w:after="160" w:before="320"/>
      </w:pPr>
      <w:r>
        <w:rPr>
          <w:b/>
          <w:bCs/>
          <w:color w:val="1F3864"/>
        </w:rPr>
        <w:t xml:space="preserve">2. Methodology</w:t>
      </w:r>
    </w:p>
    <w:p>
      <w:pPr>
        <w:spacing w:after="160"/>
      </w:pPr>
      <w:r>
        <w:t xml:space="preserve">Process owners were interviewed to identify dependencies, peak operating periods, and tolerance for downtime. Impact was assessed across financial, regulatory, customer/reputational, legal, and operational dimensions at 24-hour, 72-hour, and 1-week disruption intervals. Recovery Time Objective (RTO), Recovery Point Objective (RPO), and Maximum Tolerable Downtime (MTD) were then assigned per process and validated against current technical recovery capability.</w:t>
      </w:r>
    </w:p>
    <w:p>
      <w:pPr>
        <w:pStyle w:val="ListParagraph"/>
        <w:numPr>
          <w:ilvl w:val="0"/>
          <w:numId w:val="2"/>
        </w:numPr>
        <w:spacing w:after="80"/>
      </w:pPr>
      <w:r>
        <w:t xml:space="preserve">RTO — the maximum acceptable time to restore a process after disruption.</w:t>
      </w:r>
    </w:p>
    <w:p>
      <w:pPr>
        <w:pStyle w:val="ListParagraph"/>
        <w:numPr>
          <w:ilvl w:val="0"/>
          <w:numId w:val="2"/>
        </w:numPr>
        <w:spacing w:after="80"/>
      </w:pPr>
      <w:r>
        <w:t xml:space="preserve">RPO — the maximum acceptable amount of data loss, measured in time since the last recovery point.</w:t>
      </w:r>
    </w:p>
    <w:p>
      <w:pPr>
        <w:pStyle w:val="ListParagraph"/>
        <w:numPr>
          <w:ilvl w:val="0"/>
          <w:numId w:val="2"/>
        </w:numPr>
        <w:spacing w:after="80"/>
      </w:pPr>
      <w:r>
        <w:t xml:space="preserve">MTD — the absolute maximum duration a process can be unavailable before causing unacceptable harm to the organization.</w:t>
      </w:r>
    </w:p>
    <w:p>
      <w:pPr>
        <w:pStyle w:val="Heading1"/>
        <w:spacing w:after="160" w:before="320"/>
      </w:pPr>
      <w:r>
        <w:rPr>
          <w:b/>
          <w:bCs/>
          <w:color w:val="1F3864"/>
        </w:rPr>
        <w:t xml:space="preserve">3. Critical Business Process Inventory</w:t>
      </w:r>
    </w:p>
    <w:p>
      <w:pPr>
        <w:spacing w:after="160"/>
      </w:pPr>
      <w:r>
        <w:t xml:space="preserve">Processes are ranked by criticality tier, with corresponding recovery objectives and estimated financial exposure per day of outage.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750"/>
        <w:gridCol w:w="750"/>
        <w:gridCol w:w="750"/>
        <w:gridCol w:w="1500"/>
        <w:gridCol w:w="1600"/>
      </w:tblGrid>
      <w:tr>
        <w:tc>
          <w:tcPr>
            <w:tcW w:type="dxa" w:w="1900"/>
            <w:shd w:fill="1F3864" w:val="clear"/>
            <w:tcMar>
              <w:top w:type="dxa" w:w="80"/>
              <w:left w:type="dxa" w:w="100"/>
              <w:bottom w:type="dxa" w:w="80"/>
              <w:right w:type="dxa" w:w="100"/>
            </w:tcMar>
          </w:tcPr>
          <w:p>
            <w:r>
              <w:rPr>
                <w:b/>
                <w:bCs/>
                <w:color w:val="FFFFFF"/>
                <w:sz w:val="18"/>
                <w:szCs w:val="18"/>
              </w:rPr>
              <w:t xml:space="preserve">Business Process</w:t>
            </w:r>
          </w:p>
        </w:tc>
        <w:tc>
          <w:tcPr>
            <w:tcW w:type="dxa" w:w="1100"/>
            <w:shd w:fill="1F3864" w:val="clear"/>
            <w:tcMar>
              <w:top w:type="dxa" w:w="80"/>
              <w:left w:type="dxa" w:w="100"/>
              <w:bottom w:type="dxa" w:w="80"/>
              <w:right w:type="dxa" w:w="100"/>
            </w:tcMar>
          </w:tcPr>
          <w:p>
            <w:r>
              <w:rPr>
                <w:b/>
                <w:bCs/>
                <w:color w:val="FFFFFF"/>
                <w:sz w:val="18"/>
                <w:szCs w:val="18"/>
              </w:rPr>
              <w:t xml:space="preserve">Owner</w:t>
            </w:r>
          </w:p>
        </w:tc>
        <w:tc>
          <w:tcPr>
            <w:tcW w:type="dxa" w:w="1000"/>
            <w:shd w:fill="1F3864" w:val="clear"/>
            <w:tcMar>
              <w:top w:type="dxa" w:w="80"/>
              <w:left w:type="dxa" w:w="100"/>
              <w:bottom w:type="dxa" w:w="80"/>
              <w:right w:type="dxa" w:w="100"/>
            </w:tcMar>
          </w:tcPr>
          <w:p>
            <w:r>
              <w:rPr>
                <w:b/>
                <w:bCs/>
                <w:color w:val="FFFFFF"/>
                <w:sz w:val="18"/>
                <w:szCs w:val="18"/>
              </w:rPr>
              <w:t xml:space="preserve">Criticality</w:t>
            </w:r>
          </w:p>
        </w:tc>
        <w:tc>
          <w:tcPr>
            <w:tcW w:type="dxa" w:w="750"/>
            <w:shd w:fill="1F3864" w:val="clear"/>
            <w:tcMar>
              <w:top w:type="dxa" w:w="80"/>
              <w:left w:type="dxa" w:w="100"/>
              <w:bottom w:type="dxa" w:w="80"/>
              <w:right w:type="dxa" w:w="100"/>
            </w:tcMar>
          </w:tcPr>
          <w:p>
            <w:r>
              <w:rPr>
                <w:b/>
                <w:bCs/>
                <w:color w:val="FFFFFF"/>
                <w:sz w:val="18"/>
                <w:szCs w:val="18"/>
              </w:rPr>
              <w:t xml:space="preserve">RTO</w:t>
            </w:r>
          </w:p>
        </w:tc>
        <w:tc>
          <w:tcPr>
            <w:tcW w:type="dxa" w:w="750"/>
            <w:shd w:fill="1F3864" w:val="clear"/>
            <w:tcMar>
              <w:top w:type="dxa" w:w="80"/>
              <w:left w:type="dxa" w:w="100"/>
              <w:bottom w:type="dxa" w:w="80"/>
              <w:right w:type="dxa" w:w="100"/>
            </w:tcMar>
          </w:tcPr>
          <w:p>
            <w:r>
              <w:rPr>
                <w:b/>
                <w:bCs/>
                <w:color w:val="FFFFFF"/>
                <w:sz w:val="18"/>
                <w:szCs w:val="18"/>
              </w:rPr>
              <w:t xml:space="preserve">RPO</w:t>
            </w:r>
          </w:p>
        </w:tc>
        <w:tc>
          <w:tcPr>
            <w:tcW w:type="dxa" w:w="750"/>
            <w:shd w:fill="1F3864" w:val="clear"/>
            <w:tcMar>
              <w:top w:type="dxa" w:w="80"/>
              <w:left w:type="dxa" w:w="100"/>
              <w:bottom w:type="dxa" w:w="80"/>
              <w:right w:type="dxa" w:w="100"/>
            </w:tcMar>
          </w:tcPr>
          <w:p>
            <w:r>
              <w:rPr>
                <w:b/>
                <w:bCs/>
                <w:color w:val="FFFFFF"/>
                <w:sz w:val="18"/>
                <w:szCs w:val="18"/>
              </w:rPr>
              <w:t xml:space="preserve">MTD</w:t>
            </w:r>
          </w:p>
        </w:tc>
        <w:tc>
          <w:tcPr>
            <w:tcW w:type="dxa" w:w="1500"/>
            <w:shd w:fill="1F3864" w:val="clear"/>
            <w:tcMar>
              <w:top w:type="dxa" w:w="80"/>
              <w:left w:type="dxa" w:w="100"/>
              <w:bottom w:type="dxa" w:w="80"/>
              <w:right w:type="dxa" w:w="100"/>
            </w:tcMar>
          </w:tcPr>
          <w:p>
            <w:r>
              <w:rPr>
                <w:b/>
                <w:bCs/>
                <w:color w:val="FFFFFF"/>
                <w:sz w:val="18"/>
                <w:szCs w:val="18"/>
              </w:rPr>
              <w:t xml:space="preserve">Financial Impact / Day</w:t>
            </w:r>
          </w:p>
        </w:tc>
        <w:tc>
          <w:tcPr>
            <w:tcW w:type="dxa" w:w="1600"/>
            <w:shd w:fill="1F3864" w:val="clear"/>
            <w:tcMar>
              <w:top w:type="dxa" w:w="80"/>
              <w:left w:type="dxa" w:w="100"/>
              <w:bottom w:type="dxa" w:w="80"/>
              <w:right w:type="dxa" w:w="100"/>
            </w:tcMar>
          </w:tcPr>
          <w:p>
            <w:r>
              <w:rPr>
                <w:b/>
                <w:bCs/>
                <w:color w:val="FFFFFF"/>
                <w:sz w:val="18"/>
                <w:szCs w:val="18"/>
              </w:rPr>
              <w:t xml:space="preserve">Dependencies</w:t>
            </w:r>
          </w:p>
        </w:tc>
      </w:tr>
      <w:tr>
        <w:tc>
          <w:tcPr>
            <w:tcW w:type="dxa" w:w="1900"/>
            <w:shd w:fill="FCE4E4" w:val="clear"/>
            <w:tcMar>
              <w:top w:type="dxa" w:w="80"/>
              <w:left w:type="dxa" w:w="100"/>
              <w:bottom w:type="dxa" w:w="80"/>
              <w:right w:type="dxa" w:w="100"/>
            </w:tcMar>
          </w:tcPr>
          <w:p>
            <w:r>
              <w:rPr>
                <w:b w:val="false"/>
                <w:bCs w:val="false"/>
                <w:color w:val="000000"/>
                <w:sz w:val="18"/>
                <w:szCs w:val="18"/>
              </w:rPr>
              <w:t xml:space="preserve">Claims Adjudication &amp; Processing</w:t>
            </w:r>
          </w:p>
        </w:tc>
        <w:tc>
          <w:tcPr>
            <w:tcW w:type="dxa" w:w="1100"/>
            <w:shd w:fill="FCE4E4" w:val="clear"/>
            <w:tcMar>
              <w:top w:type="dxa" w:w="80"/>
              <w:left w:type="dxa" w:w="100"/>
              <w:bottom w:type="dxa" w:w="80"/>
              <w:right w:type="dxa" w:w="100"/>
            </w:tcMar>
          </w:tcPr>
          <w:p>
            <w:r>
              <w:rPr>
                <w:b w:val="false"/>
                <w:bCs w:val="false"/>
                <w:color w:val="000000"/>
                <w:sz w:val="18"/>
                <w:szCs w:val="18"/>
              </w:rPr>
              <w:t xml:space="preserve">VP Claims Operations</w:t>
            </w:r>
          </w:p>
        </w:tc>
        <w:tc>
          <w:tcPr>
            <w:tcW w:type="dxa" w:w="1000"/>
            <w:shd w:fill="FCE4E4" w:val="clear"/>
            <w:tcMar>
              <w:top w:type="dxa" w:w="80"/>
              <w:left w:type="dxa" w:w="100"/>
              <w:bottom w:type="dxa" w:w="80"/>
              <w:right w:type="dxa" w:w="100"/>
            </w:tcMar>
          </w:tcPr>
          <w:p>
            <w:r>
              <w:rPr>
                <w:b w:val="false"/>
                <w:bCs w:val="false"/>
                <w:color w:val="000000"/>
                <w:sz w:val="18"/>
                <w:szCs w:val="18"/>
              </w:rPr>
              <w:t xml:space="preserve">Critical</w:t>
            </w:r>
          </w:p>
        </w:tc>
        <w:tc>
          <w:tcPr>
            <w:tcW w:type="dxa" w:w="750"/>
            <w:shd w:fill="FCE4E4"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CE4E4" w:val="clear"/>
            <w:tcMar>
              <w:top w:type="dxa" w:w="80"/>
              <w:left w:type="dxa" w:w="100"/>
              <w:bottom w:type="dxa" w:w="80"/>
              <w:right w:type="dxa" w:w="100"/>
            </w:tcMar>
          </w:tcPr>
          <w:p>
            <w:r>
              <w:rPr>
                <w:b w:val="false"/>
                <w:bCs w:val="false"/>
                <w:color w:val="000000"/>
                <w:sz w:val="18"/>
                <w:szCs w:val="18"/>
              </w:rPr>
              <w:t xml:space="preserve">1 hour</w:t>
            </w:r>
          </w:p>
        </w:tc>
        <w:tc>
          <w:tcPr>
            <w:tcW w:type="dxa" w:w="750"/>
            <w:shd w:fill="FCE4E4" w:val="clear"/>
            <w:tcMar>
              <w:top w:type="dxa" w:w="80"/>
              <w:left w:type="dxa" w:w="100"/>
              <w:bottom w:type="dxa" w:w="80"/>
              <w:right w:type="dxa" w:w="100"/>
            </w:tcMar>
          </w:tcPr>
          <w:p>
            <w:r>
              <w:rPr>
                <w:b w:val="false"/>
                <w:bCs w:val="false"/>
                <w:color w:val="000000"/>
                <w:sz w:val="18"/>
                <w:szCs w:val="18"/>
              </w:rPr>
              <w:t xml:space="preserve">8 hours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$180,000+</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Claims DB, ClaimLink clearinghouse, adjudication rules engine</w:t>
            </w:r>
          </w:p>
        </w:tc>
      </w:tr>
      <w:tr>
        <w:tc>
          <w:tcPr>
            <w:tcW w:type="dxa" w:w="1900"/>
            <w:shd w:fill="FCE4E4" w:val="clear"/>
            <w:tcMar>
              <w:top w:type="dxa" w:w="80"/>
              <w:left w:type="dxa" w:w="100"/>
              <w:bottom w:type="dxa" w:w="80"/>
              <w:right w:type="dxa" w:w="100"/>
            </w:tcMar>
          </w:tcPr>
          <w:p>
            <w:r>
              <w:rPr>
                <w:b w:val="false"/>
                <w:bCs w:val="false"/>
                <w:color w:val="000000"/>
                <w:sz w:val="18"/>
                <w:szCs w:val="18"/>
              </w:rPr>
              <w:t xml:space="preserve">Patient Eligibility Verification</w:t>
            </w:r>
          </w:p>
        </w:tc>
        <w:tc>
          <w:tcPr>
            <w:tcW w:type="dxa" w:w="1100"/>
            <w:shd w:fill="FCE4E4" w:val="clear"/>
            <w:tcMar>
              <w:top w:type="dxa" w:w="80"/>
              <w:left w:type="dxa" w:w="100"/>
              <w:bottom w:type="dxa" w:w="80"/>
              <w:right w:type="dxa" w:w="100"/>
            </w:tcMar>
          </w:tcPr>
          <w:p>
            <w:r>
              <w:rPr>
                <w:b w:val="false"/>
                <w:bCs w:val="false"/>
                <w:color w:val="000000"/>
                <w:sz w:val="18"/>
                <w:szCs w:val="18"/>
              </w:rPr>
              <w:t xml:space="preserve">Director of Product</w:t>
            </w:r>
          </w:p>
        </w:tc>
        <w:tc>
          <w:tcPr>
            <w:tcW w:type="dxa" w:w="1000"/>
            <w:shd w:fill="FCE4E4" w:val="clear"/>
            <w:tcMar>
              <w:top w:type="dxa" w:w="80"/>
              <w:left w:type="dxa" w:w="100"/>
              <w:bottom w:type="dxa" w:w="80"/>
              <w:right w:type="dxa" w:w="100"/>
            </w:tcMar>
          </w:tcPr>
          <w:p>
            <w:r>
              <w:rPr>
                <w:b w:val="false"/>
                <w:bCs w:val="false"/>
                <w:color w:val="000000"/>
                <w:sz w:val="18"/>
                <w:szCs w:val="18"/>
              </w:rPr>
              <w:t xml:space="preserve">Critical</w:t>
            </w:r>
          </w:p>
        </w:tc>
        <w:tc>
          <w:tcPr>
            <w:tcW w:type="dxa" w:w="750"/>
            <w:shd w:fill="FCE4E4"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CE4E4" w:val="clear"/>
            <w:tcMar>
              <w:top w:type="dxa" w:w="80"/>
              <w:left w:type="dxa" w:w="100"/>
              <w:bottom w:type="dxa" w:w="80"/>
              <w:right w:type="dxa" w:w="100"/>
            </w:tcMar>
          </w:tcPr>
          <w:p>
            <w:r>
              <w:rPr>
                <w:b w:val="false"/>
                <w:bCs w:val="false"/>
                <w:color w:val="000000"/>
                <w:sz w:val="18"/>
                <w:szCs w:val="18"/>
              </w:rPr>
              <w:t xml:space="preserve">1 hour</w:t>
            </w:r>
          </w:p>
        </w:tc>
        <w:tc>
          <w:tcPr>
            <w:tcW w:type="dxa" w:w="750"/>
            <w:shd w:fill="FCE4E4" w:val="clear"/>
            <w:tcMar>
              <w:top w:type="dxa" w:w="80"/>
              <w:left w:type="dxa" w:w="100"/>
              <w:bottom w:type="dxa" w:w="80"/>
              <w:right w:type="dxa" w:w="100"/>
            </w:tcMar>
          </w:tcPr>
          <w:p>
            <w:r>
              <w:rPr>
                <w:b w:val="false"/>
                <w:bCs w:val="false"/>
                <w:color w:val="000000"/>
                <w:sz w:val="18"/>
                <w:szCs w:val="18"/>
              </w:rPr>
              <w:t xml:space="preserve">8 hours</w:t>
            </w:r>
          </w:p>
        </w:tc>
        <w:tc>
          <w:tcPr>
            <w:tcW w:type="dxa" w:w="1500"/>
            <w:shd w:fill="FCE4E4" w:val="clear"/>
            <w:tcMar>
              <w:top w:type="dxa" w:w="80"/>
              <w:left w:type="dxa" w:w="100"/>
              <w:bottom w:type="dxa" w:w="80"/>
              <w:right w:type="dxa" w:w="100"/>
            </w:tcMar>
          </w:tcPr>
          <w:p>
            <w:r>
              <w:rPr>
                <w:b w:val="false"/>
                <w:bCs w:val="false"/>
                <w:color w:val="000000"/>
                <w:sz w:val="18"/>
                <w:szCs w:val="18"/>
              </w:rPr>
              <w:t xml:space="preserve">$95,000</w:t>
            </w:r>
          </w:p>
        </w:tc>
        <w:tc>
          <w:tcPr>
            <w:tcW w:type="dxa" w:w="1600"/>
            <w:shd w:fill="FCE4E4" w:val="clear"/>
            <w:tcMar>
              <w:top w:type="dxa" w:w="80"/>
              <w:left w:type="dxa" w:w="100"/>
              <w:bottom w:type="dxa" w:w="80"/>
              <w:right w:type="dxa" w:w="100"/>
            </w:tcMar>
          </w:tcPr>
          <w:p>
            <w:r>
              <w:rPr>
                <w:b w:val="false"/>
                <w:bCs w:val="false"/>
                <w:color w:val="000000"/>
                <w:sz w:val="18"/>
                <w:szCs w:val="18"/>
              </w:rPr>
              <w:t xml:space="preserve">Eligibility API, ClaimLink, payer connections</w:t>
            </w:r>
          </w:p>
        </w:tc>
      </w:tr>
      <w:tr>
        <w:tc>
          <w:tcPr>
            <w:tcW w:type="dxa" w:w="1900"/>
            <w:shd w:fill="FDEBD0" w:val="clear"/>
            <w:tcMar>
              <w:top w:type="dxa" w:w="80"/>
              <w:left w:type="dxa" w:w="100"/>
              <w:bottom w:type="dxa" w:w="80"/>
              <w:right w:type="dxa" w:w="100"/>
            </w:tcMar>
          </w:tcPr>
          <w:p>
            <w:r>
              <w:rPr>
                <w:b w:val="false"/>
                <w:bCs w:val="false"/>
                <w:color w:val="000000"/>
                <w:sz w:val="18"/>
                <w:szCs w:val="18"/>
              </w:rPr>
              <w:t xml:space="preserve">Billing &amp; Revenue Cycle Management</w:t>
            </w:r>
          </w:p>
        </w:tc>
        <w:tc>
          <w:tcPr>
            <w:tcW w:type="dxa" w:w="1100"/>
            <w:shd w:fill="FDEBD0" w:val="clear"/>
            <w:tcMar>
              <w:top w:type="dxa" w:w="80"/>
              <w:left w:type="dxa" w:w="100"/>
              <w:bottom w:type="dxa" w:w="80"/>
              <w:right w:type="dxa" w:w="100"/>
            </w:tcMar>
          </w:tcPr>
          <w:p>
            <w:r>
              <w:rPr>
                <w:b w:val="false"/>
                <w:bCs w:val="false"/>
                <w:color w:val="000000"/>
                <w:sz w:val="18"/>
                <w:szCs w:val="18"/>
              </w:rPr>
              <w:t xml:space="preserve">Director of Finance</w:t>
            </w:r>
          </w:p>
        </w:tc>
        <w:tc>
          <w:tcPr>
            <w:tcW w:type="dxa" w:w="1000"/>
            <w:shd w:fill="FDEBD0" w:val="clear"/>
            <w:tcMar>
              <w:top w:type="dxa" w:w="80"/>
              <w:left w:type="dxa" w:w="100"/>
              <w:bottom w:type="dxa" w:w="80"/>
              <w:right w:type="dxa" w:w="100"/>
            </w:tcMar>
          </w:tcPr>
          <w:p>
            <w:r>
              <w:rPr>
                <w:b w:val="false"/>
                <w:bCs w:val="false"/>
                <w:color w:val="000000"/>
                <w:sz w:val="18"/>
                <w:szCs w:val="18"/>
              </w:rPr>
              <w:t xml:space="preserve">High</w:t>
            </w:r>
          </w:p>
        </w:tc>
        <w:tc>
          <w:tcPr>
            <w:tcW w:type="dxa" w:w="750"/>
            <w:shd w:fill="FDEBD0" w:val="clear"/>
            <w:tcMar>
              <w:top w:type="dxa" w:w="80"/>
              <w:left w:type="dxa" w:w="100"/>
              <w:bottom w:type="dxa" w:w="80"/>
              <w:right w:type="dxa" w:w="100"/>
            </w:tcMar>
          </w:tcPr>
          <w:p>
            <w:r>
              <w:rPr>
                <w:b w:val="false"/>
                <w:bCs w:val="false"/>
                <w:color w:val="000000"/>
                <w:sz w:val="18"/>
                <w:szCs w:val="18"/>
              </w:rPr>
              <w:t xml:space="preserve">8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24 hours</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$60,000</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BillWise vendor, billing DB, payment gateway</w:t>
            </w:r>
          </w:p>
        </w:tc>
      </w:tr>
      <w:tr>
        <w:tc>
          <w:tcPr>
            <w:tcW w:type="dxa" w:w="1900"/>
            <w:shd w:fill="FDEBD0" w:val="clear"/>
            <w:tcMar>
              <w:top w:type="dxa" w:w="80"/>
              <w:left w:type="dxa" w:w="100"/>
              <w:bottom w:type="dxa" w:w="80"/>
              <w:right w:type="dxa" w:w="100"/>
            </w:tcMar>
          </w:tcPr>
          <w:p>
            <w:r>
              <w:rPr>
                <w:b w:val="false"/>
                <w:bCs w:val="false"/>
                <w:color w:val="000000"/>
                <w:sz w:val="18"/>
                <w:szCs w:val="18"/>
              </w:rPr>
              <w:t xml:space="preserve">Patient Self-Service Portal</w:t>
            </w:r>
          </w:p>
        </w:tc>
        <w:tc>
          <w:tcPr>
            <w:tcW w:type="dxa" w:w="1100"/>
            <w:shd w:fill="FDEBD0" w:val="clear"/>
            <w:tcMar>
              <w:top w:type="dxa" w:w="80"/>
              <w:left w:type="dxa" w:w="100"/>
              <w:bottom w:type="dxa" w:w="80"/>
              <w:right w:type="dxa" w:w="100"/>
            </w:tcMar>
          </w:tcPr>
          <w:p>
            <w:r>
              <w:rPr>
                <w:b w:val="false"/>
                <w:bCs w:val="false"/>
                <w:color w:val="000000"/>
                <w:sz w:val="18"/>
                <w:szCs w:val="18"/>
              </w:rPr>
              <w:t xml:space="preserve">Director of Product</w:t>
            </w:r>
          </w:p>
        </w:tc>
        <w:tc>
          <w:tcPr>
            <w:tcW w:type="dxa" w:w="1000"/>
            <w:shd w:fill="FDEBD0" w:val="clear"/>
            <w:tcMar>
              <w:top w:type="dxa" w:w="80"/>
              <w:left w:type="dxa" w:w="100"/>
              <w:bottom w:type="dxa" w:w="80"/>
              <w:right w:type="dxa" w:w="100"/>
            </w:tcMar>
          </w:tcPr>
          <w:p>
            <w:r>
              <w:rPr>
                <w:b w:val="false"/>
                <w:bCs w:val="false"/>
                <w:color w:val="000000"/>
                <w:sz w:val="18"/>
                <w:szCs w:val="18"/>
              </w:rPr>
              <w:t xml:space="preserve">High</w:t>
            </w:r>
          </w:p>
        </w:tc>
        <w:tc>
          <w:tcPr>
            <w:tcW w:type="dxa" w:w="750"/>
            <w:shd w:fill="FDEBD0" w:val="clear"/>
            <w:tcMar>
              <w:top w:type="dxa" w:w="80"/>
              <w:left w:type="dxa" w:w="100"/>
              <w:bottom w:type="dxa" w:w="80"/>
              <w:right w:type="dxa" w:w="100"/>
            </w:tcMar>
          </w:tcPr>
          <w:p>
            <w:r>
              <w:rPr>
                <w:b w:val="false"/>
                <w:bCs w:val="false"/>
                <w:color w:val="000000"/>
                <w:sz w:val="18"/>
                <w:szCs w:val="18"/>
              </w:rPr>
              <w:t xml:space="preserve">8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4 hours</w:t>
            </w:r>
          </w:p>
        </w:tc>
        <w:tc>
          <w:tcPr>
            <w:tcW w:type="dxa" w:w="750"/>
            <w:shd w:fill="FDEBD0" w:val="clear"/>
            <w:tcMar>
              <w:top w:type="dxa" w:w="80"/>
              <w:left w:type="dxa" w:w="100"/>
              <w:bottom w:type="dxa" w:w="80"/>
              <w:right w:type="dxa" w:w="100"/>
            </w:tcMar>
          </w:tcPr>
          <w:p>
            <w:r>
              <w:rPr>
                <w:b w:val="false"/>
                <w:bCs w:val="false"/>
                <w:color w:val="000000"/>
                <w:sz w:val="18"/>
                <w:szCs w:val="18"/>
              </w:rPr>
              <w:t xml:space="preserve">24 hours</w:t>
            </w:r>
          </w:p>
        </w:tc>
        <w:tc>
          <w:tcPr>
            <w:tcW w:type="dxa" w:w="1500"/>
            <w:shd w:fill="FDEBD0" w:val="clear"/>
            <w:tcMar>
              <w:top w:type="dxa" w:w="80"/>
              <w:left w:type="dxa" w:w="100"/>
              <w:bottom w:type="dxa" w:w="80"/>
              <w:right w:type="dxa" w:w="100"/>
            </w:tcMar>
          </w:tcPr>
          <w:p>
            <w:r>
              <w:rPr>
                <w:b w:val="false"/>
                <w:bCs w:val="false"/>
                <w:color w:val="000000"/>
                <w:sz w:val="18"/>
                <w:szCs w:val="18"/>
              </w:rPr>
              <w:t xml:space="preserve">$25,000</w:t>
            </w:r>
          </w:p>
        </w:tc>
        <w:tc>
          <w:tcPr>
            <w:tcW w:type="dxa" w:w="1600"/>
            <w:shd w:fill="FDEBD0" w:val="clear"/>
            <w:tcMar>
              <w:top w:type="dxa" w:w="80"/>
              <w:left w:type="dxa" w:w="100"/>
              <w:bottom w:type="dxa" w:w="80"/>
              <w:right w:type="dxa" w:w="100"/>
            </w:tcMar>
          </w:tcPr>
          <w:p>
            <w:r>
              <w:rPr>
                <w:b w:val="false"/>
                <w:bCs w:val="false"/>
                <w:color w:val="000000"/>
                <w:sz w:val="18"/>
                <w:szCs w:val="18"/>
              </w:rPr>
              <w:t xml:space="preserve">Portal application, Okta SSO, API gateway</w:t>
            </w:r>
          </w:p>
        </w:tc>
      </w:tr>
      <w:tr>
        <w:tc>
          <w:tcPr>
            <w:tcW w:type="dxa" w:w="1900"/>
            <w:tcMar>
              <w:top w:type="dxa" w:w="80"/>
              <w:left w:type="dxa" w:w="100"/>
              <w:bottom w:type="dxa" w:w="80"/>
              <w:right w:type="dxa" w:w="100"/>
            </w:tcMar>
          </w:tcPr>
          <w:p>
            <w:r>
              <w:rPr>
                <w:b w:val="false"/>
                <w:bCs w:val="false"/>
                <w:color w:val="000000"/>
                <w:sz w:val="18"/>
                <w:szCs w:val="18"/>
              </w:rPr>
              <w:t xml:space="preserve">Provider Directory Services</w:t>
            </w:r>
          </w:p>
        </w:tc>
        <w:tc>
          <w:tcPr>
            <w:tcW w:type="dxa" w:w="1100"/>
            <w:tcMar>
              <w:top w:type="dxa" w:w="80"/>
              <w:left w:type="dxa" w:w="100"/>
              <w:bottom w:type="dxa" w:w="80"/>
              <w:right w:type="dxa" w:w="100"/>
            </w:tcMar>
          </w:tcPr>
          <w:p>
            <w:r>
              <w:rPr>
                <w:b w:val="false"/>
                <w:bCs w:val="false"/>
                <w:color w:val="000000"/>
                <w:sz w:val="18"/>
                <w:szCs w:val="18"/>
              </w:rPr>
              <w:t xml:space="preserve">API Platform Lead</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12 hours</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1500"/>
            <w:tcMar>
              <w:top w:type="dxa" w:w="80"/>
              <w:left w:type="dxa" w:w="100"/>
              <w:bottom w:type="dxa" w:w="80"/>
              <w:right w:type="dxa" w:w="100"/>
            </w:tcMar>
          </w:tcPr>
          <w:p>
            <w:r>
              <w:rPr>
                <w:b w:val="false"/>
                <w:bCs w:val="false"/>
                <w:color w:val="000000"/>
                <w:sz w:val="18"/>
                <w:szCs w:val="18"/>
              </w:rPr>
              <w:t xml:space="preserve">$8,000</w:t>
            </w:r>
          </w:p>
        </w:tc>
        <w:tc>
          <w:tcPr>
            <w:tcW w:type="dxa" w:w="1600"/>
            <w:tcMar>
              <w:top w:type="dxa" w:w="80"/>
              <w:left w:type="dxa" w:w="100"/>
              <w:bottom w:type="dxa" w:w="80"/>
              <w:right w:type="dxa" w:w="100"/>
            </w:tcMar>
          </w:tcPr>
          <w:p>
            <w:r>
              <w:rPr>
                <w:b w:val="false"/>
                <w:bCs w:val="false"/>
                <w:color w:val="000000"/>
                <w:sz w:val="18"/>
                <w:szCs w:val="18"/>
              </w:rPr>
              <w:t xml:space="preserve">Provider directory DB, public API</w:t>
            </w:r>
          </w:p>
        </w:tc>
      </w:tr>
      <w:tr>
        <w:tc>
          <w:tcPr>
            <w:tcW w:type="dxa" w:w="1900"/>
            <w:tcMar>
              <w:top w:type="dxa" w:w="80"/>
              <w:left w:type="dxa" w:w="100"/>
              <w:bottom w:type="dxa" w:w="80"/>
              <w:right w:type="dxa" w:w="100"/>
            </w:tcMar>
          </w:tcPr>
          <w:p>
            <w:r>
              <w:rPr>
                <w:b w:val="false"/>
                <w:bCs w:val="false"/>
                <w:color w:val="000000"/>
                <w:sz w:val="18"/>
                <w:szCs w:val="18"/>
              </w:rPr>
              <w:t xml:space="preserve">Internal Analytics &amp; Reporting</w:t>
            </w:r>
          </w:p>
        </w:tc>
        <w:tc>
          <w:tcPr>
            <w:tcW w:type="dxa" w:w="1100"/>
            <w:tcMar>
              <w:top w:type="dxa" w:w="80"/>
              <w:left w:type="dxa" w:w="100"/>
              <w:bottom w:type="dxa" w:w="80"/>
              <w:right w:type="dxa" w:w="100"/>
            </w:tcMar>
          </w:tcPr>
          <w:p>
            <w:r>
              <w:rPr>
                <w:b w:val="false"/>
                <w:bCs w:val="false"/>
                <w:color w:val="000000"/>
                <w:sz w:val="18"/>
                <w:szCs w:val="18"/>
              </w:rPr>
              <w:t xml:space="preserve">Data Governance Lead</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5 days</w:t>
            </w:r>
          </w:p>
        </w:tc>
        <w:tc>
          <w:tcPr>
            <w:tcW w:type="dxa" w:w="1500"/>
            <w:tcMar>
              <w:top w:type="dxa" w:w="80"/>
              <w:left w:type="dxa" w:w="100"/>
              <w:bottom w:type="dxa" w:w="80"/>
              <w:right w:type="dxa" w:w="100"/>
            </w:tcMar>
          </w:tcPr>
          <w:p>
            <w:r>
              <w:rPr>
                <w:b w:val="false"/>
                <w:bCs w:val="false"/>
                <w:color w:val="000000"/>
                <w:sz w:val="18"/>
                <w:szCs w:val="18"/>
              </w:rPr>
              <w:t xml:space="preserve">$5,000</w:t>
            </w:r>
          </w:p>
        </w:tc>
        <w:tc>
          <w:tcPr>
            <w:tcW w:type="dxa" w:w="1600"/>
            <w:tcMar>
              <w:top w:type="dxa" w:w="80"/>
              <w:left w:type="dxa" w:w="100"/>
              <w:bottom w:type="dxa" w:w="80"/>
              <w:right w:type="dxa" w:w="100"/>
            </w:tcMar>
          </w:tcPr>
          <w:p>
            <w:r>
              <w:rPr>
                <w:b w:val="false"/>
                <w:bCs w:val="false"/>
                <w:color w:val="000000"/>
                <w:sz w:val="18"/>
                <w:szCs w:val="18"/>
              </w:rPr>
              <w:t xml:space="preserve">Data warehouse, BI tooling</w:t>
            </w:r>
          </w:p>
        </w:tc>
      </w:tr>
      <w:tr>
        <w:tc>
          <w:tcPr>
            <w:tcW w:type="dxa" w:w="1900"/>
            <w:tcMar>
              <w:top w:type="dxa" w:w="80"/>
              <w:left w:type="dxa" w:w="100"/>
              <w:bottom w:type="dxa" w:w="80"/>
              <w:right w:type="dxa" w:w="100"/>
            </w:tcMar>
          </w:tcPr>
          <w:p>
            <w:r>
              <w:rPr>
                <w:b w:val="false"/>
                <w:bCs w:val="false"/>
                <w:color w:val="000000"/>
                <w:sz w:val="18"/>
                <w:szCs w:val="18"/>
              </w:rPr>
              <w:t xml:space="preserve">Corporate Email &amp; Collaboration</w:t>
            </w:r>
          </w:p>
        </w:tc>
        <w:tc>
          <w:tcPr>
            <w:tcW w:type="dxa" w:w="1100"/>
            <w:tcMar>
              <w:top w:type="dxa" w:w="80"/>
              <w:left w:type="dxa" w:w="100"/>
              <w:bottom w:type="dxa" w:w="80"/>
              <w:right w:type="dxa" w:w="100"/>
            </w:tcMar>
          </w:tcPr>
          <w:p>
            <w:r>
              <w:rPr>
                <w:b w:val="false"/>
                <w:bCs w:val="false"/>
                <w:color w:val="000000"/>
                <w:sz w:val="18"/>
                <w:szCs w:val="18"/>
              </w:rPr>
              <w:t xml:space="preserve">IT Director</w:t>
            </w:r>
          </w:p>
        </w:tc>
        <w:tc>
          <w:tcPr>
            <w:tcW w:type="dxa" w:w="1000"/>
            <w:tcMar>
              <w:top w:type="dxa" w:w="80"/>
              <w:left w:type="dxa" w:w="100"/>
              <w:bottom w:type="dxa" w:w="80"/>
              <w:right w:type="dxa" w:w="100"/>
            </w:tcMar>
          </w:tcPr>
          <w:p>
            <w:r>
              <w:rPr>
                <w:b w:val="false"/>
                <w:bCs w:val="false"/>
                <w:color w:val="000000"/>
                <w:sz w:val="18"/>
                <w:szCs w:val="18"/>
              </w:rPr>
              <w:t xml:space="preserve">Medium</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4 hours</w:t>
            </w:r>
          </w:p>
        </w:tc>
        <w:tc>
          <w:tcPr>
            <w:tcW w:type="dxa" w:w="750"/>
            <w:tcMar>
              <w:top w:type="dxa" w:w="80"/>
              <w:left w:type="dxa" w:w="100"/>
              <w:bottom w:type="dxa" w:w="80"/>
              <w:right w:type="dxa" w:w="100"/>
            </w:tcMar>
          </w:tcPr>
          <w:p>
            <w:r>
              <w:rPr>
                <w:b w:val="false"/>
                <w:bCs w:val="false"/>
                <w:color w:val="000000"/>
                <w:sz w:val="18"/>
                <w:szCs w:val="18"/>
              </w:rPr>
              <w:t xml:space="preserve">48 hours</w:t>
            </w:r>
          </w:p>
        </w:tc>
        <w:tc>
          <w:tcPr>
            <w:tcW w:type="dxa" w:w="1500"/>
            <w:tcMar>
              <w:top w:type="dxa" w:w="80"/>
              <w:left w:type="dxa" w:w="100"/>
              <w:bottom w:type="dxa" w:w="80"/>
              <w:right w:type="dxa" w:w="100"/>
            </w:tcMar>
          </w:tcPr>
          <w:p>
            <w:r>
              <w:rPr>
                <w:b w:val="false"/>
                <w:bCs w:val="false"/>
                <w:color w:val="000000"/>
                <w:sz w:val="18"/>
                <w:szCs w:val="18"/>
              </w:rPr>
              <w:t xml:space="preserve">$10,000 (productivity)</w:t>
            </w:r>
          </w:p>
        </w:tc>
        <w:tc>
          <w:tcPr>
            <w:tcW w:type="dxa" w:w="1600"/>
            <w:tcMar>
              <w:top w:type="dxa" w:w="80"/>
              <w:left w:type="dxa" w:w="100"/>
              <w:bottom w:type="dxa" w:w="80"/>
              <w:right w:type="dxa" w:w="100"/>
            </w:tcMar>
          </w:tcPr>
          <w:p>
            <w:r>
              <w:rPr>
                <w:b w:val="false"/>
                <w:bCs w:val="false"/>
                <w:color w:val="000000"/>
                <w:sz w:val="18"/>
                <w:szCs w:val="18"/>
              </w:rPr>
              <w:t xml:space="preserve">Google Workspace / Microsoft 365</w:t>
            </w:r>
          </w:p>
        </w:tc>
      </w:tr>
      <w:tr>
        <w:tc>
          <w:tcPr>
            <w:tcW w:type="dxa" w:w="1900"/>
            <w:tcMar>
              <w:top w:type="dxa" w:w="80"/>
              <w:left w:type="dxa" w:w="100"/>
              <w:bottom w:type="dxa" w:w="80"/>
              <w:right w:type="dxa" w:w="100"/>
            </w:tcMar>
          </w:tcPr>
          <w:p>
            <w:r>
              <w:rPr>
                <w:b w:val="false"/>
                <w:bCs w:val="false"/>
                <w:color w:val="000000"/>
                <w:sz w:val="18"/>
                <w:szCs w:val="18"/>
              </w:rPr>
              <w:t xml:space="preserve">HR / Payroll Processing</w:t>
            </w:r>
          </w:p>
        </w:tc>
        <w:tc>
          <w:tcPr>
            <w:tcW w:type="dxa" w:w="1100"/>
            <w:tcMar>
              <w:top w:type="dxa" w:w="80"/>
              <w:left w:type="dxa" w:w="100"/>
              <w:bottom w:type="dxa" w:w="80"/>
              <w:right w:type="dxa" w:w="100"/>
            </w:tcMar>
          </w:tcPr>
          <w:p>
            <w:r>
              <w:rPr>
                <w:b w:val="false"/>
                <w:bCs w:val="false"/>
                <w:color w:val="000000"/>
                <w:sz w:val="18"/>
                <w:szCs w:val="18"/>
              </w:rPr>
              <w:t xml:space="preserve">HR Director</w:t>
            </w:r>
          </w:p>
        </w:tc>
        <w:tc>
          <w:tcPr>
            <w:tcW w:type="dxa" w:w="1000"/>
            <w:tcMar>
              <w:top w:type="dxa" w:w="80"/>
              <w:left w:type="dxa" w:w="100"/>
              <w:bottom w:type="dxa" w:w="80"/>
              <w:right w:type="dxa" w:w="100"/>
            </w:tcMar>
          </w:tcPr>
          <w:p>
            <w:r>
              <w:rPr>
                <w:b w:val="false"/>
                <w:bCs w:val="false"/>
                <w:color w:val="000000"/>
                <w:sz w:val="18"/>
                <w:szCs w:val="18"/>
              </w:rPr>
              <w:t xml:space="preserve">Low</w:t>
            </w:r>
          </w:p>
        </w:tc>
        <w:tc>
          <w:tcPr>
            <w:tcW w:type="dxa" w:w="750"/>
            <w:tcMar>
              <w:top w:type="dxa" w:w="80"/>
              <w:left w:type="dxa" w:w="100"/>
              <w:bottom w:type="dxa" w:w="80"/>
              <w:right w:type="dxa" w:w="100"/>
            </w:tcMar>
          </w:tcPr>
          <w:p>
            <w:r>
              <w:rPr>
                <w:b w:val="false"/>
                <w:bCs w:val="false"/>
                <w:color w:val="000000"/>
                <w:sz w:val="18"/>
                <w:szCs w:val="18"/>
              </w:rPr>
              <w:t xml:space="preserve">5 days</w:t>
            </w:r>
          </w:p>
        </w:tc>
        <w:tc>
          <w:tcPr>
            <w:tcW w:type="dxa" w:w="750"/>
            <w:tcMar>
              <w:top w:type="dxa" w:w="80"/>
              <w:left w:type="dxa" w:w="100"/>
              <w:bottom w:type="dxa" w:w="80"/>
              <w:right w:type="dxa" w:w="100"/>
            </w:tcMar>
          </w:tcPr>
          <w:p>
            <w:r>
              <w:rPr>
                <w:b w:val="false"/>
                <w:bCs w:val="false"/>
                <w:color w:val="000000"/>
                <w:sz w:val="18"/>
                <w:szCs w:val="18"/>
              </w:rPr>
              <w:t xml:space="preserve">24 hours</w:t>
            </w:r>
          </w:p>
        </w:tc>
        <w:tc>
          <w:tcPr>
            <w:tcW w:type="dxa" w:w="750"/>
            <w:tcMar>
              <w:top w:type="dxa" w:w="80"/>
              <w:left w:type="dxa" w:w="100"/>
              <w:bottom w:type="dxa" w:w="80"/>
              <w:right w:type="dxa" w:w="100"/>
            </w:tcMar>
          </w:tcPr>
          <w:p>
            <w:r>
              <w:rPr>
                <w:b w:val="false"/>
                <w:bCs w:val="false"/>
                <w:color w:val="000000"/>
                <w:sz w:val="18"/>
                <w:szCs w:val="18"/>
              </w:rPr>
              <w:t xml:space="preserve">10 days</w:t>
            </w:r>
          </w:p>
        </w:tc>
        <w:tc>
          <w:tcPr>
            <w:tcW w:type="dxa" w:w="1500"/>
            <w:tcMar>
              <w:top w:type="dxa" w:w="80"/>
              <w:left w:type="dxa" w:w="100"/>
              <w:bottom w:type="dxa" w:w="80"/>
              <w:right w:type="dxa" w:w="100"/>
            </w:tcMar>
          </w:tcPr>
          <w:p>
            <w:r>
              <w:rPr>
                <w:b w:val="false"/>
                <w:bCs w:val="false"/>
                <w:color w:val="000000"/>
                <w:sz w:val="18"/>
                <w:szCs w:val="18"/>
              </w:rPr>
              <w:t xml:space="preserve">$3,000 (late fees/penalties)</w:t>
            </w:r>
          </w:p>
        </w:tc>
        <w:tc>
          <w:tcPr>
            <w:tcW w:type="dxa" w:w="1600"/>
            <w:tcMar>
              <w:top w:type="dxa" w:w="80"/>
              <w:left w:type="dxa" w:w="100"/>
              <w:bottom w:type="dxa" w:w="80"/>
              <w:right w:type="dxa" w:w="100"/>
            </w:tcMar>
          </w:tcPr>
          <w:p>
            <w:r>
              <w:rPr>
                <w:b w:val="false"/>
                <w:bCs w:val="false"/>
                <w:color w:val="000000"/>
                <w:sz w:val="18"/>
                <w:szCs w:val="18"/>
              </w:rPr>
              <w:t xml:space="preserve">HRIS platform, payroll processor</w:t>
            </w:r>
          </w:p>
        </w:tc>
      </w:tr>
    </w:tbl>
    <w:p>
      <w:pPr>
        <w:pStyle w:val="Heading1"/>
        <w:spacing w:after="160" w:before="320"/>
      </w:pPr>
      <w:r>
        <w:rPr>
          <w:b/>
          <w:bCs/>
          <w:color w:val="1F3864"/>
        </w:rPr>
        <w:t xml:space="preserve">4. Impact Analysis by Disruption Duration</w:t>
      </w:r>
    </w:p>
    <w:p>
      <w:pPr>
        <w:spacing w:after="160"/>
      </w:pPr>
      <w:r>
        <w:t xml:space="preserve">The table below illustrates escalating consequences for the organization's most critical process (Claims Adjudication &amp; Processing) as an outage extends in duration.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50"/>
      </w:tblGrid>
      <w:tr>
        <w:tc>
          <w:tcPr>
            <w:tcW w:type="dxa" w:w="2600"/>
            <w:shd w:fill="1F3864" w:val="clear"/>
            <w:tcMar>
              <w:top w:type="dxa" w:w="80"/>
              <w:left w:type="dxa" w:w="100"/>
              <w:bottom w:type="dxa" w:w="80"/>
              <w:right w:type="dxa" w:w="100"/>
            </w:tcMar>
          </w:tcPr>
          <w:p>
            <w:r>
              <w:rPr>
                <w:b/>
                <w:bCs/>
                <w:color w:val="FFFFFF"/>
                <w:sz w:val="18"/>
                <w:szCs w:val="18"/>
              </w:rPr>
              <w:t xml:space="preserve">Impact Category</w:t>
            </w:r>
          </w:p>
        </w:tc>
        <w:tc>
          <w:tcPr>
            <w:tcW w:type="dxa" w:w="2250"/>
            <w:shd w:fill="1F3864" w:val="clear"/>
            <w:tcMar>
              <w:top w:type="dxa" w:w="80"/>
              <w:left w:type="dxa" w:w="100"/>
              <w:bottom w:type="dxa" w:w="80"/>
              <w:right w:type="dxa" w:w="100"/>
            </w:tcMar>
          </w:tcPr>
          <w:p>
            <w:r>
              <w:rPr>
                <w:b/>
                <w:bCs/>
                <w:color w:val="FFFFFF"/>
                <w:sz w:val="18"/>
                <w:szCs w:val="18"/>
              </w:rPr>
              <w:t xml:space="preserve">24 Hours</w:t>
            </w:r>
          </w:p>
        </w:tc>
        <w:tc>
          <w:tcPr>
            <w:tcW w:type="dxa" w:w="2250"/>
            <w:shd w:fill="1F3864" w:val="clear"/>
            <w:tcMar>
              <w:top w:type="dxa" w:w="80"/>
              <w:left w:type="dxa" w:w="100"/>
              <w:bottom w:type="dxa" w:w="80"/>
              <w:right w:type="dxa" w:w="100"/>
            </w:tcMar>
          </w:tcPr>
          <w:p>
            <w:r>
              <w:rPr>
                <w:b/>
                <w:bCs/>
                <w:color w:val="FFFFFF"/>
                <w:sz w:val="18"/>
                <w:szCs w:val="18"/>
              </w:rPr>
              <w:t xml:space="preserve">72 Hours</w:t>
            </w:r>
          </w:p>
        </w:tc>
        <w:tc>
          <w:tcPr>
            <w:tcW w:type="dxa" w:w="2250"/>
            <w:shd w:fill="1F3864" w:val="clear"/>
            <w:tcMar>
              <w:top w:type="dxa" w:w="80"/>
              <w:left w:type="dxa" w:w="100"/>
              <w:bottom w:type="dxa" w:w="80"/>
              <w:right w:type="dxa" w:w="100"/>
            </w:tcMar>
          </w:tcPr>
          <w:p>
            <w:r>
              <w:rPr>
                <w:b/>
                <w:bCs/>
                <w:color w:val="FFFFFF"/>
                <w:sz w:val="18"/>
                <w:szCs w:val="18"/>
              </w:rPr>
              <w:t xml:space="preserve">1 Week</w:t>
            </w:r>
          </w:p>
        </w:tc>
      </w:tr>
      <w:tr>
        <w:tc>
          <w:tcPr>
            <w:tcW w:type="dxa" w:w="2600"/>
            <w:tcMar>
              <w:top w:type="dxa" w:w="80"/>
              <w:left w:type="dxa" w:w="100"/>
              <w:bottom w:type="dxa" w:w="80"/>
              <w:right w:type="dxa" w:w="100"/>
            </w:tcMar>
          </w:tcPr>
          <w:p>
            <w:r>
              <w:rPr>
                <w:b w:val="false"/>
                <w:bCs w:val="false"/>
                <w:color w:val="000000"/>
                <w:sz w:val="18"/>
                <w:szCs w:val="18"/>
              </w:rPr>
              <w:t xml:space="preserve">Financial</w:t>
            </w:r>
          </w:p>
        </w:tc>
        <w:tc>
          <w:tcPr>
            <w:tcW w:type="dxa" w:w="2250"/>
            <w:tcMar>
              <w:top w:type="dxa" w:w="80"/>
              <w:left w:type="dxa" w:w="100"/>
              <w:bottom w:type="dxa" w:w="80"/>
              <w:right w:type="dxa" w:w="100"/>
            </w:tcMar>
          </w:tcPr>
          <w:p>
            <w:r>
              <w:rPr>
                <w:b w:val="false"/>
                <w:bCs w:val="false"/>
                <w:color w:val="000000"/>
                <w:sz w:val="18"/>
                <w:szCs w:val="18"/>
              </w:rPr>
              <w:t xml:space="preserve">Moderate revenue delay; claims backlog begins accumulating</w:t>
            </w:r>
          </w:p>
        </w:tc>
        <w:tc>
          <w:tcPr>
            <w:tcW w:type="dxa" w:w="2250"/>
            <w:tcMar>
              <w:top w:type="dxa" w:w="80"/>
              <w:left w:type="dxa" w:w="100"/>
              <w:bottom w:type="dxa" w:w="80"/>
              <w:right w:type="dxa" w:w="100"/>
            </w:tcMar>
          </w:tcPr>
          <w:p>
            <w:r>
              <w:rPr>
                <w:b w:val="false"/>
                <w:bCs w:val="false"/>
                <w:color w:val="000000"/>
                <w:sz w:val="18"/>
                <w:szCs w:val="18"/>
              </w:rPr>
              <w:t xml:space="preserve">Significant cash flow impact; potential contractual SLA penalties with payer partners</w:t>
            </w:r>
          </w:p>
        </w:tc>
        <w:tc>
          <w:tcPr>
            <w:tcW w:type="dxa" w:w="2250"/>
            <w:tcMar>
              <w:top w:type="dxa" w:w="80"/>
              <w:left w:type="dxa" w:w="100"/>
              <w:bottom w:type="dxa" w:w="80"/>
              <w:right w:type="dxa" w:w="100"/>
            </w:tcMar>
          </w:tcPr>
          <w:p>
            <w:r>
              <w:rPr>
                <w:b w:val="false"/>
                <w:bCs w:val="false"/>
                <w:color w:val="000000"/>
                <w:sz w:val="18"/>
                <w:szCs w:val="18"/>
              </w:rPr>
              <w:t xml:space="preserve">Severe — risk of customer contract termination clauses being invoked</w:t>
            </w:r>
          </w:p>
        </w:tc>
      </w:tr>
      <w:tr>
        <w:tc>
          <w:tcPr>
            <w:tcW w:type="dxa" w:w="2600"/>
            <w:tcMar>
              <w:top w:type="dxa" w:w="80"/>
              <w:left w:type="dxa" w:w="100"/>
              <w:bottom w:type="dxa" w:w="80"/>
              <w:right w:type="dxa" w:w="100"/>
            </w:tcMar>
          </w:tcPr>
          <w:p>
            <w:r>
              <w:rPr>
                <w:b w:val="false"/>
                <w:bCs w:val="false"/>
                <w:color w:val="000000"/>
                <w:sz w:val="18"/>
                <w:szCs w:val="18"/>
              </w:rPr>
              <w:t xml:space="preserve">Regulatory / Compliance</w:t>
            </w:r>
          </w:p>
        </w:tc>
        <w:tc>
          <w:tcPr>
            <w:tcW w:type="dxa" w:w="2250"/>
            <w:tcMar>
              <w:top w:type="dxa" w:w="80"/>
              <w:left w:type="dxa" w:w="100"/>
              <w:bottom w:type="dxa" w:w="80"/>
              <w:right w:type="dxa" w:w="100"/>
            </w:tcMar>
          </w:tcPr>
          <w:p>
            <w:r>
              <w:rPr>
                <w:b w:val="false"/>
                <w:bCs w:val="false"/>
                <w:color w:val="000000"/>
                <w:sz w:val="18"/>
                <w:szCs w:val="18"/>
              </w:rPr>
              <w:t xml:space="preserve">Minimal</w:t>
            </w:r>
          </w:p>
        </w:tc>
        <w:tc>
          <w:tcPr>
            <w:tcW w:type="dxa" w:w="2250"/>
            <w:tcMar>
              <w:top w:type="dxa" w:w="80"/>
              <w:left w:type="dxa" w:w="100"/>
              <w:bottom w:type="dxa" w:w="80"/>
              <w:right w:type="dxa" w:w="100"/>
            </w:tcMar>
          </w:tcPr>
          <w:p>
            <w:r>
              <w:rPr>
                <w:b w:val="false"/>
                <w:bCs w:val="false"/>
                <w:color w:val="000000"/>
                <w:sz w:val="18"/>
                <w:szCs w:val="18"/>
              </w:rPr>
              <w:t xml:space="preserve">Potential HIPAA-adjacent reporting delays if PHI systems affected</w:t>
            </w:r>
          </w:p>
        </w:tc>
        <w:tc>
          <w:tcPr>
            <w:tcW w:type="dxa" w:w="2250"/>
            <w:tcMar>
              <w:top w:type="dxa" w:w="80"/>
              <w:left w:type="dxa" w:w="100"/>
              <w:bottom w:type="dxa" w:w="80"/>
              <w:right w:type="dxa" w:w="100"/>
            </w:tcMar>
          </w:tcPr>
          <w:p>
            <w:r>
              <w:rPr>
                <w:b w:val="false"/>
                <w:bCs w:val="false"/>
                <w:color w:val="000000"/>
                <w:sz w:val="18"/>
                <w:szCs w:val="18"/>
              </w:rPr>
              <w:t xml:space="preserve">Possible regulatory inquiry if patient data availability is prolonged</w:t>
            </w:r>
          </w:p>
        </w:tc>
      </w:tr>
      <w:tr>
        <w:tc>
          <w:tcPr>
            <w:tcW w:type="dxa" w:w="2600"/>
            <w:tcMar>
              <w:top w:type="dxa" w:w="80"/>
              <w:left w:type="dxa" w:w="100"/>
              <w:bottom w:type="dxa" w:w="80"/>
              <w:right w:type="dxa" w:w="100"/>
            </w:tcMar>
          </w:tcPr>
          <w:p>
            <w:r>
              <w:rPr>
                <w:b w:val="false"/>
                <w:bCs w:val="false"/>
                <w:color w:val="000000"/>
                <w:sz w:val="18"/>
                <w:szCs w:val="18"/>
              </w:rPr>
              <w:t xml:space="preserve">Customer / Reputational</w:t>
            </w:r>
          </w:p>
        </w:tc>
        <w:tc>
          <w:tcPr>
            <w:tcW w:type="dxa" w:w="2250"/>
            <w:tcMar>
              <w:top w:type="dxa" w:w="80"/>
              <w:left w:type="dxa" w:w="100"/>
              <w:bottom w:type="dxa" w:w="80"/>
              <w:right w:type="dxa" w:w="100"/>
            </w:tcMar>
          </w:tcPr>
          <w:p>
            <w:r>
              <w:rPr>
                <w:b w:val="false"/>
                <w:bCs w:val="false"/>
                <w:color w:val="000000"/>
                <w:sz w:val="18"/>
                <w:szCs w:val="18"/>
              </w:rPr>
              <w:t xml:space="preserve">Minor — internal awareness only</w:t>
            </w:r>
          </w:p>
        </w:tc>
        <w:tc>
          <w:tcPr>
            <w:tcW w:type="dxa" w:w="2250"/>
            <w:tcMar>
              <w:top w:type="dxa" w:w="80"/>
              <w:left w:type="dxa" w:w="100"/>
              <w:bottom w:type="dxa" w:w="80"/>
              <w:right w:type="dxa" w:w="100"/>
            </w:tcMar>
          </w:tcPr>
          <w:p>
            <w:r>
              <w:rPr>
                <w:b w:val="false"/>
                <w:bCs w:val="false"/>
                <w:color w:val="000000"/>
                <w:sz w:val="18"/>
                <w:szCs w:val="18"/>
              </w:rPr>
              <w:t xml:space="preserve">Customer support escalations increase; visible service degradation</w:t>
            </w:r>
          </w:p>
        </w:tc>
        <w:tc>
          <w:tcPr>
            <w:tcW w:type="dxa" w:w="2250"/>
            <w:tcMar>
              <w:top w:type="dxa" w:w="80"/>
              <w:left w:type="dxa" w:w="100"/>
              <w:bottom w:type="dxa" w:w="80"/>
              <w:right w:type="dxa" w:w="100"/>
            </w:tcMar>
          </w:tcPr>
          <w:p>
            <w:r>
              <w:rPr>
                <w:b w:val="false"/>
                <w:bCs w:val="false"/>
                <w:color w:val="000000"/>
                <w:sz w:val="18"/>
                <w:szCs w:val="18"/>
              </w:rPr>
              <w:t xml:space="preserve">Public-facing outage; risk of customer attrition and negative press</w:t>
            </w:r>
          </w:p>
        </w:tc>
      </w:tr>
      <w:tr>
        <w:tc>
          <w:tcPr>
            <w:tcW w:type="dxa" w:w="2600"/>
            <w:tcMar>
              <w:top w:type="dxa" w:w="80"/>
              <w:left w:type="dxa" w:w="100"/>
              <w:bottom w:type="dxa" w:w="80"/>
              <w:right w:type="dxa" w:w="100"/>
            </w:tcMar>
          </w:tcPr>
          <w:p>
            <w:r>
              <w:rPr>
                <w:b w:val="false"/>
                <w:bCs w:val="false"/>
                <w:color w:val="000000"/>
                <w:sz w:val="18"/>
                <w:szCs w:val="18"/>
              </w:rPr>
              <w:t xml:space="preserve">Legal / Contractual</w:t>
            </w:r>
          </w:p>
        </w:tc>
        <w:tc>
          <w:tcPr>
            <w:tcW w:type="dxa" w:w="2250"/>
            <w:tcMar>
              <w:top w:type="dxa" w:w="80"/>
              <w:left w:type="dxa" w:w="100"/>
              <w:bottom w:type="dxa" w:w="80"/>
              <w:right w:type="dxa" w:w="100"/>
            </w:tcMar>
          </w:tcPr>
          <w:p>
            <w:r>
              <w:rPr>
                <w:b w:val="false"/>
                <w:bCs w:val="false"/>
                <w:color w:val="000000"/>
                <w:sz w:val="18"/>
                <w:szCs w:val="18"/>
              </w:rPr>
              <w:t xml:space="preserve">None expected</w:t>
            </w:r>
          </w:p>
        </w:tc>
        <w:tc>
          <w:tcPr>
            <w:tcW w:type="dxa" w:w="2250"/>
            <w:tcMar>
              <w:top w:type="dxa" w:w="80"/>
              <w:left w:type="dxa" w:w="100"/>
              <w:bottom w:type="dxa" w:w="80"/>
              <w:right w:type="dxa" w:w="100"/>
            </w:tcMar>
          </w:tcPr>
          <w:p>
            <w:r>
              <w:rPr>
                <w:b w:val="false"/>
                <w:bCs w:val="false"/>
                <w:color w:val="000000"/>
                <w:sz w:val="18"/>
                <w:szCs w:val="18"/>
              </w:rPr>
              <w:t xml:space="preserve">Review of SLA credit obligations</w:t>
            </w:r>
          </w:p>
        </w:tc>
        <w:tc>
          <w:tcPr>
            <w:tcW w:type="dxa" w:w="2250"/>
            <w:tcMar>
              <w:top w:type="dxa" w:w="80"/>
              <w:left w:type="dxa" w:w="100"/>
              <w:bottom w:type="dxa" w:w="80"/>
              <w:right w:type="dxa" w:w="100"/>
            </w:tcMar>
          </w:tcPr>
          <w:p>
            <w:r>
              <w:rPr>
                <w:b w:val="false"/>
                <w:bCs w:val="false"/>
                <w:color w:val="000000"/>
                <w:sz w:val="18"/>
                <w:szCs w:val="18"/>
              </w:rPr>
              <w:t xml:space="preserve">Formal SLA breach notices likely for enterprise customers</w:t>
            </w:r>
          </w:p>
        </w:tc>
      </w:tr>
      <w:tr>
        <w:tc>
          <w:tcPr>
            <w:tcW w:type="dxa" w:w="2600"/>
            <w:tcMar>
              <w:top w:type="dxa" w:w="80"/>
              <w:left w:type="dxa" w:w="100"/>
              <w:bottom w:type="dxa" w:w="80"/>
              <w:right w:type="dxa" w:w="100"/>
            </w:tcMar>
          </w:tcPr>
          <w:p>
            <w:r>
              <w:rPr>
                <w:b w:val="false"/>
                <w:bCs w:val="false"/>
                <w:color w:val="000000"/>
                <w:sz w:val="18"/>
                <w:szCs w:val="18"/>
              </w:rPr>
              <w:t xml:space="preserve">Operational</w:t>
            </w:r>
          </w:p>
        </w:tc>
        <w:tc>
          <w:tcPr>
            <w:tcW w:type="dxa" w:w="2250"/>
            <w:tcMar>
              <w:top w:type="dxa" w:w="80"/>
              <w:left w:type="dxa" w:w="100"/>
              <w:bottom w:type="dxa" w:w="80"/>
              <w:right w:type="dxa" w:w="100"/>
            </w:tcMar>
          </w:tcPr>
          <w:p>
            <w:r>
              <w:rPr>
                <w:b w:val="false"/>
                <w:bCs w:val="false"/>
                <w:color w:val="000000"/>
                <w:sz w:val="18"/>
                <w:szCs w:val="18"/>
              </w:rPr>
              <w:t xml:space="preserve">Manual workarounds for claims team</w:t>
            </w:r>
          </w:p>
        </w:tc>
        <w:tc>
          <w:tcPr>
            <w:tcW w:type="dxa" w:w="2250"/>
            <w:tcMar>
              <w:top w:type="dxa" w:w="80"/>
              <w:left w:type="dxa" w:w="100"/>
              <w:bottom w:type="dxa" w:w="80"/>
              <w:right w:type="dxa" w:w="100"/>
            </w:tcMar>
          </w:tcPr>
          <w:p>
            <w:r>
              <w:rPr>
                <w:b w:val="false"/>
                <w:bCs w:val="false"/>
                <w:color w:val="000000"/>
                <w:sz w:val="18"/>
                <w:szCs w:val="18"/>
              </w:rPr>
              <w:t xml:space="preserve">Significant backlog requiring overtime/temp staffing to clear</w:t>
            </w:r>
          </w:p>
        </w:tc>
        <w:tc>
          <w:tcPr>
            <w:tcW w:type="dxa" w:w="2250"/>
            <w:tcMar>
              <w:top w:type="dxa" w:w="80"/>
              <w:left w:type="dxa" w:w="100"/>
              <w:bottom w:type="dxa" w:w="80"/>
              <w:right w:type="dxa" w:w="100"/>
            </w:tcMar>
          </w:tcPr>
          <w:p>
            <w:r>
              <w:rPr>
                <w:b w:val="false"/>
                <w:bCs w:val="false"/>
                <w:color w:val="000000"/>
                <w:sz w:val="18"/>
                <w:szCs w:val="18"/>
              </w:rPr>
              <w:t xml:space="preserve">Potential permanent data loss beyond RPO if not resolved</w:t>
            </w:r>
          </w:p>
        </w:tc>
      </w:tr>
    </w:tbl>
    <w:p>
      <w:pPr>
        <w:pStyle w:val="Heading1"/>
        <w:spacing w:after="160" w:before="320"/>
      </w:pPr>
      <w:r>
        <w:rPr>
          <w:b/>
          <w:bCs/>
          <w:color w:val="1F3864"/>
        </w:rPr>
        <w:t xml:space="preserve">5. Key Findings &amp; Gaps</w:t>
      </w:r>
    </w:p>
    <w:p>
      <w:pPr>
        <w:pStyle w:val="ListParagraph"/>
        <w:numPr>
          <w:ilvl w:val="0"/>
          <w:numId w:val="2"/>
        </w:numPr>
        <w:spacing w:after="80"/>
      </w:pPr>
      <w:r>
        <w:t xml:space="preserve">Current infrastructure is deployed in a single AWS region with an untested DR runbook (see Risk Register R-004), placing actual recovery capability below the 4-hour RTO required for Critical-tier processes.</w:t>
      </w:r>
    </w:p>
    <w:p>
      <w:pPr>
        <w:pStyle w:val="ListParagraph"/>
        <w:numPr>
          <w:ilvl w:val="0"/>
          <w:numId w:val="2"/>
        </w:numPr>
        <w:spacing w:after="80"/>
      </w:pPr>
      <w:r>
        <w:t xml:space="preserve">Claims Adjudication depends on a single engineer's undocumented knowledge of the legacy rules engine (see Risk Register R-015), representing a recovery risk independent of infrastructure resilience.</w:t>
      </w:r>
    </w:p>
    <w:p>
      <w:pPr>
        <w:pStyle w:val="ListParagraph"/>
        <w:numPr>
          <w:ilvl w:val="0"/>
          <w:numId w:val="2"/>
        </w:numPr>
        <w:spacing w:after="80"/>
      </w:pPr>
      <w:r>
        <w:t xml:space="preserve">Backup/restore testing has validated the database tier in isolation but not a full-stack recovery (application + infrastructure + data) against stated RTO/RPO targets.</w:t>
      </w:r>
    </w:p>
    <w:p>
      <w:pPr>
        <w:pStyle w:val="Heading1"/>
        <w:spacing w:after="160" w:before="320"/>
      </w:pPr>
      <w:r>
        <w:rPr>
          <w:b/>
          <w:bCs/>
          <w:color w:val="1F3864"/>
        </w:rPr>
        <w:t xml:space="preserve">6. Recommendations</w:t>
      </w:r>
    </w:p>
    <w:p>
      <w:pPr>
        <w:pStyle w:val="ListParagraph"/>
        <w:numPr>
          <w:ilvl w:val="0"/>
          <w:numId w:val="2"/>
        </w:numPr>
        <w:spacing w:after="80"/>
      </w:pPr>
      <w:r>
        <w:t xml:space="preserve">Prioritize multi-region failover architecture for Critical-tier processes (Claims Adjudication, Eligibility Verification) to close the gap between required and actual RTO.</w:t>
      </w:r>
    </w:p>
    <w:p>
      <w:pPr>
        <w:pStyle w:val="ListParagraph"/>
        <w:numPr>
          <w:ilvl w:val="0"/>
          <w:numId w:val="2"/>
        </w:numPr>
        <w:spacing w:after="80"/>
      </w:pPr>
      <w:r>
        <w:t xml:space="preserve">Conduct a full-stack disaster recovery exercise measuring actual recovery time against BIA-defined targets; report results to the CISO and executive leadership.</w:t>
      </w:r>
    </w:p>
    <w:p>
      <w:pPr>
        <w:pStyle w:val="ListParagraph"/>
        <w:numPr>
          <w:ilvl w:val="0"/>
          <w:numId w:val="2"/>
        </w:numPr>
        <w:spacing w:after="80"/>
      </w:pPr>
      <w:r>
        <w:t xml:space="preserve">Document the claims adjudication rules engine and cross-train a second engineer to eliminate key-person dependency.</w:t>
      </w:r>
    </w:p>
    <w:p>
      <w:pPr>
        <w:pStyle w:val="ListParagraph"/>
        <w:numPr>
          <w:ilvl w:val="0"/>
          <w:numId w:val="2"/>
        </w:numPr>
        <w:spacing w:after="80"/>
      </w:pPr>
      <w:r>
        <w:t xml:space="preserve">Re-validate this BIA annually or upon material changes to business process ownership, technology architecture, or customer contractual SLAs.</w:t>
      </w:r>
    </w:p>
    <w:p>
      <w:pPr>
        <w:pStyle w:val="Heading1"/>
        <w:spacing w:after="160" w:before="320"/>
      </w:pPr>
      <w:r>
        <w:rPr>
          <w:b/>
          <w:bCs/>
          <w:color w:val="1F3864"/>
        </w:rPr>
        <w:t xml:space="preserve">7. Approval</w:t>
      </w:r>
    </w:p>
    <w:p>
      <w:pPr>
        <w:spacing w:after="160"/>
      </w:pPr>
      <w:r>
        <w:t xml:space="preserve">This BIA and its recovery objectives are reviewed and approved by the CISO, VP Claims Operations, and Director of Infrastructure, and are used as the basis for the organization's Business Continuity and Disaster Recovery Plan.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Only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Meridian Health Analytics, Inc. — Business Impact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2026-08-13T08:48:19.588Z</dcterms:created>
  <dcterms:modified xsi:type="dcterms:W3CDTF">2026-08-13T08:48:19.589Z</dcterms:modified>
</cp:coreProperties>
</file>

<file path=docProps/custom.xml><?xml version="1.0" encoding="utf-8"?>
<Properties xmlns="http://schemas.openxmlformats.org/officeDocument/2006/custom-properties" xmlns:vt="http://schemas.openxmlformats.org/officeDocument/2006/docPropsVTypes"/>
</file>