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38"/>
          <w:szCs w:val="38"/>
        </w:rPr>
        <w:t xml:space="preserve">SECURITY ASSESSMENT REPORT (SAR)</w:t>
      </w:r>
    </w:p>
    <w:p>
      <w:pPr>
        <w:spacing w:after="60"/>
        <w:jc w:val="center"/>
      </w:pPr>
      <w:r>
        <w:rPr>
          <w:b/>
          <w:bCs/>
          <w:sz w:val="26"/>
          <w:szCs w:val="26"/>
        </w:rPr>
        <w:t xml:space="preserve">GrantBridge Grants Management Platform</w:t>
      </w:r>
    </w:p>
    <w:p>
      <w:pPr>
        <w:spacing w:after="40"/>
        <w:jc w:val="center"/>
      </w:pPr>
      <w:r>
        <w:rPr>
          <w:i/>
          <w:iCs/>
          <w:color w:val="595959"/>
          <w:sz w:val="20"/>
          <w:szCs w:val="20"/>
        </w:rPr>
        <w:t xml:space="preserve">Cascade Civic Systems, Inc. | FedRAMP Moderate | NIST SP 800-53A Rev. 5</w:t>
      </w:r>
    </w:p>
    <w:p>
      <w:pPr>
        <w:spacing w:after="40"/>
        <w:jc w:val="center"/>
      </w:pPr>
      <w:r>
        <w:rPr>
          <w:i/>
          <w:iCs/>
          <w:color w:val="595959"/>
          <w:sz w:val="20"/>
          <w:szCs w:val="20"/>
        </w:rPr>
        <w:t xml:space="preserve">Assessment Period: 2026-01-12 to 2026-02-27 | Report Date: 2026-03-06</w:t>
      </w:r>
    </w:p>
    <w:p>
      <w:pPr>
        <w:spacing w:after="280"/>
        <w:jc w:val="center"/>
      </w:pPr>
      <w:r>
        <w:rPr>
          <w:i/>
          <w:iCs/>
          <w:color w:val="AAAAAA"/>
          <w:sz w:val="18"/>
          <w:szCs w:val="18"/>
        </w:rPr>
        <w:t xml:space="preserve">Sample GRC portfolio artifact — fictional company and system</w:t>
      </w:r>
    </w:p>
    <w:p>
      <w:pPr>
        <w:pStyle w:val="Heading1"/>
        <w:spacing w:after="160" w:before="320"/>
      </w:pPr>
      <w:r>
        <w:rPr>
          <w:b/>
          <w:bCs/>
          <w:color w:val="1F3864"/>
        </w:rPr>
        <w:t xml:space="preserve">1. Executive Summary</w:t>
      </w:r>
    </w:p>
    <w:p>
      <w:pPr>
        <w:spacing w:after="160"/>
      </w:pPr>
      <w:r>
        <w:t xml:space="preserve">An independent security control assessment of the GrantBridge Grants Management Platform was performed against the FedRAMP Moderate baseline using the assessment methods and procedures defined in NIST SP 800-53A Rev. 5. The assessment evaluated 30 sampled controls across 15 control families using examination, interview, and technical testing.</w:t>
      </w:r>
    </w:p>
    <w:p>
      <w:pPr>
        <w:spacing w:after="160"/>
      </w:pPr>
      <w:r>
        <w:t>Of the controls assessed, 21 were determined Satisfied and 9 were determined Other Than Satisfied. Eight findings were identified: two rated High risk, four Moderate, and two Low. No finding indicated an active compromise, and no control deficiency was assessed as rendering the system fundamentally unsuitable for operation.</w:t>
      </w:r>
    </w:p>
    <w:p>
      <w:pPr>
        <w:spacing w:after="160"/>
      </w:pPr>
      <w:r>
        <w:t xml:space="preserve">The two High-risk findings share a common theme: security work that is well defined on paper but lacks an enforcement mechanism to guarantee execution. FIND-001 concerns vulnerability remediation SLAs that exist without automated escalation, and FIND-002 concerns a least-privilege requirement that was not enforced as the system scaled. Both are addressable through automation and control gating rather than architectural change.</w:t>
      </w:r>
    </w:p>
    <w:p>
      <w:pPr>
        <w:spacing w:after="160"/>
      </w:pPr>
      <w:r>
        <w:t xml:space="preserve">Management concurred with all eight findings and provided remediation plans with committed completion dates, each tracked to a corresponding POA&amp;M item. Based on the assessed control posture and the credibility of the submitted remediation plans, the assessment team recommends that the Authorizing Official consider granting an Authority to Operate conditioned on completion of the two High-risk POA&amp;M items within their committed timelines.</w:t>
      </w:r>
    </w:p>
    <w:p>
      <w:pPr>
        <w:pStyle w:val="Heading1"/>
        <w:spacing w:after="160" w:before="320"/>
      </w:pPr>
      <w:r>
        <w:rPr>
          <w:b/>
          <w:bCs/>
          <w:color w:val="1F3864"/>
        </w:rPr>
        <w:t xml:space="preserve">2. Assessment Scope and Methodology</w:t>
      </w:r>
    </w:p>
    <w:p>
      <w:pPr>
        <w:spacing w:after="160"/>
      </w:pPr>
      <w:r>
        <w:t xml:space="preserve">The assessment covered all components within the GrantBridge authorization boundary as documented in the System Security Plan v2.1, including the web application tier, API tier, database, document storage, identity integration layer, and logging pipeline. Controls fully inherited from AWS GovCloud under its FedRAMP High P-ATO were verified as inheritable but not independently reassessed.</w:t>
      </w:r>
    </w:p>
    <w:p>
      <w:pPr>
        <w:pStyle w:val="Heading2"/>
        <w:spacing w:after="120" w:before="260"/>
      </w:pPr>
      <w:r>
        <w:rPr>
          <w:b/>
          <w:bCs/>
          <w:color w:val="1F3864"/>
        </w:rPr>
        <w:t xml:space="preserve">2.1 Assessment Methods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1F3864" w:val="clear"/>
            <w:tcMar>
              <w:top w:type="dxa" w:w="80"/>
              <w:left w:type="dxa" w:w="100"/>
              <w:bottom w:type="dxa" w:w="80"/>
              <w:right w:type="dxa" w:w="100"/>
            </w:tcMar>
          </w:tcPr>
          <w:p>
            <w:r>
              <w:rPr>
                <w:b/>
                <w:bCs/>
                <w:color w:val="FFFFFF"/>
                <w:sz w:val="18"/>
                <w:szCs w:val="18"/>
              </w:rPr>
              <w:t xml:space="preserve">Method</w:t>
            </w:r>
          </w:p>
        </w:tc>
        <w:tc>
          <w:tcPr>
            <w:tcW w:type="dxa" w:w="6950"/>
            <w:shd w:fill="1F3864" w:val="clear"/>
            <w:tcMar>
              <w:top w:type="dxa" w:w="80"/>
              <w:left w:type="dxa" w:w="100"/>
              <w:bottom w:type="dxa" w:w="80"/>
              <w:right w:type="dxa" w:w="100"/>
            </w:tcMar>
          </w:tcPr>
          <w:p>
            <w:r>
              <w:rPr>
                <w:b/>
                <w:bCs/>
                <w:color w:val="FFFFFF"/>
                <w:sz w:val="18"/>
                <w:szCs w:val="18"/>
              </w:rPr>
              <w:t xml:space="preserve">Description</w:t>
            </w:r>
          </w:p>
        </w:tc>
      </w:tr>
      <w:tr>
        <w:tc>
          <w:tcPr>
            <w:tcW w:type="dxa" w:w="2400"/>
            <w:tcMar>
              <w:top w:type="dxa" w:w="80"/>
              <w:left w:type="dxa" w:w="100"/>
              <w:bottom w:type="dxa" w:w="80"/>
              <w:right w:type="dxa" w:w="100"/>
            </w:tcMar>
          </w:tcPr>
          <w:p>
            <w:r>
              <w:rPr>
                <w:b w:val="false"/>
                <w:bCs w:val="false"/>
                <w:color w:val="000000"/>
                <w:sz w:val="18"/>
                <w:szCs w:val="18"/>
              </w:rPr>
              <w:t xml:space="preserve">Examine</w:t>
            </w:r>
          </w:p>
        </w:tc>
        <w:tc>
          <w:tcPr>
            <w:tcW w:type="dxa" w:w="6950"/>
            <w:tcMar>
              <w:top w:type="dxa" w:w="80"/>
              <w:left w:type="dxa" w:w="100"/>
              <w:bottom w:type="dxa" w:w="80"/>
              <w:right w:type="dxa" w:w="100"/>
            </w:tcMar>
          </w:tcPr>
          <w:p>
            <w:r>
              <w:rPr>
                <w:b w:val="false"/>
                <w:bCs w:val="false"/>
                <w:color w:val="000000"/>
                <w:sz w:val="18"/>
                <w:szCs w:val="18"/>
              </w:rPr>
              <w:t xml:space="preserve">Review of policies, procedures, plans, architecture diagrams, configuration exports, scan results, ticket records, and prior assessment artifacts</w:t>
            </w:r>
          </w:p>
        </w:tc>
      </w:tr>
      <w:tr>
        <w:tc>
          <w:tcPr>
            <w:tcW w:type="dxa" w:w="2400"/>
            <w:tcMar>
              <w:top w:type="dxa" w:w="80"/>
              <w:left w:type="dxa" w:w="100"/>
              <w:bottom w:type="dxa" w:w="80"/>
              <w:right w:type="dxa" w:w="100"/>
            </w:tcMar>
          </w:tcPr>
          <w:p>
            <w:r>
              <w:rPr>
                <w:b w:val="false"/>
                <w:bCs w:val="false"/>
                <w:color w:val="000000"/>
                <w:sz w:val="18"/>
                <w:szCs w:val="18"/>
              </w:rPr>
              <w:t xml:space="preserve">Interview</w:t>
            </w:r>
          </w:p>
        </w:tc>
        <w:tc>
          <w:tcPr>
            <w:tcW w:type="dxa" w:w="6950"/>
            <w:tcMar>
              <w:top w:type="dxa" w:w="80"/>
              <w:left w:type="dxa" w:w="100"/>
              <w:bottom w:type="dxa" w:w="80"/>
              <w:right w:type="dxa" w:w="100"/>
            </w:tcMar>
          </w:tcPr>
          <w:p>
            <w:r>
              <w:rPr>
                <w:b w:val="false"/>
                <w:bCs w:val="false"/>
                <w:color w:val="000000"/>
                <w:sz w:val="18"/>
                <w:szCs w:val="18"/>
              </w:rPr>
              <w:t xml:space="preserve">Structured interviews with the ISSO, System Owner, Security Operations Lead, Incident Response Lead, Director of Platform Engineering, Cloud Infrastructure Lead, and two on-call engineers</w:t>
            </w:r>
          </w:p>
        </w:tc>
      </w:tr>
      <w:tr>
        <w:tc>
          <w:tcPr>
            <w:tcW w:type="dxa" w:w="2400"/>
            <w:tcMar>
              <w:top w:type="dxa" w:w="80"/>
              <w:left w:type="dxa" w:w="100"/>
              <w:bottom w:type="dxa" w:w="80"/>
              <w:right w:type="dxa" w:w="100"/>
            </w:tcMar>
          </w:tcPr>
          <w:p>
            <w:r>
              <w:rPr>
                <w:b w:val="false"/>
                <w:bCs w:val="false"/>
                <w:color w:val="000000"/>
                <w:sz w:val="18"/>
                <w:szCs w:val="18"/>
              </w:rPr>
              <w:t xml:space="preserve">Test</w:t>
            </w:r>
          </w:p>
        </w:tc>
        <w:tc>
          <w:tcPr>
            <w:tcW w:type="dxa" w:w="6950"/>
            <w:tcMar>
              <w:top w:type="dxa" w:w="80"/>
              <w:left w:type="dxa" w:w="100"/>
              <w:bottom w:type="dxa" w:w="80"/>
              <w:right w:type="dxa" w:w="100"/>
            </w:tcMar>
          </w:tcPr>
          <w:p>
            <w:r>
              <w:rPr>
                <w:b w:val="false"/>
                <w:bCs w:val="false"/>
                <w:color w:val="000000"/>
                <w:sz w:val="18"/>
                <w:szCs w:val="18"/>
              </w:rPr>
              <w:t xml:space="preserve">Technical validation including authenticated configuration scanning, sampling of 12 production hosts, privileged-action logging tests, access control validation, and encryption verification</w:t>
            </w:r>
          </w:p>
        </w:tc>
      </w:tr>
    </w:tbl>
    <w:p>
      <w:pPr>
        <w:pStyle w:val="Heading2"/>
        <w:spacing w:after="120" w:before="260"/>
      </w:pPr>
      <w:r>
        <w:rPr>
          <w:b/>
          <w:bCs/>
          <w:color w:val="1F3864"/>
        </w:rPr>
        <w:t xml:space="preserve">2.2 Risk Rating Methodology</w:t>
      </w:r>
    </w:p>
    <w:p>
      <w:pPr>
        <w:spacing w:after="160"/>
      </w:pPr>
      <w:r>
        <w:t xml:space="preserve">Each finding was assigned a risk rating derived from the likelihood of exploitation or occurrence and the magnitude of impact to confidentiality, integrity, or availability of the system and the federal information it processes, consistent with NIST SP 800-30 Rev. 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c>
          <w:tcPr>
            <w:tcW w:type="dxa" w:w="1800"/>
            <w:shd w:fill="1F3864" w:val="clear"/>
            <w:tcMar>
              <w:top w:type="dxa" w:w="80"/>
              <w:left w:type="dxa" w:w="100"/>
              <w:bottom w:type="dxa" w:w="80"/>
              <w:right w:type="dxa" w:w="100"/>
            </w:tcMar>
          </w:tcPr>
          <w:p>
            <w:r>
              <w:rPr>
                <w:b/>
                <w:bCs/>
                <w:color w:val="FFFFFF"/>
                <w:sz w:val="18"/>
                <w:szCs w:val="18"/>
              </w:rPr>
              <w:t xml:space="preserve">Rating</w:t>
            </w:r>
          </w:p>
        </w:tc>
        <w:tc>
          <w:tcPr>
            <w:tcW w:type="dxa" w:w="7550"/>
            <w:shd w:fill="1F3864" w:val="clear"/>
            <w:tcMar>
              <w:top w:type="dxa" w:w="80"/>
              <w:left w:type="dxa" w:w="100"/>
              <w:bottom w:type="dxa" w:w="80"/>
              <w:right w:type="dxa" w:w="100"/>
            </w:tcMar>
          </w:tcPr>
          <w:p>
            <w:r>
              <w:rPr>
                <w:b/>
                <w:bCs/>
                <w:color w:val="FFFFFF"/>
                <w:sz w:val="18"/>
                <w:szCs w:val="18"/>
              </w:rPr>
              <w:t xml:space="preserve">Definition and Expected Response</w:t>
            </w:r>
          </w:p>
        </w:tc>
      </w:tr>
      <w:tr>
        <w:tc>
          <w:tcPr>
            <w:tcW w:type="dxa" w:w="1800"/>
            <w:tcMar>
              <w:top w:type="dxa" w:w="80"/>
              <w:left w:type="dxa" w:w="100"/>
              <w:bottom w:type="dxa" w:w="80"/>
              <w:right w:type="dxa" w:w="100"/>
            </w:tcMar>
          </w:tcPr>
          <w:p>
            <w:r>
              <w:rPr>
                <w:b w:val="false"/>
                <w:bCs w:val="false"/>
                <w:color w:val="000000"/>
                <w:sz w:val="18"/>
                <w:szCs w:val="18"/>
              </w:rPr>
              <w:t xml:space="preserve">High</w:t>
            </w:r>
          </w:p>
        </w:tc>
        <w:tc>
          <w:tcPr>
            <w:tcW w:type="dxa" w:w="7550"/>
            <w:tcMar>
              <w:top w:type="dxa" w:w="80"/>
              <w:left w:type="dxa" w:w="100"/>
              <w:bottom w:type="dxa" w:w="80"/>
              <w:right w:type="dxa" w:w="100"/>
            </w:tcMar>
          </w:tcPr>
          <w:p>
            <w:r>
              <w:rPr>
                <w:b w:val="false"/>
                <w:bCs w:val="false"/>
                <w:color w:val="000000"/>
                <w:sz w:val="18"/>
                <w:szCs w:val="18"/>
              </w:rPr>
              <w:t xml:space="preserve">Deficiency presents a significant risk to the system or federal data. Remediation required within 30 days of discovery; may condition the authorization decision.</w:t>
            </w:r>
          </w:p>
        </w:tc>
      </w:tr>
      <w:tr>
        <w:tc>
          <w:tcPr>
            <w:tcW w:type="dxa" w:w="1800"/>
            <w:tcMar>
              <w:top w:type="dxa" w:w="80"/>
              <w:left w:type="dxa" w:w="100"/>
              <w:bottom w:type="dxa" w:w="80"/>
              <w:right w:type="dxa" w:w="100"/>
            </w:tcMar>
          </w:tcPr>
          <w:p>
            <w:r>
              <w:rPr>
                <w:b w:val="false"/>
                <w:bCs w:val="false"/>
                <w:color w:val="000000"/>
                <w:sz w:val="18"/>
                <w:szCs w:val="18"/>
              </w:rPr>
              <w:t xml:space="preserve">Moderate</w:t>
            </w:r>
          </w:p>
        </w:tc>
        <w:tc>
          <w:tcPr>
            <w:tcW w:type="dxa" w:w="7550"/>
            <w:tcMar>
              <w:top w:type="dxa" w:w="80"/>
              <w:left w:type="dxa" w:w="100"/>
              <w:bottom w:type="dxa" w:w="80"/>
              <w:right w:type="dxa" w:w="100"/>
            </w:tcMar>
          </w:tcPr>
          <w:p>
            <w:r>
              <w:rPr>
                <w:b w:val="false"/>
                <w:bCs w:val="false"/>
                <w:color w:val="000000"/>
                <w:sz w:val="18"/>
                <w:szCs w:val="18"/>
              </w:rPr>
              <w:t xml:space="preserve">Deficiency presents a meaningful risk that is limited in scope, likelihood, or impact. Remediation required within 90 days of discovery.</w:t>
            </w:r>
          </w:p>
        </w:tc>
      </w:tr>
      <w:tr>
        <w:tc>
          <w:tcPr>
            <w:tcW w:type="dxa" w:w="1800"/>
            <w:tcMar>
              <w:top w:type="dxa" w:w="80"/>
              <w:left w:type="dxa" w:w="100"/>
              <w:bottom w:type="dxa" w:w="80"/>
              <w:right w:type="dxa" w:w="100"/>
            </w:tcMar>
          </w:tcPr>
          <w:p>
            <w:r>
              <w:rPr>
                <w:b w:val="false"/>
                <w:bCs w:val="false"/>
                <w:color w:val="000000"/>
                <w:sz w:val="18"/>
                <w:szCs w:val="18"/>
              </w:rPr>
              <w:t xml:space="preserve">Low</w:t>
            </w:r>
          </w:p>
        </w:tc>
        <w:tc>
          <w:tcPr>
            <w:tcW w:type="dxa" w:w="7550"/>
            <w:tcMar>
              <w:top w:type="dxa" w:w="80"/>
              <w:left w:type="dxa" w:w="100"/>
              <w:bottom w:type="dxa" w:w="80"/>
              <w:right w:type="dxa" w:w="100"/>
            </w:tcMar>
          </w:tcPr>
          <w:p>
            <w:r>
              <w:rPr>
                <w:b w:val="false"/>
                <w:bCs w:val="false"/>
                <w:color w:val="000000"/>
                <w:sz w:val="18"/>
                <w:szCs w:val="18"/>
              </w:rPr>
              <w:t xml:space="preserve">Deficiency presents limited risk, or primarily affects the ability to evidence a control rather than its underlying operation. Remediation required within 180 days of discovery.</w:t>
            </w:r>
          </w:p>
        </w:tc>
      </w:tr>
    </w:tbl>
    <w:p>
      <w:pPr>
        <w:pStyle w:val="Heading1"/>
        <w:spacing w:after="160" w:before="320"/>
      </w:pPr>
      <w:r>
        <w:rPr>
          <w:b/>
          <w:bCs/>
          <w:color w:val="1F3864"/>
        </w:rPr>
        <w:t xml:space="preserve">3. Summary of Results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1900"/>
        <w:gridCol w:w="2050"/>
        <w:gridCol w:w="2000"/>
      </w:tblGrid>
      <w:tr>
        <w:tc>
          <w:tcPr>
            <w:tcW w:type="dxa" w:w="3400"/>
            <w:shd w:fill="1F3864" w:val="clear"/>
            <w:tcMar>
              <w:top w:type="dxa" w:w="80"/>
              <w:left w:type="dxa" w:w="100"/>
              <w:bottom w:type="dxa" w:w="80"/>
              <w:right w:type="dxa" w:w="100"/>
            </w:tcMar>
          </w:tcPr>
          <w:p>
            <w:r>
              <w:rPr>
                <w:b/>
                <w:bCs/>
                <w:color w:val="FFFFFF"/>
                <w:sz w:val="18"/>
                <w:szCs w:val="18"/>
              </w:rPr>
              <w:t xml:space="preserve">Assessment Outcome</w:t>
            </w:r>
          </w:p>
        </w:tc>
        <w:tc>
          <w:tcPr>
            <w:tcW w:type="dxa" w:w="1900"/>
            <w:shd w:fill="1F3864" w:val="clear"/>
            <w:tcMar>
              <w:top w:type="dxa" w:w="80"/>
              <w:left w:type="dxa" w:w="100"/>
              <w:bottom w:type="dxa" w:w="80"/>
              <w:right w:type="dxa" w:w="100"/>
            </w:tcMar>
          </w:tcPr>
          <w:p>
            <w:r>
              <w:rPr>
                <w:b/>
                <w:bCs/>
                <w:color w:val="FFFFFF"/>
                <w:sz w:val="18"/>
                <w:szCs w:val="18"/>
              </w:rPr>
              <w:t xml:space="preserve">Count</w:t>
            </w:r>
          </w:p>
        </w:tc>
        <w:tc>
          <w:tcPr>
            <w:tcW w:type="dxa" w:w="2050"/>
            <w:shd w:fill="1F3864" w:val="clear"/>
            <w:tcMar>
              <w:top w:type="dxa" w:w="80"/>
              <w:left w:type="dxa" w:w="100"/>
              <w:bottom w:type="dxa" w:w="80"/>
              <w:right w:type="dxa" w:w="100"/>
            </w:tcMar>
          </w:tcPr>
          <w:p>
            <w:r>
              <w:rPr>
                <w:b/>
                <w:bCs/>
                <w:color w:val="FFFFFF"/>
                <w:sz w:val="18"/>
                <w:szCs w:val="18"/>
              </w:rPr>
              <w:t xml:space="preserve">% of Sampled</w:t>
            </w:r>
          </w:p>
        </w:tc>
        <w:tc>
          <w:tcPr>
            <w:tcW w:type="dxa" w:w="2000"/>
            <w:shd w:fill="1F3864" w:val="clear"/>
            <w:tcMar>
              <w:top w:type="dxa" w:w="80"/>
              <w:left w:type="dxa" w:w="100"/>
              <w:bottom w:type="dxa" w:w="80"/>
              <w:right w:type="dxa" w:w="100"/>
            </w:tcMar>
          </w:tcPr>
          <w:p>
            <w:r>
              <w:rPr>
                <w:b/>
                <w:bCs/>
                <w:color w:val="FFFFFF"/>
                <w:sz w:val="18"/>
                <w:szCs w:val="18"/>
              </w:rPr>
              <w:t xml:space="preserve">Notes</w:t>
            </w:r>
          </w:p>
        </w:tc>
      </w:tr>
      <w:tr>
        <w:tc>
          <w:tcPr>
            <w:tcW w:type="dxa" w:w="3400"/>
            <w:tcMar>
              <w:top w:type="dxa" w:w="80"/>
              <w:left w:type="dxa" w:w="100"/>
              <w:bottom w:type="dxa" w:w="80"/>
              <w:right w:type="dxa" w:w="100"/>
            </w:tcMar>
          </w:tcPr>
          <w:p>
            <w:r>
              <w:rPr>
                <w:b w:val="false"/>
                <w:bCs w:val="false"/>
                <w:color w:val="000000"/>
                <w:sz w:val="18"/>
                <w:szCs w:val="18"/>
              </w:rPr>
              <w:t xml:space="preserve">Satisfied</w:t>
            </w:r>
          </w:p>
        </w:tc>
        <w:tc>
          <w:tcPr>
            <w:tcW w:type="dxa" w:w="1900"/>
            <w:tcMar>
              <w:top w:type="dxa" w:w="80"/>
              <w:left w:type="dxa" w:w="100"/>
              <w:bottom w:type="dxa" w:w="80"/>
              <w:right w:type="dxa" w:w="100"/>
            </w:tcMar>
          </w:tcPr>
          <w:p>
            <w:r>
              <w:rPr>
                <w:b w:val="false"/>
                <w:bCs w:val="false"/>
                <w:color w:val="000000"/>
                <w:sz w:val="18"/>
                <w:szCs w:val="18"/>
              </w:rPr>
              <w:t>21</w:t>
            </w:r>
          </w:p>
        </w:tc>
        <w:tc>
          <w:tcPr>
            <w:tcW w:type="dxa" w:w="2050"/>
            <w:tcMar>
              <w:top w:type="dxa" w:w="80"/>
              <w:left w:type="dxa" w:w="100"/>
              <w:bottom w:type="dxa" w:w="80"/>
              <w:right w:type="dxa" w:w="100"/>
            </w:tcMar>
          </w:tcPr>
          <w:p>
            <w:r>
              <w:rPr>
                <w:b w:val="false"/>
                <w:bCs w:val="false"/>
                <w:color w:val="000000"/>
                <w:sz w:val="18"/>
                <w:szCs w:val="18"/>
              </w:rPr>
              <w:t>70.0%</w:t>
            </w:r>
          </w:p>
        </w:tc>
        <w:tc>
          <w:tcPr>
            <w:tcW w:type="dxa" w:w="2000"/>
            <w:tcMar>
              <w:top w:type="dxa" w:w="80"/>
              <w:left w:type="dxa" w:w="100"/>
              <w:bottom w:type="dxa" w:w="80"/>
              <w:right w:type="dxa" w:w="100"/>
            </w:tcMar>
          </w:tcPr>
          <w:p>
            <w:r>
              <w:rPr>
                <w:b w:val="false"/>
                <w:bCs w:val="false"/>
                <w:color w:val="000000"/>
                <w:sz w:val="18"/>
                <w:szCs w:val="18"/>
              </w:rPr>
              <w:t xml:space="preserve">Control operating as designed and documented</w:t>
            </w:r>
          </w:p>
        </w:tc>
      </w:tr>
      <w:tr>
        <w:tc>
          <w:tcPr>
            <w:tcW w:type="dxa" w:w="3400"/>
            <w:tcMar>
              <w:top w:type="dxa" w:w="80"/>
              <w:left w:type="dxa" w:w="100"/>
              <w:bottom w:type="dxa" w:w="80"/>
              <w:right w:type="dxa" w:w="100"/>
            </w:tcMar>
          </w:tcPr>
          <w:p>
            <w:r>
              <w:rPr>
                <w:b w:val="false"/>
                <w:bCs w:val="false"/>
                <w:color w:val="000000"/>
                <w:sz w:val="18"/>
                <w:szCs w:val="18"/>
              </w:rPr>
              <w:t xml:space="preserve">Other Than Satisfied</w:t>
            </w:r>
          </w:p>
        </w:tc>
        <w:tc>
          <w:tcPr>
            <w:tcW w:type="dxa" w:w="1900"/>
            <w:tcMar>
              <w:top w:type="dxa" w:w="80"/>
              <w:left w:type="dxa" w:w="100"/>
              <w:bottom w:type="dxa" w:w="80"/>
              <w:right w:type="dxa" w:w="100"/>
            </w:tcMar>
          </w:tcPr>
          <w:p>
            <w:r>
              <w:rPr>
                <w:b w:val="false"/>
                <w:bCs w:val="false"/>
                <w:color w:val="000000"/>
                <w:sz w:val="18"/>
                <w:szCs w:val="18"/>
              </w:rPr>
              <w:t>9</w:t>
            </w:r>
          </w:p>
        </w:tc>
        <w:tc>
          <w:tcPr>
            <w:tcW w:type="dxa" w:w="2050"/>
            <w:tcMar>
              <w:top w:type="dxa" w:w="80"/>
              <w:left w:type="dxa" w:w="100"/>
              <w:bottom w:type="dxa" w:w="80"/>
              <w:right w:type="dxa" w:w="100"/>
            </w:tcMar>
          </w:tcPr>
          <w:p>
            <w:r>
              <w:rPr>
                <w:b w:val="false"/>
                <w:bCs w:val="false"/>
                <w:color w:val="000000"/>
                <w:sz w:val="18"/>
                <w:szCs w:val="18"/>
              </w:rPr>
              <w:t>30.0%</w:t>
            </w:r>
          </w:p>
        </w:tc>
        <w:tc>
          <w:tcPr>
            <w:tcW w:type="dxa" w:w="2000"/>
            <w:tcMar>
              <w:top w:type="dxa" w:w="80"/>
              <w:left w:type="dxa" w:w="100"/>
              <w:bottom w:type="dxa" w:w="80"/>
              <w:right w:type="dxa" w:w="100"/>
            </w:tcMar>
          </w:tcPr>
          <w:p>
            <w:r>
              <w:rPr>
                <w:b w:val="false"/>
                <w:bCs w:val="false"/>
                <w:color w:val="000000"/>
                <w:sz w:val="18"/>
                <w:szCs w:val="18"/>
              </w:rPr>
              <w:t xml:space="preserve">Deficiency identified; POA&amp;M item generated</w:t>
            </w:r>
          </w:p>
        </w:tc>
      </w:tr>
      <w:tr>
        <w:tc>
          <w:tcPr>
            <w:tcW w:type="dxa" w:w="3400"/>
            <w:tcMar>
              <w:top w:type="dxa" w:w="80"/>
              <w:left w:type="dxa" w:w="100"/>
              <w:bottom w:type="dxa" w:w="80"/>
              <w:right w:type="dxa" w:w="100"/>
            </w:tcMar>
          </w:tcPr>
          <w:p>
            <w:r>
              <w:rPr>
                <w:b w:val="false"/>
                <w:bCs w:val="false"/>
                <w:color w:val="000000"/>
                <w:sz w:val="18"/>
                <w:szCs w:val="18"/>
              </w:rPr>
              <w:t xml:space="preserve">Total Sampled</w:t>
            </w:r>
          </w:p>
        </w:tc>
        <w:tc>
          <w:tcPr>
            <w:tcW w:type="dxa" w:w="1900"/>
            <w:tcMar>
              <w:top w:type="dxa" w:w="80"/>
              <w:left w:type="dxa" w:w="100"/>
              <w:bottom w:type="dxa" w:w="80"/>
              <w:right w:type="dxa" w:w="100"/>
            </w:tcMar>
          </w:tcPr>
          <w:p>
            <w:r>
              <w:rPr>
                <w:b w:val="false"/>
                <w:bCs w:val="false"/>
                <w:color w:val="000000"/>
                <w:sz w:val="18"/>
                <w:szCs w:val="18"/>
              </w:rPr>
              <w:t xml:space="preserve">30</w:t>
            </w:r>
          </w:p>
        </w:tc>
        <w:tc>
          <w:tcPr>
            <w:tcW w:type="dxa" w:w="2050"/>
            <w:tcMar>
              <w:top w:type="dxa" w:w="80"/>
              <w:left w:type="dxa" w:w="100"/>
              <w:bottom w:type="dxa" w:w="80"/>
              <w:right w:type="dxa" w:w="100"/>
            </w:tcMar>
          </w:tcPr>
          <w:p>
            <w:r>
              <w:rPr>
                <w:b w:val="false"/>
                <w:bCs w:val="false"/>
                <w:color w:val="000000"/>
                <w:sz w:val="18"/>
                <w:szCs w:val="18"/>
              </w:rPr>
              <w:t xml:space="preserve">100%</w:t>
            </w:r>
          </w:p>
        </w:tc>
        <w:tc>
          <w:tcPr>
            <w:tcW w:type="dxa" w:w="2000"/>
            <w:tcMar>
              <w:top w:type="dxa" w:w="80"/>
              <w:left w:type="dxa" w:w="100"/>
              <w:bottom w:type="dxa" w:w="80"/>
              <w:right w:type="dxa" w:w="100"/>
            </w:tcMar>
          </w:tcPr>
          <w:p>
            <w:r>
              <w:rPr>
                <w:b w:val="false"/>
                <w:bCs w:val="false"/>
                <w:color w:val="000000"/>
                <w:sz w:val="18"/>
                <w:szCs w:val="18"/>
              </w:rPr>
              <w:t xml:space="preserve">30 controls across 15 families</w:t>
            </w:r>
          </w:p>
        </w:tc>
      </w:tr>
    </w:tbl>
    <w:p>
      <w:pPr>
        <w:spacing w:after="120"/>
      </w:pPr>
    </w:p>
    <w:p>
      <w:pPr>
        <w:pStyle w:val="Heading2"/>
        <w:spacing w:after="120" w:before="260"/>
      </w:pPr>
      <w:r>
        <w:rPr>
          <w:b/>
          <w:bCs/>
          <w:color w:val="1F3864"/>
        </w:rPr>
        <w:t xml:space="preserve">3.1 Findings by Risk Rating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50"/>
      </w:tblGrid>
      <w:tr>
        <w:tc>
          <w:tcPr>
            <w:tcW w:type="dxa" w:w="2200"/>
            <w:shd w:fill="1F3864" w:val="clear"/>
            <w:tcMar>
              <w:top w:type="dxa" w:w="80"/>
              <w:left w:type="dxa" w:w="100"/>
              <w:bottom w:type="dxa" w:w="80"/>
              <w:right w:type="dxa" w:w="100"/>
            </w:tcMar>
          </w:tcPr>
          <w:p>
            <w:r>
              <w:rPr>
                <w:b/>
                <w:bCs/>
                <w:color w:val="FFFFFF"/>
                <w:sz w:val="18"/>
                <w:szCs w:val="18"/>
              </w:rPr>
              <w:t xml:space="preserve">Risk Rating</w:t>
            </w:r>
          </w:p>
        </w:tc>
        <w:tc>
          <w:tcPr>
            <w:tcW w:type="dxa" w:w="1800"/>
            <w:shd w:fill="1F3864" w:val="clear"/>
            <w:tcMar>
              <w:top w:type="dxa" w:w="80"/>
              <w:left w:type="dxa" w:w="100"/>
              <w:bottom w:type="dxa" w:w="80"/>
              <w:right w:type="dxa" w:w="100"/>
            </w:tcMar>
          </w:tcPr>
          <w:p>
            <w:r>
              <w:rPr>
                <w:b/>
                <w:bCs/>
                <w:color w:val="FFFFFF"/>
                <w:sz w:val="18"/>
                <w:szCs w:val="18"/>
              </w:rPr>
              <w:t xml:space="preserve">Count</w:t>
            </w:r>
          </w:p>
        </w:tc>
        <w:tc>
          <w:tcPr>
            <w:tcW w:type="dxa" w:w="5350"/>
            <w:shd w:fill="1F3864" w:val="clear"/>
            <w:tcMar>
              <w:top w:type="dxa" w:w="80"/>
              <w:left w:type="dxa" w:w="100"/>
              <w:bottom w:type="dxa" w:w="80"/>
              <w:right w:type="dxa" w:w="100"/>
            </w:tcMar>
          </w:tcPr>
          <w:p>
            <w:r>
              <w:rPr>
                <w:b/>
                <w:bCs/>
                <w:color w:val="FFFFFF"/>
                <w:sz w:val="18"/>
                <w:szCs w:val="18"/>
              </w:rPr>
              <w:t xml:space="preserve">Finding IDs</w:t>
            </w:r>
          </w:p>
        </w:tc>
      </w:tr>
      <w:tr>
        <w:tc>
          <w:tcPr>
            <w:tcW w:type="dxa" w:w="2200"/>
            <w:shd w:fill="FCE4E4" w:val="clear"/>
            <w:tcMar>
              <w:top w:type="dxa" w:w="80"/>
              <w:left w:type="dxa" w:w="100"/>
              <w:bottom w:type="dxa" w:w="80"/>
              <w:right w:type="dxa" w:w="100"/>
            </w:tcMar>
          </w:tcPr>
          <w:p>
            <w:r>
              <w:rPr>
                <w:b w:val="false"/>
                <w:bCs w:val="false"/>
                <w:color w:val="000000"/>
                <w:sz w:val="18"/>
                <w:szCs w:val="18"/>
              </w:rPr>
              <w:t xml:space="preserve">High</w:t>
            </w:r>
          </w:p>
        </w:tc>
        <w:tc>
          <w:tcPr>
            <w:tcW w:type="dxa" w:w="1800"/>
            <w:tcMar>
              <w:top w:type="dxa" w:w="80"/>
              <w:left w:type="dxa" w:w="100"/>
              <w:bottom w:type="dxa" w:w="80"/>
              <w:right w:type="dxa" w:w="100"/>
            </w:tcMar>
          </w:tcPr>
          <w:p>
            <w:r>
              <w:rPr>
                <w:b w:val="false"/>
                <w:bCs w:val="false"/>
                <w:color w:val="000000"/>
                <w:sz w:val="18"/>
                <w:szCs w:val="18"/>
              </w:rPr>
              <w:t xml:space="preserve">2</w:t>
            </w:r>
          </w:p>
        </w:tc>
        <w:tc>
          <w:tcPr>
            <w:tcW w:type="dxa" w:w="5350"/>
            <w:tcMar>
              <w:top w:type="dxa" w:w="80"/>
              <w:left w:type="dxa" w:w="100"/>
              <w:bottom w:type="dxa" w:w="80"/>
              <w:right w:type="dxa" w:w="100"/>
            </w:tcMar>
          </w:tcPr>
          <w:p>
            <w:r>
              <w:rPr>
                <w:b w:val="false"/>
                <w:bCs w:val="false"/>
                <w:color w:val="000000"/>
                <w:sz w:val="18"/>
                <w:szCs w:val="18"/>
              </w:rPr>
              <w:t xml:space="preserve">FIND-001, FIND-002</w:t>
            </w:r>
          </w:p>
        </w:tc>
      </w:tr>
      <w:tr>
        <w:tc>
          <w:tcPr>
            <w:tcW w:type="dxa" w:w="2200"/>
            <w:shd w:fill="FDEBD0" w:val="clear"/>
            <w:tcMar>
              <w:top w:type="dxa" w:w="80"/>
              <w:left w:type="dxa" w:w="100"/>
              <w:bottom w:type="dxa" w:w="80"/>
              <w:right w:type="dxa" w:w="100"/>
            </w:tcMar>
          </w:tcPr>
          <w:p>
            <w:r>
              <w:rPr>
                <w:b w:val="false"/>
                <w:bCs w:val="false"/>
                <w:color w:val="000000"/>
                <w:sz w:val="18"/>
                <w:szCs w:val="18"/>
              </w:rPr>
              <w:t xml:space="preserve">Moderate</w:t>
            </w:r>
          </w:p>
        </w:tc>
        <w:tc>
          <w:tcPr>
            <w:tcW w:type="dxa" w:w="1800"/>
            <w:tcMar>
              <w:top w:type="dxa" w:w="80"/>
              <w:left w:type="dxa" w:w="100"/>
              <w:bottom w:type="dxa" w:w="80"/>
              <w:right w:type="dxa" w:w="100"/>
            </w:tcMar>
          </w:tcPr>
          <w:p>
            <w:r>
              <w:rPr>
                <w:b w:val="false"/>
                <w:bCs w:val="false"/>
                <w:color w:val="000000"/>
                <w:sz w:val="18"/>
                <w:szCs w:val="18"/>
              </w:rPr>
              <w:t xml:space="preserve">4</w:t>
            </w:r>
          </w:p>
        </w:tc>
        <w:tc>
          <w:tcPr>
            <w:tcW w:type="dxa" w:w="5350"/>
            <w:tcMar>
              <w:top w:type="dxa" w:w="80"/>
              <w:left w:type="dxa" w:w="100"/>
              <w:bottom w:type="dxa" w:w="80"/>
              <w:right w:type="dxa" w:w="100"/>
            </w:tcMar>
          </w:tcPr>
          <w:p>
            <w:r>
              <w:rPr>
                <w:b w:val="false"/>
                <w:bCs w:val="false"/>
                <w:color w:val="000000"/>
                <w:sz w:val="18"/>
                <w:szCs w:val="18"/>
              </w:rPr>
              <w:t xml:space="preserve">FIND-003, FIND-004, FIND-005, FIND-006</w:t>
            </w:r>
          </w:p>
        </w:tc>
      </w:tr>
      <w:tr>
        <w:tc>
          <w:tcPr>
            <w:tcW w:type="dxa" w:w="2200"/>
            <w:shd w:fill="E2EFDA" w:val="clear"/>
            <w:tcMar>
              <w:top w:type="dxa" w:w="80"/>
              <w:left w:type="dxa" w:w="100"/>
              <w:bottom w:type="dxa" w:w="80"/>
              <w:right w:type="dxa" w:w="100"/>
            </w:tcMar>
          </w:tcPr>
          <w:p>
            <w:r>
              <w:rPr>
                <w:b w:val="false"/>
                <w:bCs w:val="false"/>
                <w:color w:val="000000"/>
                <w:sz w:val="18"/>
                <w:szCs w:val="18"/>
              </w:rPr>
              <w:t xml:space="preserve">Low</w:t>
            </w:r>
          </w:p>
        </w:tc>
        <w:tc>
          <w:tcPr>
            <w:tcW w:type="dxa" w:w="1800"/>
            <w:tcMar>
              <w:top w:type="dxa" w:w="80"/>
              <w:left w:type="dxa" w:w="100"/>
              <w:bottom w:type="dxa" w:w="80"/>
              <w:right w:type="dxa" w:w="100"/>
            </w:tcMar>
          </w:tcPr>
          <w:p>
            <w:r>
              <w:rPr>
                <w:b w:val="false"/>
                <w:bCs w:val="false"/>
                <w:color w:val="000000"/>
                <w:sz w:val="18"/>
                <w:szCs w:val="18"/>
              </w:rPr>
              <w:t xml:space="preserve">2</w:t>
            </w:r>
          </w:p>
        </w:tc>
        <w:tc>
          <w:tcPr>
            <w:tcW w:type="dxa" w:w="5350"/>
            <w:tcMar>
              <w:top w:type="dxa" w:w="80"/>
              <w:left w:type="dxa" w:w="100"/>
              <w:bottom w:type="dxa" w:w="80"/>
              <w:right w:type="dxa" w:w="100"/>
            </w:tcMar>
          </w:tcPr>
          <w:p>
            <w:r>
              <w:rPr>
                <w:b w:val="false"/>
                <w:bCs w:val="false"/>
                <w:color w:val="000000"/>
                <w:sz w:val="18"/>
                <w:szCs w:val="18"/>
              </w:rPr>
              <w:t xml:space="preserve">FIND-007, FIND-008</w:t>
            </w:r>
          </w:p>
        </w:tc>
      </w:tr>
    </w:tbl>
    <w:p>
      <w:pPr>
        <w:spacing w:after="120"/>
      </w:pPr>
    </w:p>
    <w:p>
      <w:pPr>
        <w:pStyle w:val="Heading2"/>
        <w:spacing w:after="120" w:before="260"/>
      </w:pPr>
      <w:r>
        <w:rPr>
          <w:b/>
          <w:bCs/>
          <w:color w:val="1F3864"/>
        </w:rPr>
        <w:t xml:space="preserve">3.2 Findings Index</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4400"/>
        <w:gridCol w:w="1400"/>
        <w:gridCol w:w="2050"/>
      </w:tblGrid>
      <w:tr>
        <w:tc>
          <w:tcPr>
            <w:tcW w:type="dxa" w:w="1500"/>
            <w:shd w:fill="1F3864" w:val="clear"/>
            <w:tcMar>
              <w:top w:type="dxa" w:w="80"/>
              <w:left w:type="dxa" w:w="100"/>
              <w:bottom w:type="dxa" w:w="80"/>
              <w:right w:type="dxa" w:w="100"/>
            </w:tcMar>
          </w:tcPr>
          <w:p>
            <w:r>
              <w:rPr>
                <w:b/>
                <w:bCs/>
                <w:color w:val="FFFFFF"/>
                <w:sz w:val="18"/>
                <w:szCs w:val="18"/>
              </w:rPr>
              <w:t xml:space="preserve">Finding ID</w:t>
            </w:r>
          </w:p>
        </w:tc>
        <w:tc>
          <w:tcPr>
            <w:tcW w:type="dxa" w:w="4400"/>
            <w:shd w:fill="1F3864" w:val="clear"/>
            <w:tcMar>
              <w:top w:type="dxa" w:w="80"/>
              <w:left w:type="dxa" w:w="100"/>
              <w:bottom w:type="dxa" w:w="80"/>
              <w:right w:type="dxa" w:w="100"/>
            </w:tcMar>
          </w:tcPr>
          <w:p>
            <w:r>
              <w:rPr>
                <w:b/>
                <w:bCs/>
                <w:color w:val="FFFFFF"/>
                <w:sz w:val="18"/>
                <w:szCs w:val="18"/>
              </w:rPr>
              <w:t xml:space="preserve">Title</w:t>
            </w:r>
          </w:p>
        </w:tc>
        <w:tc>
          <w:tcPr>
            <w:tcW w:type="dxa" w:w="1400"/>
            <w:shd w:fill="1F3864" w:val="clear"/>
            <w:tcMar>
              <w:top w:type="dxa" w:w="80"/>
              <w:left w:type="dxa" w:w="100"/>
              <w:bottom w:type="dxa" w:w="80"/>
              <w:right w:type="dxa" w:w="100"/>
            </w:tcMar>
          </w:tcPr>
          <w:p>
            <w:r>
              <w:rPr>
                <w:b/>
                <w:bCs/>
                <w:color w:val="FFFFFF"/>
                <w:sz w:val="18"/>
                <w:szCs w:val="18"/>
              </w:rPr>
              <w:t xml:space="preserve">Risk</w:t>
            </w:r>
          </w:p>
        </w:tc>
        <w:tc>
          <w:tcPr>
            <w:tcW w:type="dxa" w:w="2050"/>
            <w:shd w:fill="1F3864" w:val="clear"/>
            <w:tcMar>
              <w:top w:type="dxa" w:w="80"/>
              <w:left w:type="dxa" w:w="100"/>
              <w:bottom w:type="dxa" w:w="80"/>
              <w:right w:type="dxa" w:w="100"/>
            </w:tcMar>
          </w:tcPr>
          <w:p>
            <w:r>
              <w:rPr>
                <w:b/>
                <w:bCs/>
                <w:color w:val="FFFFFF"/>
                <w:sz w:val="18"/>
                <w:szCs w:val="18"/>
              </w:rPr>
              <w:t xml:space="preserve">POA&amp;M ID</w:t>
            </w:r>
          </w:p>
        </w:tc>
      </w:tr>
      <w:tr>
        <w:tc>
          <w:tcPr>
            <w:tcW w:type="dxa" w:w="1500"/>
            <w:tcMar>
              <w:top w:type="dxa" w:w="80"/>
              <w:left w:type="dxa" w:w="100"/>
              <w:bottom w:type="dxa" w:w="80"/>
              <w:right w:type="dxa" w:w="100"/>
            </w:tcMar>
          </w:tcPr>
          <w:p>
            <w:r>
              <w:rPr>
                <w:b w:val="false"/>
                <w:bCs w:val="false"/>
                <w:color w:val="000000"/>
                <w:sz w:val="18"/>
                <w:szCs w:val="18"/>
              </w:rPr>
              <w:t xml:space="preserve">FIND-001</w:t>
            </w:r>
          </w:p>
        </w:tc>
        <w:tc>
          <w:tcPr>
            <w:tcW w:type="dxa" w:w="4400"/>
            <w:tcMar>
              <w:top w:type="dxa" w:w="80"/>
              <w:left w:type="dxa" w:w="100"/>
              <w:bottom w:type="dxa" w:w="80"/>
              <w:right w:type="dxa" w:w="100"/>
            </w:tcMar>
          </w:tcPr>
          <w:p>
            <w:r>
              <w:rPr>
                <w:b w:val="false"/>
                <w:bCs w:val="false"/>
                <w:color w:val="000000"/>
                <w:sz w:val="18"/>
                <w:szCs w:val="18"/>
              </w:rPr>
              <w:t xml:space="preserve">High-Severity Vulnerabilities Exceeded Required Remediation Timeline</w:t>
            </w:r>
          </w:p>
        </w:tc>
        <w:tc>
          <w:tcPr>
            <w:tcW w:type="dxa" w:w="1400"/>
            <w:shd w:fill="FCE4E4" w:val="clear"/>
            <w:tcMar>
              <w:top w:type="dxa" w:w="80"/>
              <w:left w:type="dxa" w:w="100"/>
              <w:bottom w:type="dxa" w:w="80"/>
              <w:right w:type="dxa" w:w="100"/>
            </w:tcMar>
          </w:tcPr>
          <w:p>
            <w:r>
              <w:rPr>
                <w:b w:val="false"/>
                <w:bCs w:val="false"/>
                <w:color w:val="000000"/>
                <w:sz w:val="18"/>
                <w:szCs w:val="18"/>
              </w:rPr>
              <w:t xml:space="preserve">High</w:t>
            </w:r>
          </w:p>
        </w:tc>
        <w:tc>
          <w:tcPr>
            <w:tcW w:type="dxa" w:w="2050"/>
            <w:tcMar>
              <w:top w:type="dxa" w:w="80"/>
              <w:left w:type="dxa" w:w="100"/>
              <w:bottom w:type="dxa" w:w="80"/>
              <w:right w:type="dxa" w:w="100"/>
            </w:tcMar>
          </w:tcPr>
          <w:p>
            <w:r>
              <w:rPr>
                <w:b w:val="false"/>
                <w:bCs w:val="false"/>
                <w:color w:val="000000"/>
                <w:sz w:val="18"/>
                <w:szCs w:val="18"/>
              </w:rPr>
              <w:t xml:space="preserve">V-001</w:t>
            </w:r>
          </w:p>
        </w:tc>
      </w:tr>
      <w:tr>
        <w:tc>
          <w:tcPr>
            <w:tcW w:type="dxa" w:w="1500"/>
            <w:tcMar>
              <w:top w:type="dxa" w:w="80"/>
              <w:left w:type="dxa" w:w="100"/>
              <w:bottom w:type="dxa" w:w="80"/>
              <w:right w:type="dxa" w:w="100"/>
            </w:tcMar>
          </w:tcPr>
          <w:p>
            <w:r>
              <w:rPr>
                <w:b w:val="false"/>
                <w:bCs w:val="false"/>
                <w:color w:val="000000"/>
                <w:sz w:val="18"/>
                <w:szCs w:val="18"/>
              </w:rPr>
              <w:t xml:space="preserve">FIND-002</w:t>
            </w:r>
          </w:p>
        </w:tc>
        <w:tc>
          <w:tcPr>
            <w:tcW w:type="dxa" w:w="4400"/>
            <w:tcMar>
              <w:top w:type="dxa" w:w="80"/>
              <w:left w:type="dxa" w:w="100"/>
              <w:bottom w:type="dxa" w:w="80"/>
              <w:right w:type="dxa" w:w="100"/>
            </w:tcMar>
          </w:tcPr>
          <w:p>
            <w:r>
              <w:rPr>
                <w:b w:val="false"/>
                <w:bCs w:val="false"/>
                <w:color w:val="000000"/>
                <w:sz w:val="18"/>
                <w:szCs w:val="18"/>
              </w:rPr>
              <w:t xml:space="preserve">Shared Service Account Prevents Attribution of Privileged Database Actions</w:t>
            </w:r>
          </w:p>
        </w:tc>
        <w:tc>
          <w:tcPr>
            <w:tcW w:type="dxa" w:w="1400"/>
            <w:shd w:fill="FCE4E4" w:val="clear"/>
            <w:tcMar>
              <w:top w:type="dxa" w:w="80"/>
              <w:left w:type="dxa" w:w="100"/>
              <w:bottom w:type="dxa" w:w="80"/>
              <w:right w:type="dxa" w:w="100"/>
            </w:tcMar>
          </w:tcPr>
          <w:p>
            <w:r>
              <w:rPr>
                <w:b w:val="false"/>
                <w:bCs w:val="false"/>
                <w:color w:val="000000"/>
                <w:sz w:val="18"/>
                <w:szCs w:val="18"/>
              </w:rPr>
              <w:t xml:space="preserve">High</w:t>
            </w:r>
          </w:p>
        </w:tc>
        <w:tc>
          <w:tcPr>
            <w:tcW w:type="dxa" w:w="2050"/>
            <w:tcMar>
              <w:top w:type="dxa" w:w="80"/>
              <w:left w:type="dxa" w:w="100"/>
              <w:bottom w:type="dxa" w:w="80"/>
              <w:right w:type="dxa" w:w="100"/>
            </w:tcMar>
          </w:tcPr>
          <w:p>
            <w:r>
              <w:rPr>
                <w:b w:val="false"/>
                <w:bCs w:val="false"/>
                <w:color w:val="000000"/>
                <w:sz w:val="18"/>
                <w:szCs w:val="18"/>
              </w:rPr>
              <w:t xml:space="preserve">V-008</w:t>
            </w:r>
          </w:p>
        </w:tc>
      </w:tr>
      <w:tr>
        <w:tc>
          <w:tcPr>
            <w:tcW w:type="dxa" w:w="1500"/>
            <w:tcMar>
              <w:top w:type="dxa" w:w="80"/>
              <w:left w:type="dxa" w:w="100"/>
              <w:bottom w:type="dxa" w:w="80"/>
              <w:right w:type="dxa" w:w="100"/>
            </w:tcMar>
          </w:tcPr>
          <w:p>
            <w:r>
              <w:rPr>
                <w:b w:val="false"/>
                <w:bCs w:val="false"/>
                <w:color w:val="000000"/>
                <w:sz w:val="18"/>
                <w:szCs w:val="18"/>
              </w:rPr>
              <w:t xml:space="preserve">FIND-003</w:t>
            </w:r>
          </w:p>
        </w:tc>
        <w:tc>
          <w:tcPr>
            <w:tcW w:type="dxa" w:w="4400"/>
            <w:tcMar>
              <w:top w:type="dxa" w:w="80"/>
              <w:left w:type="dxa" w:w="100"/>
              <w:bottom w:type="dxa" w:w="80"/>
              <w:right w:type="dxa" w:w="100"/>
            </w:tcMar>
          </w:tcPr>
          <w:p>
            <w:r>
              <w:rPr>
                <w:b w:val="false"/>
                <w:bCs w:val="false"/>
                <w:color w:val="000000"/>
                <w:sz w:val="18"/>
                <w:szCs w:val="18"/>
              </w:rPr>
              <w:t xml:space="preserve">Audit Trail Gap for Privileged Functions on Legacy Reporting Subsystem</w:t>
            </w:r>
          </w:p>
        </w:tc>
        <w:tc>
          <w:tcPr>
            <w:tcW w:type="dxa" w:w="1400"/>
            <w:shd w:fill="FDEBD0" w:val="clear"/>
            <w:tcMar>
              <w:top w:type="dxa" w:w="80"/>
              <w:left w:type="dxa" w:w="100"/>
              <w:bottom w:type="dxa" w:w="80"/>
              <w:right w:type="dxa" w:w="100"/>
            </w:tcMar>
          </w:tcPr>
          <w:p>
            <w:r>
              <w:rPr>
                <w:b w:val="false"/>
                <w:bCs w:val="false"/>
                <w:color w:val="000000"/>
                <w:sz w:val="18"/>
                <w:szCs w:val="18"/>
              </w:rPr>
              <w:t xml:space="preserve">Moderate</w:t>
            </w:r>
          </w:p>
        </w:tc>
        <w:tc>
          <w:tcPr>
            <w:tcW w:type="dxa" w:w="2050"/>
            <w:tcMar>
              <w:top w:type="dxa" w:w="80"/>
              <w:left w:type="dxa" w:w="100"/>
              <w:bottom w:type="dxa" w:w="80"/>
              <w:right w:type="dxa" w:w="100"/>
            </w:tcMar>
          </w:tcPr>
          <w:p>
            <w:r>
              <w:rPr>
                <w:b w:val="false"/>
                <w:bCs w:val="false"/>
                <w:color w:val="000000"/>
                <w:sz w:val="18"/>
                <w:szCs w:val="18"/>
              </w:rPr>
              <w:t xml:space="preserve">V-003</w:t>
            </w:r>
          </w:p>
        </w:tc>
      </w:tr>
      <w:tr>
        <w:tc>
          <w:tcPr>
            <w:tcW w:type="dxa" w:w="1500"/>
            <w:tcMar>
              <w:top w:type="dxa" w:w="80"/>
              <w:left w:type="dxa" w:w="100"/>
              <w:bottom w:type="dxa" w:w="80"/>
              <w:right w:type="dxa" w:w="100"/>
            </w:tcMar>
          </w:tcPr>
          <w:p>
            <w:r>
              <w:rPr>
                <w:b w:val="false"/>
                <w:bCs w:val="false"/>
                <w:color w:val="000000"/>
                <w:sz w:val="18"/>
                <w:szCs w:val="18"/>
              </w:rPr>
              <w:t xml:space="preserve">FIND-004</w:t>
            </w:r>
          </w:p>
        </w:tc>
        <w:tc>
          <w:tcPr>
            <w:tcW w:type="dxa" w:w="4400"/>
            <w:tcMar>
              <w:top w:type="dxa" w:w="80"/>
              <w:left w:type="dxa" w:w="100"/>
              <w:bottom w:type="dxa" w:w="80"/>
              <w:right w:type="dxa" w:w="100"/>
            </w:tcMar>
          </w:tcPr>
          <w:p>
            <w:r>
              <w:rPr>
                <w:b w:val="false"/>
                <w:bCs w:val="false"/>
                <w:color w:val="000000"/>
                <w:sz w:val="18"/>
                <w:szCs w:val="18"/>
              </w:rPr>
              <w:t xml:space="preserve">Annual System Recovery Exercise Not Performed</w:t>
            </w:r>
          </w:p>
        </w:tc>
        <w:tc>
          <w:tcPr>
            <w:tcW w:type="dxa" w:w="1400"/>
            <w:shd w:fill="FDEBD0" w:val="clear"/>
            <w:tcMar>
              <w:top w:type="dxa" w:w="80"/>
              <w:left w:type="dxa" w:w="100"/>
              <w:bottom w:type="dxa" w:w="80"/>
              <w:right w:type="dxa" w:w="100"/>
            </w:tcMar>
          </w:tcPr>
          <w:p>
            <w:r>
              <w:rPr>
                <w:b w:val="false"/>
                <w:bCs w:val="false"/>
                <w:color w:val="000000"/>
                <w:sz w:val="18"/>
                <w:szCs w:val="18"/>
              </w:rPr>
              <w:t xml:space="preserve">Moderate</w:t>
            </w:r>
          </w:p>
        </w:tc>
        <w:tc>
          <w:tcPr>
            <w:tcW w:type="dxa" w:w="2050"/>
            <w:tcMar>
              <w:top w:type="dxa" w:w="80"/>
              <w:left w:type="dxa" w:w="100"/>
              <w:bottom w:type="dxa" w:w="80"/>
              <w:right w:type="dxa" w:w="100"/>
            </w:tcMar>
          </w:tcPr>
          <w:p>
            <w:r>
              <w:rPr>
                <w:b w:val="false"/>
                <w:bCs w:val="false"/>
                <w:color w:val="000000"/>
                <w:sz w:val="18"/>
                <w:szCs w:val="18"/>
              </w:rPr>
              <w:t xml:space="preserve">V-004</w:t>
            </w:r>
          </w:p>
        </w:tc>
      </w:tr>
      <w:tr>
        <w:tc>
          <w:tcPr>
            <w:tcW w:type="dxa" w:w="1500"/>
            <w:tcMar>
              <w:top w:type="dxa" w:w="80"/>
              <w:left w:type="dxa" w:w="100"/>
              <w:bottom w:type="dxa" w:w="80"/>
              <w:right w:type="dxa" w:w="100"/>
            </w:tcMar>
          </w:tcPr>
          <w:p>
            <w:r>
              <w:rPr>
                <w:b w:val="false"/>
                <w:bCs w:val="false"/>
                <w:color w:val="000000"/>
                <w:sz w:val="18"/>
                <w:szCs w:val="18"/>
              </w:rPr>
              <w:t xml:space="preserve">FIND-005</w:t>
            </w:r>
          </w:p>
        </w:tc>
        <w:tc>
          <w:tcPr>
            <w:tcW w:type="dxa" w:w="4400"/>
            <w:tcMar>
              <w:top w:type="dxa" w:w="80"/>
              <w:left w:type="dxa" w:w="100"/>
              <w:bottom w:type="dxa" w:w="80"/>
              <w:right w:type="dxa" w:w="100"/>
            </w:tcMar>
          </w:tcPr>
          <w:p>
            <w:r>
              <w:rPr>
                <w:b w:val="false"/>
                <w:bCs w:val="false"/>
                <w:color w:val="000000"/>
                <w:sz w:val="18"/>
                <w:szCs w:val="18"/>
              </w:rPr>
              <w:t xml:space="preserve">Configuration Drift from Approved Hardening Baseline</w:t>
            </w:r>
          </w:p>
        </w:tc>
        <w:tc>
          <w:tcPr>
            <w:tcW w:type="dxa" w:w="1400"/>
            <w:shd w:fill="FDEBD0" w:val="clear"/>
            <w:tcMar>
              <w:top w:type="dxa" w:w="80"/>
              <w:left w:type="dxa" w:w="100"/>
              <w:bottom w:type="dxa" w:w="80"/>
              <w:right w:type="dxa" w:w="100"/>
            </w:tcMar>
          </w:tcPr>
          <w:p>
            <w:r>
              <w:rPr>
                <w:b w:val="false"/>
                <w:bCs w:val="false"/>
                <w:color w:val="000000"/>
                <w:sz w:val="18"/>
                <w:szCs w:val="18"/>
              </w:rPr>
              <w:t xml:space="preserve">Moderate</w:t>
            </w:r>
          </w:p>
        </w:tc>
        <w:tc>
          <w:tcPr>
            <w:tcW w:type="dxa" w:w="2050"/>
            <w:tcMar>
              <w:top w:type="dxa" w:w="80"/>
              <w:left w:type="dxa" w:w="100"/>
              <w:bottom w:type="dxa" w:w="80"/>
              <w:right w:type="dxa" w:w="100"/>
            </w:tcMar>
          </w:tcPr>
          <w:p>
            <w:r>
              <w:rPr>
                <w:b w:val="false"/>
                <w:bCs w:val="false"/>
                <w:color w:val="000000"/>
                <w:sz w:val="18"/>
                <w:szCs w:val="18"/>
              </w:rPr>
              <w:t xml:space="preserve">V-002</w:t>
            </w:r>
          </w:p>
        </w:tc>
      </w:tr>
      <w:tr>
        <w:tc>
          <w:tcPr>
            <w:tcW w:type="dxa" w:w="1500"/>
            <w:tcMar>
              <w:top w:type="dxa" w:w="80"/>
              <w:left w:type="dxa" w:w="100"/>
              <w:bottom w:type="dxa" w:w="80"/>
              <w:right w:type="dxa" w:w="100"/>
            </w:tcMar>
          </w:tcPr>
          <w:p>
            <w:r>
              <w:rPr>
                <w:b w:val="false"/>
                <w:bCs w:val="false"/>
                <w:color w:val="000000"/>
                <w:sz w:val="18"/>
                <w:szCs w:val="18"/>
              </w:rPr>
              <w:t xml:space="preserve">FIND-006</w:t>
            </w:r>
          </w:p>
        </w:tc>
        <w:tc>
          <w:tcPr>
            <w:tcW w:type="dxa" w:w="4400"/>
            <w:tcMar>
              <w:top w:type="dxa" w:w="80"/>
              <w:left w:type="dxa" w:w="100"/>
              <w:bottom w:type="dxa" w:w="80"/>
              <w:right w:type="dxa" w:w="100"/>
            </w:tcMar>
          </w:tcPr>
          <w:p>
            <w:r>
              <w:rPr>
                <w:b w:val="false"/>
                <w:bCs w:val="false"/>
                <w:color w:val="000000"/>
                <w:sz w:val="18"/>
                <w:szCs w:val="18"/>
              </w:rPr>
              <w:t xml:space="preserve">Incident Notification Timeline Not Validated Through Exercise</w:t>
            </w:r>
          </w:p>
        </w:tc>
        <w:tc>
          <w:tcPr>
            <w:tcW w:type="dxa" w:w="1400"/>
            <w:shd w:fill="FDEBD0" w:val="clear"/>
            <w:tcMar>
              <w:top w:type="dxa" w:w="80"/>
              <w:left w:type="dxa" w:w="100"/>
              <w:bottom w:type="dxa" w:w="80"/>
              <w:right w:type="dxa" w:w="100"/>
            </w:tcMar>
          </w:tcPr>
          <w:p>
            <w:r>
              <w:rPr>
                <w:b w:val="false"/>
                <w:bCs w:val="false"/>
                <w:color w:val="000000"/>
                <w:sz w:val="18"/>
                <w:szCs w:val="18"/>
              </w:rPr>
              <w:t xml:space="preserve">Moderate</w:t>
            </w:r>
          </w:p>
        </w:tc>
        <w:tc>
          <w:tcPr>
            <w:tcW w:type="dxa" w:w="2050"/>
            <w:tcMar>
              <w:top w:type="dxa" w:w="80"/>
              <w:left w:type="dxa" w:w="100"/>
              <w:bottom w:type="dxa" w:w="80"/>
              <w:right w:type="dxa" w:w="100"/>
            </w:tcMar>
          </w:tcPr>
          <w:p>
            <w:r>
              <w:rPr>
                <w:b w:val="false"/>
                <w:bCs w:val="false"/>
                <w:color w:val="000000"/>
                <w:sz w:val="18"/>
                <w:szCs w:val="18"/>
              </w:rPr>
              <w:t xml:space="preserve">V-006</w:t>
            </w:r>
          </w:p>
        </w:tc>
      </w:tr>
      <w:tr>
        <w:tc>
          <w:tcPr>
            <w:tcW w:type="dxa" w:w="1500"/>
            <w:tcMar>
              <w:top w:type="dxa" w:w="80"/>
              <w:left w:type="dxa" w:w="100"/>
              <w:bottom w:type="dxa" w:w="80"/>
              <w:right w:type="dxa" w:w="100"/>
            </w:tcMar>
          </w:tcPr>
          <w:p>
            <w:r>
              <w:rPr>
                <w:b w:val="false"/>
                <w:bCs w:val="false"/>
                <w:color w:val="000000"/>
                <w:sz w:val="18"/>
                <w:szCs w:val="18"/>
              </w:rPr>
              <w:t xml:space="preserve">FIND-007</w:t>
            </w:r>
          </w:p>
        </w:tc>
        <w:tc>
          <w:tcPr>
            <w:tcW w:type="dxa" w:w="4400"/>
            <w:tcMar>
              <w:top w:type="dxa" w:w="80"/>
              <w:left w:type="dxa" w:w="100"/>
              <w:bottom w:type="dxa" w:w="80"/>
              <w:right w:type="dxa" w:w="100"/>
            </w:tcMar>
          </w:tcPr>
          <w:p>
            <w:r>
              <w:rPr>
                <w:b w:val="false"/>
                <w:bCs w:val="false"/>
                <w:color w:val="000000"/>
                <w:sz w:val="18"/>
                <w:szCs w:val="18"/>
              </w:rPr>
              <w:t xml:space="preserve">Inconsistent Evidence of Weekly Audit Log Review</w:t>
            </w:r>
          </w:p>
        </w:tc>
        <w:tc>
          <w:tcPr>
            <w:tcW w:type="dxa" w:w="1400"/>
            <w:shd w:fill="E2EFDA" w:val="clear"/>
            <w:tcMar>
              <w:top w:type="dxa" w:w="80"/>
              <w:left w:type="dxa" w:w="100"/>
              <w:bottom w:type="dxa" w:w="80"/>
              <w:right w:type="dxa" w:w="100"/>
            </w:tcMar>
          </w:tcPr>
          <w:p>
            <w:r>
              <w:rPr>
                <w:b w:val="false"/>
                <w:bCs w:val="false"/>
                <w:color w:val="000000"/>
                <w:sz w:val="18"/>
                <w:szCs w:val="18"/>
              </w:rPr>
              <w:t xml:space="preserve">Low</w:t>
            </w:r>
          </w:p>
        </w:tc>
        <w:tc>
          <w:tcPr>
            <w:tcW w:type="dxa" w:w="2050"/>
            <w:tcMar>
              <w:top w:type="dxa" w:w="80"/>
              <w:left w:type="dxa" w:w="100"/>
              <w:bottom w:type="dxa" w:w="80"/>
              <w:right w:type="dxa" w:w="100"/>
            </w:tcMar>
          </w:tcPr>
          <w:p>
            <w:r>
              <w:rPr>
                <w:b w:val="false"/>
                <w:bCs w:val="false"/>
                <w:color w:val="000000"/>
                <w:sz w:val="18"/>
                <w:szCs w:val="18"/>
              </w:rPr>
              <w:t xml:space="preserve">V-005</w:t>
            </w:r>
          </w:p>
        </w:tc>
      </w:tr>
      <w:tr>
        <w:tc>
          <w:tcPr>
            <w:tcW w:type="dxa" w:w="1500"/>
            <w:tcMar>
              <w:top w:type="dxa" w:w="80"/>
              <w:left w:type="dxa" w:w="100"/>
              <w:bottom w:type="dxa" w:w="80"/>
              <w:right w:type="dxa" w:w="100"/>
            </w:tcMar>
          </w:tcPr>
          <w:p>
            <w:r>
              <w:rPr>
                <w:b w:val="false"/>
                <w:bCs w:val="false"/>
                <w:color w:val="000000"/>
                <w:sz w:val="18"/>
                <w:szCs w:val="18"/>
              </w:rPr>
              <w:t xml:space="preserve">FIND-008</w:t>
            </w:r>
          </w:p>
        </w:tc>
        <w:tc>
          <w:tcPr>
            <w:tcW w:type="dxa" w:w="4400"/>
            <w:tcMar>
              <w:top w:type="dxa" w:w="80"/>
              <w:left w:type="dxa" w:w="100"/>
              <w:bottom w:type="dxa" w:w="80"/>
              <w:right w:type="dxa" w:w="100"/>
            </w:tcMar>
          </w:tcPr>
          <w:p>
            <w:r>
              <w:rPr>
                <w:b w:val="false"/>
                <w:bCs w:val="false"/>
                <w:color w:val="000000"/>
                <w:sz w:val="18"/>
                <w:szCs w:val="18"/>
              </w:rPr>
              <w:t xml:space="preserve">Late Submission of Continuous Monitoring Deliverables</w:t>
            </w:r>
          </w:p>
        </w:tc>
        <w:tc>
          <w:tcPr>
            <w:tcW w:type="dxa" w:w="1400"/>
            <w:shd w:fill="E2EFDA" w:val="clear"/>
            <w:tcMar>
              <w:top w:type="dxa" w:w="80"/>
              <w:left w:type="dxa" w:w="100"/>
              <w:bottom w:type="dxa" w:w="80"/>
              <w:right w:type="dxa" w:w="100"/>
            </w:tcMar>
          </w:tcPr>
          <w:p>
            <w:r>
              <w:rPr>
                <w:b w:val="false"/>
                <w:bCs w:val="false"/>
                <w:color w:val="000000"/>
                <w:sz w:val="18"/>
                <w:szCs w:val="18"/>
              </w:rPr>
              <w:t xml:space="preserve">Low</w:t>
            </w:r>
          </w:p>
        </w:tc>
        <w:tc>
          <w:tcPr>
            <w:tcW w:type="dxa" w:w="2050"/>
            <w:tcMar>
              <w:top w:type="dxa" w:w="80"/>
              <w:left w:type="dxa" w:w="100"/>
              <w:bottom w:type="dxa" w:w="80"/>
              <w:right w:type="dxa" w:w="100"/>
            </w:tcMar>
          </w:tcPr>
          <w:p>
            <w:r>
              <w:rPr>
                <w:b w:val="false"/>
                <w:bCs w:val="false"/>
                <w:color w:val="000000"/>
                <w:sz w:val="18"/>
                <w:szCs w:val="18"/>
              </w:rPr>
              <w:t xml:space="preserve">V-007</w:t>
            </w:r>
          </w:p>
        </w:tc>
      </w:tr>
    </w:tbl>
    <w:p>
      <w:pPr>
        <w:pStyle w:val="Heading1"/>
        <w:spacing w:after="160" w:before="320"/>
      </w:pPr>
      <w:r>
        <w:rPr>
          <w:b/>
          <w:bCs/>
          <w:color w:val="1F3864"/>
        </w:rPr>
        <w:t xml:space="preserve">4. Detailed Findings</w:t>
      </w:r>
    </w:p>
    <w:p>
      <w:pPr>
        <w:spacing w:after="160"/>
      </w:pPr>
      <w:r>
        <w:t xml:space="preserve">Each finding below follows the standard audit structure of condition, criteria, cause, and effect, followed by the evidence reviewed, the assessment team's recommendation, and management's formal response.</w:t>
      </w:r>
    </w:p>
    <w:p>
      <w:pPr>
        <w:pStyle w:val="Heading2"/>
        <w:spacing w:after="120" w:before="300"/>
      </w:pPr>
      <w:r>
        <w:rPr>
          <w:b/>
          <w:bCs/>
          <w:color w:val="1F3864"/>
        </w:rPr>
        <w:t xml:space="preserve">FIND-001 — High-Severity Vulnerabilities Exceeded Required Remediation Timeline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550"/>
      </w:tblGrid>
      <w:tr>
        <w:tc>
          <w:tcPr>
            <w:tcW w:type="dxa" w:w="2200"/>
            <w:tcMar>
              <w:top w:type="dxa" w:w="80"/>
              <w:left w:type="dxa" w:w="100"/>
              <w:bottom w:type="dxa" w:w="80"/>
              <w:right w:type="dxa" w:w="100"/>
            </w:tcMar>
          </w:tcPr>
          <w:p>
            <w:r>
              <w:rPr>
                <w:b w:val="false"/>
                <w:bCs w:val="false"/>
                <w:color w:val="000000"/>
                <w:sz w:val="18"/>
                <w:szCs w:val="18"/>
              </w:rPr>
              <w:t xml:space="preserve">Risk Rating</w:t>
            </w:r>
          </w:p>
        </w:tc>
        <w:tc>
          <w:tcPr>
            <w:tcW w:type="dxa" w:w="2400"/>
            <w:tcMar>
              <w:top w:type="dxa" w:w="80"/>
              <w:left w:type="dxa" w:w="100"/>
              <w:bottom w:type="dxa" w:w="80"/>
              <w:right w:type="dxa" w:w="100"/>
            </w:tcMar>
          </w:tcPr>
          <w:p>
            <w:r>
              <w:rPr>
                <w:b w:val="false"/>
                <w:bCs w:val="false"/>
                <w:color w:val="000000"/>
                <w:sz w:val="18"/>
                <w:szCs w:val="18"/>
              </w:rPr>
              <w:t xml:space="preserve">High</w:t>
            </w:r>
          </w:p>
        </w:tc>
        <w:tc>
          <w:tcPr>
            <w:tcW w:type="dxa" w:w="2200"/>
            <w:tcMar>
              <w:top w:type="dxa" w:w="80"/>
              <w:left w:type="dxa" w:w="100"/>
              <w:bottom w:type="dxa" w:w="80"/>
              <w:right w:type="dxa" w:w="100"/>
            </w:tcMar>
          </w:tcPr>
          <w:p>
            <w:r>
              <w:rPr>
                <w:b w:val="false"/>
                <w:bCs w:val="false"/>
                <w:color w:val="000000"/>
                <w:sz w:val="18"/>
                <w:szCs w:val="18"/>
              </w:rPr>
              <w:t xml:space="preserve">Affected Control(s)</w:t>
            </w:r>
          </w:p>
        </w:tc>
        <w:tc>
          <w:tcPr>
            <w:tcW w:type="dxa" w:w="2550"/>
            <w:tcMar>
              <w:top w:type="dxa" w:w="80"/>
              <w:left w:type="dxa" w:w="100"/>
              <w:bottom w:type="dxa" w:w="80"/>
              <w:right w:type="dxa" w:w="100"/>
            </w:tcMar>
          </w:tcPr>
          <w:p>
            <w:r>
              <w:rPr>
                <w:b w:val="false"/>
                <w:bCs w:val="false"/>
                <w:color w:val="000000"/>
                <w:sz w:val="18"/>
                <w:szCs w:val="18"/>
              </w:rPr>
              <w:t xml:space="preserve">RA-5, SI-2</w:t>
            </w:r>
          </w:p>
        </w:tc>
      </w:tr>
      <w:tr>
        <w:tc>
          <w:tcPr>
            <w:tcW w:type="dxa" w:w="2200"/>
            <w:tcMar>
              <w:top w:type="dxa" w:w="80"/>
              <w:left w:type="dxa" w:w="100"/>
              <w:bottom w:type="dxa" w:w="80"/>
              <w:right w:type="dxa" w:w="100"/>
            </w:tcMar>
          </w:tcPr>
          <w:p>
            <w:r>
              <w:rPr>
                <w:b w:val="false"/>
                <w:bCs w:val="false"/>
                <w:color w:val="000000"/>
                <w:sz w:val="18"/>
                <w:szCs w:val="18"/>
              </w:rPr>
              <w:t xml:space="preserve">Source</w:t>
            </w:r>
          </w:p>
        </w:tc>
        <w:tc>
          <w:tcPr>
            <w:tcW w:type="dxa" w:w="2400"/>
            <w:tcMar>
              <w:top w:type="dxa" w:w="80"/>
              <w:left w:type="dxa" w:w="100"/>
              <w:bottom w:type="dxa" w:w="80"/>
              <w:right w:type="dxa" w:w="100"/>
            </w:tcMar>
          </w:tcPr>
          <w:p>
            <w:r>
              <w:rPr>
                <w:b w:val="false"/>
                <w:bCs w:val="false"/>
                <w:color w:val="000000"/>
                <w:sz w:val="18"/>
                <w:szCs w:val="18"/>
              </w:rPr>
              <w:t xml:space="preserve">Technical Test / Scan Review</w:t>
            </w:r>
          </w:p>
        </w:tc>
        <w:tc>
          <w:tcPr>
            <w:tcW w:type="dxa" w:w="2200"/>
            <w:tcMar>
              <w:top w:type="dxa" w:w="80"/>
              <w:left w:type="dxa" w:w="100"/>
              <w:bottom w:type="dxa" w:w="80"/>
              <w:right w:type="dxa" w:w="100"/>
            </w:tcMar>
          </w:tcPr>
          <w:p>
            <w:r>
              <w:rPr>
                <w:b w:val="false"/>
                <w:bCs w:val="false"/>
                <w:color w:val="000000"/>
                <w:sz w:val="18"/>
                <w:szCs w:val="18"/>
              </w:rPr>
              <w:t xml:space="preserve">POA&amp;M ID</w:t>
            </w:r>
          </w:p>
        </w:tc>
        <w:tc>
          <w:tcPr>
            <w:tcW w:type="dxa" w:w="2550"/>
            <w:tcMar>
              <w:top w:type="dxa" w:w="80"/>
              <w:left w:type="dxa" w:w="100"/>
              <w:bottom w:type="dxa" w:w="80"/>
              <w:right w:type="dxa" w:w="100"/>
            </w:tcMar>
          </w:tcPr>
          <w:p>
            <w:r>
              <w:rPr>
                <w:b w:val="false"/>
                <w:bCs w:val="false"/>
                <w:color w:val="000000"/>
                <w:sz w:val="18"/>
                <w:szCs w:val="18"/>
              </w:rPr>
              <w:t xml:space="preserve">V-001</w:t>
            </w:r>
          </w:p>
        </w:tc>
      </w:tr>
    </w:tbl>
    <w:p>
      <w:pPr>
        <w:spacing w:after="60"/>
      </w:pPr>
    </w:p>
    <w:p>
      <w:pPr>
        <w:spacing w:after="120"/>
      </w:pPr>
      <w:r>
        <w:rPr>
          <w:b/>
          <w:bCs/>
        </w:rPr>
        <w:t xml:space="preserve">Condition. </w:t>
      </w:r>
      <w:r>
        <w:t xml:space="preserve">Review of six months of authenticated vulnerability scan results identified 14 High-severity findings that remained open beyond 30 days from discovery, with the longest open 94 days at the time of assessment.</w:t>
      </w:r>
    </w:p>
    <w:p>
      <w:pPr>
        <w:spacing w:after="120"/>
      </w:pPr>
      <w:r>
        <w:rPr>
          <w:b/>
          <w:bCs/>
        </w:rPr>
        <w:t xml:space="preserve">Criteria. </w:t>
      </w:r>
      <w:r>
        <w:t xml:space="preserve">FedRAMP requires that High-severity vulnerabilities in a Moderate-impact system be remediated within 30 days of discovery. NIST SP 800-53 Rev. 5 control RA-5 requires remediation of legitimate vulnerabilities within organization-defined response times, and SI-2 requires timely flaw remediation.</w:t>
      </w:r>
    </w:p>
    <w:p>
      <w:pPr>
        <w:spacing w:after="120"/>
      </w:pPr>
      <w:r>
        <w:rPr>
          <w:b/>
          <w:bCs/>
        </w:rPr>
        <w:t xml:space="preserve">Cause. </w:t>
      </w:r>
      <w:r>
        <w:t xml:space="preserve">The vulnerability management pipeline generates findings and assigns tickets but contains no automated escalation when a remediation SLA is approaching or has been breached. Remediation prioritization was handled informally within sprint planning, where security findings competed with feature work without a governing escalation mechanism.</w:t>
      </w:r>
    </w:p>
    <w:p>
      <w:pPr>
        <w:spacing w:after="120"/>
      </w:pPr>
      <w:r>
        <w:rPr>
          <w:b/>
          <w:bCs/>
        </w:rPr>
        <w:t xml:space="preserve">Effect. </w:t>
      </w:r>
      <w:r>
        <w:t xml:space="preserve">Known, exploitable vulnerabilities remained present in the production environment for extended periods, materially increasing the likelihood of successful compromise of a system processing CUI and applicant PII. Sustained non-compliance with FedRAMP remediation timelines also places the system's continued authorization at risk.</w:t>
      </w:r>
    </w:p>
    <w:p>
      <w:pPr>
        <w:spacing w:after="120"/>
      </w:pPr>
      <w:r>
        <w:rPr>
          <w:b/>
          <w:bCs/>
        </w:rPr>
        <w:t xml:space="preserve">Evidence Reviewed. </w:t>
      </w:r>
      <w:r>
        <w:t xml:space="preserve">Monthly scan results (Oct 2025 – Mar 2026); vulnerability ticket export with creation and closure timestamps; interview with the Director of Platform Engineering; review of sprint planning records.</w:t>
      </w:r>
    </w:p>
    <w:p>
      <w:pPr>
        <w:spacing w:after="120"/>
      </w:pPr>
      <w:r>
        <w:rPr>
          <w:b/>
          <w:bCs/>
        </w:rPr>
        <w:t xml:space="preserve">Recommendation. </w:t>
      </w:r>
      <w:r>
        <w:t xml:space="preserve">Implement automated SLA tracking within the vulnerability management pipeline that escalates to engineering leadership at 15 days and to the ISSO and System Owner at 25 days for High-severity findings. Remediate all currently open High findings, and institute a weekly SLA burn-down review with documented accountability.</w:t>
      </w:r>
    </w:p>
    <w:p>
      <w:pPr>
        <w:spacing w:after="120"/>
      </w:pPr>
      <w:r>
        <w:rPr>
          <w:b/>
          <w:bCs/>
        </w:rPr>
        <w:t xml:space="preserve">Management Response. </w:t>
      </w:r>
      <w:r>
        <w:t xml:space="preserve">Concur. Automated SLA escalation will be implemented by 2026-06-15 and all currently open High findings remediated by 2026-05-15, with validation via a clean scan cycle by 2026-06-30. Tracked as POA&amp;M V-001. — Director of Platform Engineering</w:t>
      </w:r>
    </w:p>
    <w:p>
      <w:pPr>
        <w:pStyle w:val="Heading2"/>
        <w:spacing w:after="120" w:before="300"/>
      </w:pPr>
      <w:r>
        <w:rPr>
          <w:b/>
          <w:bCs/>
          <w:color w:val="1F3864"/>
        </w:rPr>
        <w:t xml:space="preserve">FIND-002 — Shared Service Account Prevents Attribution of Privileged Database Actions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550"/>
      </w:tblGrid>
      <w:tr>
        <w:tc>
          <w:tcPr>
            <w:tcW w:type="dxa" w:w="2200"/>
            <w:tcMar>
              <w:top w:type="dxa" w:w="80"/>
              <w:left w:type="dxa" w:w="100"/>
              <w:bottom w:type="dxa" w:w="80"/>
              <w:right w:type="dxa" w:w="100"/>
            </w:tcMar>
          </w:tcPr>
          <w:p>
            <w:r>
              <w:rPr>
                <w:b w:val="false"/>
                <w:bCs w:val="false"/>
                <w:color w:val="000000"/>
                <w:sz w:val="18"/>
                <w:szCs w:val="18"/>
              </w:rPr>
              <w:t xml:space="preserve">Risk Rating</w:t>
            </w:r>
          </w:p>
        </w:tc>
        <w:tc>
          <w:tcPr>
            <w:tcW w:type="dxa" w:w="2400"/>
            <w:tcMar>
              <w:top w:type="dxa" w:w="80"/>
              <w:left w:type="dxa" w:w="100"/>
              <w:bottom w:type="dxa" w:w="80"/>
              <w:right w:type="dxa" w:w="100"/>
            </w:tcMar>
          </w:tcPr>
          <w:p>
            <w:r>
              <w:rPr>
                <w:b w:val="false"/>
                <w:bCs w:val="false"/>
                <w:color w:val="000000"/>
                <w:sz w:val="18"/>
                <w:szCs w:val="18"/>
              </w:rPr>
              <w:t xml:space="preserve">High</w:t>
            </w:r>
          </w:p>
        </w:tc>
        <w:tc>
          <w:tcPr>
            <w:tcW w:type="dxa" w:w="2200"/>
            <w:tcMar>
              <w:top w:type="dxa" w:w="80"/>
              <w:left w:type="dxa" w:w="100"/>
              <w:bottom w:type="dxa" w:w="80"/>
              <w:right w:type="dxa" w:w="100"/>
            </w:tcMar>
          </w:tcPr>
          <w:p>
            <w:r>
              <w:rPr>
                <w:b w:val="false"/>
                <w:bCs w:val="false"/>
                <w:color w:val="000000"/>
                <w:sz w:val="18"/>
                <w:szCs w:val="18"/>
              </w:rPr>
              <w:t xml:space="preserve">Affected Control(s)</w:t>
            </w:r>
          </w:p>
        </w:tc>
        <w:tc>
          <w:tcPr>
            <w:tcW w:type="dxa" w:w="2550"/>
            <w:tcMar>
              <w:top w:type="dxa" w:w="80"/>
              <w:left w:type="dxa" w:w="100"/>
              <w:bottom w:type="dxa" w:w="80"/>
              <w:right w:type="dxa" w:w="100"/>
            </w:tcMar>
          </w:tcPr>
          <w:p>
            <w:r>
              <w:rPr>
                <w:b w:val="false"/>
                <w:bCs w:val="false"/>
                <w:color w:val="000000"/>
                <w:sz w:val="18"/>
                <w:szCs w:val="18"/>
              </w:rPr>
              <w:t xml:space="preserve">AC-2, AC-6</w:t>
            </w:r>
          </w:p>
        </w:tc>
      </w:tr>
      <w:tr>
        <w:tc>
          <w:tcPr>
            <w:tcW w:type="dxa" w:w="2200"/>
            <w:tcMar>
              <w:top w:type="dxa" w:w="80"/>
              <w:left w:type="dxa" w:w="100"/>
              <w:bottom w:type="dxa" w:w="80"/>
              <w:right w:type="dxa" w:w="100"/>
            </w:tcMar>
          </w:tcPr>
          <w:p>
            <w:r>
              <w:rPr>
                <w:b w:val="false"/>
                <w:bCs w:val="false"/>
                <w:color w:val="000000"/>
                <w:sz w:val="18"/>
                <w:szCs w:val="18"/>
              </w:rPr>
              <w:t xml:space="preserve">Source</w:t>
            </w:r>
          </w:p>
        </w:tc>
        <w:tc>
          <w:tcPr>
            <w:tcW w:type="dxa" w:w="2400"/>
            <w:tcMar>
              <w:top w:type="dxa" w:w="80"/>
              <w:left w:type="dxa" w:w="100"/>
              <w:bottom w:type="dxa" w:w="80"/>
              <w:right w:type="dxa" w:w="100"/>
            </w:tcMar>
          </w:tcPr>
          <w:p>
            <w:r>
              <w:rPr>
                <w:b w:val="false"/>
                <w:bCs w:val="false"/>
                <w:color w:val="000000"/>
                <w:sz w:val="18"/>
                <w:szCs w:val="18"/>
              </w:rPr>
              <w:t xml:space="preserve">Internal Self-Assessment / Technical Test</w:t>
            </w:r>
          </w:p>
        </w:tc>
        <w:tc>
          <w:tcPr>
            <w:tcW w:type="dxa" w:w="2200"/>
            <w:tcMar>
              <w:top w:type="dxa" w:w="80"/>
              <w:left w:type="dxa" w:w="100"/>
              <w:bottom w:type="dxa" w:w="80"/>
              <w:right w:type="dxa" w:w="100"/>
            </w:tcMar>
          </w:tcPr>
          <w:p>
            <w:r>
              <w:rPr>
                <w:b w:val="false"/>
                <w:bCs w:val="false"/>
                <w:color w:val="000000"/>
                <w:sz w:val="18"/>
                <w:szCs w:val="18"/>
              </w:rPr>
              <w:t xml:space="preserve">POA&amp;M ID</w:t>
            </w:r>
          </w:p>
        </w:tc>
        <w:tc>
          <w:tcPr>
            <w:tcW w:type="dxa" w:w="2550"/>
            <w:tcMar>
              <w:top w:type="dxa" w:w="80"/>
              <w:left w:type="dxa" w:w="100"/>
              <w:bottom w:type="dxa" w:w="80"/>
              <w:right w:type="dxa" w:w="100"/>
            </w:tcMar>
          </w:tcPr>
          <w:p>
            <w:r>
              <w:rPr>
                <w:b w:val="false"/>
                <w:bCs w:val="false"/>
                <w:color w:val="000000"/>
                <w:sz w:val="18"/>
                <w:szCs w:val="18"/>
              </w:rPr>
              <w:t xml:space="preserve">V-008</w:t>
            </w:r>
          </w:p>
        </w:tc>
      </w:tr>
    </w:tbl>
    <w:p>
      <w:pPr>
        <w:spacing w:after="60"/>
      </w:pPr>
    </w:p>
    <w:p>
      <w:pPr>
        <w:spacing w:after="120"/>
      </w:pPr>
      <w:r>
        <w:rPr>
          <w:b/>
          <w:bCs/>
        </w:rPr>
        <w:t xml:space="preserve">Condition. </w:t>
      </w:r>
      <w:r>
        <w:t xml:space="preserve">A single shared service account holding elevated database privileges is used by four distinct batch processing jobs. Database audit logs therefore attribute all actions taken by these jobs to one identity, and the account's privileges exceed what any individual job requires.</w:t>
      </w:r>
    </w:p>
    <w:p>
      <w:pPr>
        <w:spacing w:after="120"/>
      </w:pPr>
      <w:r>
        <w:rPr>
          <w:b/>
          <w:bCs/>
        </w:rPr>
        <w:t xml:space="preserve">Criteria. </w:t>
      </w:r>
      <w:r>
        <w:t xml:space="preserve">AC-2 requires that the organization manage system accounts in a manner supporting individual accountability. AC-6 requires that access be limited to the least privilege necessary to accomplish assigned tasks.</w:t>
      </w:r>
    </w:p>
    <w:p>
      <w:pPr>
        <w:spacing w:after="120"/>
      </w:pPr>
      <w:r>
        <w:rPr>
          <w:b/>
          <w:bCs/>
        </w:rPr>
        <w:t xml:space="preserve">Cause. </w:t>
      </w:r>
      <w:r>
        <w:t xml:space="preserve">The shared account was created during initial platform development to simplify batch job configuration and was never decomposed as the number of jobs grew. No control gate existed to prevent additional jobs from reusing the existing credential.</w:t>
      </w:r>
    </w:p>
    <w:p>
      <w:pPr>
        <w:spacing w:after="120"/>
      </w:pPr>
      <w:r>
        <w:rPr>
          <w:b/>
          <w:bCs/>
        </w:rPr>
        <w:t xml:space="preserve">Effect. </w:t>
      </w:r>
      <w:r>
        <w:t xml:space="preserve">In the event of unauthorized or erroneous database activity, investigators cannot determine which process — or which human operator invoking it — performed the action, materially impairing incident response and forensic capability. The excessive privilege also increases the blast radius of a single credential compromise.</w:t>
      </w:r>
    </w:p>
    <w:p>
      <w:pPr>
        <w:spacing w:after="120"/>
      </w:pPr>
      <w:r>
        <w:rPr>
          <w:b/>
          <w:bCs/>
        </w:rPr>
        <w:t xml:space="preserve">Evidence Reviewed. </w:t>
      </w:r>
      <w:r>
        <w:t xml:space="preserve">Database role and grant export; batch job configuration files; sample of database audit log entries; interview with the Director of Platform Engineering.</w:t>
      </w:r>
    </w:p>
    <w:p>
      <w:pPr>
        <w:spacing w:after="120"/>
      </w:pPr>
      <w:r>
        <w:rPr>
          <w:b/>
          <w:bCs/>
        </w:rPr>
        <w:t xml:space="preserve">Recommendation. </w:t>
      </w:r>
      <w:r>
        <w:t xml:space="preserve">Inventory the minimum privileges required by each batch job, create a dedicated IAM database role per job scoped to those privileges, migrate each job, and then disable the shared account. Validate that database audit logs correctly attribute actions to the individual job identities after migration.</w:t>
      </w:r>
    </w:p>
    <w:p>
      <w:pPr>
        <w:spacing w:after="120"/>
      </w:pPr>
      <w:r>
        <w:rPr>
          <w:b/>
          <w:bCs/>
        </w:rPr>
        <w:t xml:space="preserve">Management Response. </w:t>
      </w:r>
      <w:r>
        <w:t xml:space="preserve">Concur. Privilege inventory will be completed by 2026-05-30, scoped roles created and jobs migrated by 2026-07-31, and the shared account disabled with log validation by 2026-08-31. Tracked as POA&amp;M V-008. — Director of Platform Engineering</w:t>
      </w:r>
    </w:p>
    <w:p>
      <w:pPr>
        <w:pStyle w:val="Heading2"/>
        <w:spacing w:after="120" w:before="300"/>
      </w:pPr>
      <w:r>
        <w:rPr>
          <w:b/>
          <w:bCs/>
          <w:color w:val="1F3864"/>
        </w:rPr>
        <w:t xml:space="preserve">FIND-003 — Audit Trail Gap for Privileged Functions on Legacy Reporting Subsystem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550"/>
      </w:tblGrid>
      <w:tr>
        <w:tc>
          <w:tcPr>
            <w:tcW w:type="dxa" w:w="2200"/>
            <w:tcMar>
              <w:top w:type="dxa" w:w="80"/>
              <w:left w:type="dxa" w:w="100"/>
              <w:bottom w:type="dxa" w:w="80"/>
              <w:right w:type="dxa" w:w="100"/>
            </w:tcMar>
          </w:tcPr>
          <w:p>
            <w:r>
              <w:rPr>
                <w:b w:val="false"/>
                <w:bCs w:val="false"/>
                <w:color w:val="000000"/>
                <w:sz w:val="18"/>
                <w:szCs w:val="18"/>
              </w:rPr>
              <w:t xml:space="preserve">Risk Rating</w:t>
            </w:r>
          </w:p>
        </w:tc>
        <w:tc>
          <w:tcPr>
            <w:tcW w:type="dxa" w:w="2400"/>
            <w:tcMar>
              <w:top w:type="dxa" w:w="80"/>
              <w:left w:type="dxa" w:w="100"/>
              <w:bottom w:type="dxa" w:w="80"/>
              <w:right w:type="dxa" w:w="100"/>
            </w:tcMar>
          </w:tcPr>
          <w:p>
            <w:r>
              <w:rPr>
                <w:b w:val="false"/>
                <w:bCs w:val="false"/>
                <w:color w:val="000000"/>
                <w:sz w:val="18"/>
                <w:szCs w:val="18"/>
              </w:rPr>
              <w:t xml:space="preserve">Moderate</w:t>
            </w:r>
          </w:p>
        </w:tc>
        <w:tc>
          <w:tcPr>
            <w:tcW w:type="dxa" w:w="2200"/>
            <w:tcMar>
              <w:top w:type="dxa" w:w="80"/>
              <w:left w:type="dxa" w:w="100"/>
              <w:bottom w:type="dxa" w:w="80"/>
              <w:right w:type="dxa" w:w="100"/>
            </w:tcMar>
          </w:tcPr>
          <w:p>
            <w:r>
              <w:rPr>
                <w:b w:val="false"/>
                <w:bCs w:val="false"/>
                <w:color w:val="000000"/>
                <w:sz w:val="18"/>
                <w:szCs w:val="18"/>
              </w:rPr>
              <w:t xml:space="preserve">Affected Control(s)</w:t>
            </w:r>
          </w:p>
        </w:tc>
        <w:tc>
          <w:tcPr>
            <w:tcW w:type="dxa" w:w="2550"/>
            <w:tcMar>
              <w:top w:type="dxa" w:w="80"/>
              <w:left w:type="dxa" w:w="100"/>
              <w:bottom w:type="dxa" w:w="80"/>
              <w:right w:type="dxa" w:w="100"/>
            </w:tcMar>
          </w:tcPr>
          <w:p>
            <w:r>
              <w:rPr>
                <w:b w:val="false"/>
                <w:bCs w:val="false"/>
                <w:color w:val="000000"/>
                <w:sz w:val="18"/>
                <w:szCs w:val="18"/>
              </w:rPr>
              <w:t xml:space="preserve">AC-6(9), AU-2</w:t>
            </w:r>
          </w:p>
        </w:tc>
      </w:tr>
      <w:tr>
        <w:tc>
          <w:tcPr>
            <w:tcW w:type="dxa" w:w="2200"/>
            <w:tcMar>
              <w:top w:type="dxa" w:w="80"/>
              <w:left w:type="dxa" w:w="100"/>
              <w:bottom w:type="dxa" w:w="80"/>
              <w:right w:type="dxa" w:w="100"/>
            </w:tcMar>
          </w:tcPr>
          <w:p>
            <w:r>
              <w:rPr>
                <w:b w:val="false"/>
                <w:bCs w:val="false"/>
                <w:color w:val="000000"/>
                <w:sz w:val="18"/>
                <w:szCs w:val="18"/>
              </w:rPr>
              <w:t xml:space="preserve">Source</w:t>
            </w:r>
          </w:p>
        </w:tc>
        <w:tc>
          <w:tcPr>
            <w:tcW w:type="dxa" w:w="2400"/>
            <w:tcMar>
              <w:top w:type="dxa" w:w="80"/>
              <w:left w:type="dxa" w:w="100"/>
              <w:bottom w:type="dxa" w:w="80"/>
              <w:right w:type="dxa" w:w="100"/>
            </w:tcMar>
          </w:tcPr>
          <w:p>
            <w:r>
              <w:rPr>
                <w:b w:val="false"/>
                <w:bCs w:val="false"/>
                <w:color w:val="000000"/>
                <w:sz w:val="18"/>
                <w:szCs w:val="18"/>
              </w:rPr>
              <w:t xml:space="preserve">Technical Test</w:t>
            </w:r>
          </w:p>
        </w:tc>
        <w:tc>
          <w:tcPr>
            <w:tcW w:type="dxa" w:w="2200"/>
            <w:tcMar>
              <w:top w:type="dxa" w:w="80"/>
              <w:left w:type="dxa" w:w="100"/>
              <w:bottom w:type="dxa" w:w="80"/>
              <w:right w:type="dxa" w:w="100"/>
            </w:tcMar>
          </w:tcPr>
          <w:p>
            <w:r>
              <w:rPr>
                <w:b w:val="false"/>
                <w:bCs w:val="false"/>
                <w:color w:val="000000"/>
                <w:sz w:val="18"/>
                <w:szCs w:val="18"/>
              </w:rPr>
              <w:t xml:space="preserve">POA&amp;M ID</w:t>
            </w:r>
          </w:p>
        </w:tc>
        <w:tc>
          <w:tcPr>
            <w:tcW w:type="dxa" w:w="2550"/>
            <w:tcMar>
              <w:top w:type="dxa" w:w="80"/>
              <w:left w:type="dxa" w:w="100"/>
              <w:bottom w:type="dxa" w:w="80"/>
              <w:right w:type="dxa" w:w="100"/>
            </w:tcMar>
          </w:tcPr>
          <w:p>
            <w:r>
              <w:rPr>
                <w:b w:val="false"/>
                <w:bCs w:val="false"/>
                <w:color w:val="000000"/>
                <w:sz w:val="18"/>
                <w:szCs w:val="18"/>
              </w:rPr>
              <w:t xml:space="preserve">V-003</w:t>
            </w:r>
          </w:p>
        </w:tc>
      </w:tr>
    </w:tbl>
    <w:p>
      <w:pPr>
        <w:spacing w:after="60"/>
      </w:pPr>
    </w:p>
    <w:p>
      <w:pPr>
        <w:spacing w:after="120"/>
      </w:pPr>
      <w:r>
        <w:rPr>
          <w:b/>
          <w:bCs/>
        </w:rPr>
        <w:t xml:space="preserve">Condition. </w:t>
      </w:r>
      <w:r>
        <w:t xml:space="preserve">Privileged function execution on the legacy reporting subsystem is not forwarded to the centralized SIEM. Testing confirmed that administrative actions performed on this component produced local logs only, with no corresponding SIEM record.</w:t>
      </w:r>
    </w:p>
    <w:p>
      <w:pPr>
        <w:spacing w:after="120"/>
      </w:pPr>
      <w:r>
        <w:rPr>
          <w:b/>
          <w:bCs/>
        </w:rPr>
        <w:t xml:space="preserve">Criteria. </w:t>
      </w:r>
      <w:r>
        <w:t xml:space="preserve">AC-6(9) requires logging the execution of privileged functions. AU-2 requires that the system log the organization-defined set of auditable events, which for this system includes privilege escalation and administrative actions.</w:t>
      </w:r>
    </w:p>
    <w:p>
      <w:pPr>
        <w:spacing w:after="120"/>
      </w:pPr>
      <w:r>
        <w:rPr>
          <w:b/>
          <w:bCs/>
        </w:rPr>
        <w:t xml:space="preserve">Cause. </w:t>
      </w:r>
      <w:r>
        <w:t xml:space="preserve">The legacy reporting subsystem predates the current logging architecture and was not included in the log-forwarding agent rollout. No reconciliation was performed between the approved auditable events list and actual SIEM ingestion coverage.</w:t>
      </w:r>
    </w:p>
    <w:p>
      <w:pPr>
        <w:spacing w:after="120"/>
      </w:pPr>
      <w:r>
        <w:rPr>
          <w:b/>
          <w:bCs/>
        </w:rPr>
        <w:t xml:space="preserve">Effect. </w:t>
      </w:r>
      <w:r>
        <w:t xml:space="preserve">Administrative actions on a component with access to award and disbursement reporting data are not centrally monitored, alerted on, or retained per policy. Malicious or erroneous privileged activity on this subsystem would likely go undetected.</w:t>
      </w:r>
    </w:p>
    <w:p>
      <w:pPr>
        <w:spacing w:after="120"/>
      </w:pPr>
      <w:r>
        <w:rPr>
          <w:b/>
          <w:bCs/>
        </w:rPr>
        <w:t xml:space="preserve">Evidence Reviewed. </w:t>
      </w:r>
      <w:r>
        <w:t xml:space="preserve">SIEM source inventory; approved auditable events list; test execution of a privileged action with subsequent SIEM query returning no results; system architecture diagram.</w:t>
      </w:r>
    </w:p>
    <w:p>
      <w:pPr>
        <w:spacing w:after="120"/>
      </w:pPr>
      <w:r>
        <w:rPr>
          <w:b/>
          <w:bCs/>
        </w:rPr>
        <w:t xml:space="preserve">Recommendation. </w:t>
      </w:r>
      <w:r>
        <w:t xml:space="preserve">Deploy the log-forwarding agent to the legacy reporting subsystem and validate coverage against the full approved auditable events list. Establish a recurring reconciliation between the auditable events list and actual SIEM source coverage to prevent recurrence on future components.</w:t>
      </w:r>
    </w:p>
    <w:p>
      <w:pPr>
        <w:spacing w:after="120"/>
      </w:pPr>
      <w:r>
        <w:rPr>
          <w:b/>
          <w:bCs/>
        </w:rPr>
        <w:t xml:space="preserve">Management Response. </w:t>
      </w:r>
      <w:r>
        <w:t xml:space="preserve">Concur. Agent deployment by 2026-04-20, event coverage validation by 2026-05-05, and SIEM alerting confirmation by 2026-05-15. A quarterly source-coverage reconciliation will be added to the ConMon calendar. Tracked as POA&amp;M V-003. — Security Operations Lead</w:t>
      </w:r>
    </w:p>
    <w:p>
      <w:pPr>
        <w:pStyle w:val="Heading2"/>
        <w:spacing w:after="120" w:before="300"/>
      </w:pPr>
      <w:r>
        <w:rPr>
          <w:b/>
          <w:bCs/>
          <w:color w:val="1F3864"/>
        </w:rPr>
        <w:t xml:space="preserve">FIND-004 — Annual System Recovery Exercise Not Performed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550"/>
      </w:tblGrid>
      <w:tr>
        <w:tc>
          <w:tcPr>
            <w:tcW w:type="dxa" w:w="2200"/>
            <w:tcMar>
              <w:top w:type="dxa" w:w="80"/>
              <w:left w:type="dxa" w:w="100"/>
              <w:bottom w:type="dxa" w:w="80"/>
              <w:right w:type="dxa" w:w="100"/>
            </w:tcMar>
          </w:tcPr>
          <w:p>
            <w:r>
              <w:rPr>
                <w:b w:val="false"/>
                <w:bCs w:val="false"/>
                <w:color w:val="000000"/>
                <w:sz w:val="18"/>
                <w:szCs w:val="18"/>
              </w:rPr>
              <w:t xml:space="preserve">Risk Rating</w:t>
            </w:r>
          </w:p>
        </w:tc>
        <w:tc>
          <w:tcPr>
            <w:tcW w:type="dxa" w:w="2400"/>
            <w:tcMar>
              <w:top w:type="dxa" w:w="80"/>
              <w:left w:type="dxa" w:w="100"/>
              <w:bottom w:type="dxa" w:w="80"/>
              <w:right w:type="dxa" w:w="100"/>
            </w:tcMar>
          </w:tcPr>
          <w:p>
            <w:r>
              <w:rPr>
                <w:b w:val="false"/>
                <w:bCs w:val="false"/>
                <w:color w:val="000000"/>
                <w:sz w:val="18"/>
                <w:szCs w:val="18"/>
              </w:rPr>
              <w:t xml:space="preserve">Moderate</w:t>
            </w:r>
          </w:p>
        </w:tc>
        <w:tc>
          <w:tcPr>
            <w:tcW w:type="dxa" w:w="2200"/>
            <w:tcMar>
              <w:top w:type="dxa" w:w="80"/>
              <w:left w:type="dxa" w:w="100"/>
              <w:bottom w:type="dxa" w:w="80"/>
              <w:right w:type="dxa" w:w="100"/>
            </w:tcMar>
          </w:tcPr>
          <w:p>
            <w:r>
              <w:rPr>
                <w:b w:val="false"/>
                <w:bCs w:val="false"/>
                <w:color w:val="000000"/>
                <w:sz w:val="18"/>
                <w:szCs w:val="18"/>
              </w:rPr>
              <w:t xml:space="preserve">Affected Control(s)</w:t>
            </w:r>
          </w:p>
        </w:tc>
        <w:tc>
          <w:tcPr>
            <w:tcW w:type="dxa" w:w="2550"/>
            <w:tcMar>
              <w:top w:type="dxa" w:w="80"/>
              <w:left w:type="dxa" w:w="100"/>
              <w:bottom w:type="dxa" w:w="80"/>
              <w:right w:type="dxa" w:w="100"/>
            </w:tcMar>
          </w:tcPr>
          <w:p>
            <w:r>
              <w:rPr>
                <w:b w:val="false"/>
                <w:bCs w:val="false"/>
                <w:color w:val="000000"/>
                <w:sz w:val="18"/>
                <w:szCs w:val="18"/>
              </w:rPr>
              <w:t xml:space="preserve">CP-10</w:t>
            </w:r>
          </w:p>
        </w:tc>
      </w:tr>
      <w:tr>
        <w:tc>
          <w:tcPr>
            <w:tcW w:type="dxa" w:w="2200"/>
            <w:tcMar>
              <w:top w:type="dxa" w:w="80"/>
              <w:left w:type="dxa" w:w="100"/>
              <w:bottom w:type="dxa" w:w="80"/>
              <w:right w:type="dxa" w:w="100"/>
            </w:tcMar>
          </w:tcPr>
          <w:p>
            <w:r>
              <w:rPr>
                <w:b w:val="false"/>
                <w:bCs w:val="false"/>
                <w:color w:val="000000"/>
                <w:sz w:val="18"/>
                <w:szCs w:val="18"/>
              </w:rPr>
              <w:t xml:space="preserve">Source</w:t>
            </w:r>
          </w:p>
        </w:tc>
        <w:tc>
          <w:tcPr>
            <w:tcW w:type="dxa" w:w="2400"/>
            <w:tcMar>
              <w:top w:type="dxa" w:w="80"/>
              <w:left w:type="dxa" w:w="100"/>
              <w:bottom w:type="dxa" w:w="80"/>
              <w:right w:type="dxa" w:w="100"/>
            </w:tcMar>
          </w:tcPr>
          <w:p>
            <w:r>
              <w:rPr>
                <w:b w:val="false"/>
                <w:bCs w:val="false"/>
                <w:color w:val="000000"/>
                <w:sz w:val="18"/>
                <w:szCs w:val="18"/>
              </w:rPr>
              <w:t xml:space="preserve">Interview / Documentation Review</w:t>
            </w:r>
          </w:p>
        </w:tc>
        <w:tc>
          <w:tcPr>
            <w:tcW w:type="dxa" w:w="2200"/>
            <w:tcMar>
              <w:top w:type="dxa" w:w="80"/>
              <w:left w:type="dxa" w:w="100"/>
              <w:bottom w:type="dxa" w:w="80"/>
              <w:right w:type="dxa" w:w="100"/>
            </w:tcMar>
          </w:tcPr>
          <w:p>
            <w:r>
              <w:rPr>
                <w:b w:val="false"/>
                <w:bCs w:val="false"/>
                <w:color w:val="000000"/>
                <w:sz w:val="18"/>
                <w:szCs w:val="18"/>
              </w:rPr>
              <w:t xml:space="preserve">POA&amp;M ID</w:t>
            </w:r>
          </w:p>
        </w:tc>
        <w:tc>
          <w:tcPr>
            <w:tcW w:type="dxa" w:w="2550"/>
            <w:tcMar>
              <w:top w:type="dxa" w:w="80"/>
              <w:left w:type="dxa" w:w="100"/>
              <w:bottom w:type="dxa" w:w="80"/>
              <w:right w:type="dxa" w:w="100"/>
            </w:tcMar>
          </w:tcPr>
          <w:p>
            <w:r>
              <w:rPr>
                <w:b w:val="false"/>
                <w:bCs w:val="false"/>
                <w:color w:val="000000"/>
                <w:sz w:val="18"/>
                <w:szCs w:val="18"/>
              </w:rPr>
              <w:t xml:space="preserve">V-004</w:t>
            </w:r>
          </w:p>
        </w:tc>
      </w:tr>
    </w:tbl>
    <w:p>
      <w:pPr>
        <w:spacing w:after="60"/>
      </w:pPr>
    </w:p>
    <w:p>
      <w:pPr>
        <w:spacing w:after="120"/>
      </w:pPr>
      <w:r>
        <w:rPr>
          <w:b/>
          <w:bCs/>
        </w:rPr>
        <w:t xml:space="preserve">Condition. </w:t>
      </w:r>
      <w:r>
        <w:t xml:space="preserve">A full-system recovery and reconstitution exercise has not been conducted within the required annual period. Component-level backup restoration has been tested successfully, but no end-to-end exercise has validated the documented recovery time and recovery point objectives.</w:t>
      </w:r>
    </w:p>
    <w:p>
      <w:pPr>
        <w:spacing w:after="120"/>
      </w:pPr>
      <w:r>
        <w:rPr>
          <w:b/>
          <w:bCs/>
        </w:rPr>
        <w:t xml:space="preserve">Criteria. </w:t>
      </w:r>
      <w:r>
        <w:t xml:space="preserve">CP-10 requires the organization to provide for recovery and reconstitution of the system to a known state after a disruption, and FedRAMP requires contingency plan testing at least annually for Moderate-impact systems.</w:t>
      </w:r>
    </w:p>
    <w:p>
      <w:pPr>
        <w:spacing w:after="120"/>
      </w:pPr>
      <w:r>
        <w:rPr>
          <w:b/>
          <w:bCs/>
        </w:rPr>
        <w:t xml:space="preserve">Cause. </w:t>
      </w:r>
      <w:r>
        <w:t xml:space="preserve">Recovery testing was descoped from the prior year's schedule due to a concurrent platform migration, and was not rescheduled or tracked to completion.</w:t>
      </w:r>
    </w:p>
    <w:p>
      <w:pPr>
        <w:spacing w:after="120"/>
      </w:pPr>
      <w:r>
        <w:rPr>
          <w:b/>
          <w:bCs/>
        </w:rPr>
        <w:t xml:space="preserve">Effect. </w:t>
      </w:r>
      <w:r>
        <w:t xml:space="preserve">The organization's actual recovery capability is unverified. Documented RTO and RPO values may not be achievable in practice, which would extend an outage of a system supporting statutorily deadlined grant cycles and could result in missed federal disbursement obligations.</w:t>
      </w:r>
    </w:p>
    <w:p>
      <w:pPr>
        <w:spacing w:after="120"/>
      </w:pPr>
      <w:r>
        <w:rPr>
          <w:b/>
          <w:bCs/>
        </w:rPr>
        <w:t xml:space="preserve">Evidence Reviewed. </w:t>
      </w:r>
      <w:r>
        <w:t xml:space="preserve">Contingency Plan (v1.4); prior-year test records; interview with the Director of Infrastructure; backup restoration test logs for the database tier.</w:t>
      </w:r>
    </w:p>
    <w:p>
      <w:pPr>
        <w:spacing w:after="120"/>
      </w:pPr>
      <w:r>
        <w:rPr>
          <w:b/>
          <w:bCs/>
        </w:rPr>
        <w:t xml:space="preserve">Recommendation. </w:t>
      </w:r>
      <w:r>
        <w:t xml:space="preserve">Conduct a full-system recovery exercise in an isolated environment with defined success criteria, measure actual RTO and RPO against documented objectives, and update the Contingency Plan based on exercise findings. Add contingency plan testing to the continuous monitoring calendar as a non-descopable annual activity.</w:t>
      </w:r>
    </w:p>
    <w:p>
      <w:pPr>
        <w:spacing w:after="120"/>
      </w:pPr>
      <w:r>
        <w:rPr>
          <w:b/>
          <w:bCs/>
        </w:rPr>
        <w:t xml:space="preserve">Management Response. </w:t>
      </w:r>
      <w:r>
        <w:t xml:space="preserve">Concur. Exercise scenario and success criteria by 2026-05-30; exercise execution by 2026-07-15; Contingency Plan update and after-action report by 2026-07-31. Tracked as POA&amp;M V-004. — Director of Infrastructure</w:t>
      </w:r>
    </w:p>
    <w:p>
      <w:pPr>
        <w:pStyle w:val="Heading2"/>
        <w:spacing w:after="120" w:before="300"/>
      </w:pPr>
      <w:r>
        <w:rPr>
          <w:b/>
          <w:bCs/>
          <w:color w:val="1F3864"/>
        </w:rPr>
        <w:t xml:space="preserve">FIND-005 — Configuration Drift from Approved Hardening Baseline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550"/>
      </w:tblGrid>
      <w:tr>
        <w:tc>
          <w:tcPr>
            <w:tcW w:type="dxa" w:w="2200"/>
            <w:tcMar>
              <w:top w:type="dxa" w:w="80"/>
              <w:left w:type="dxa" w:w="100"/>
              <w:bottom w:type="dxa" w:w="80"/>
              <w:right w:type="dxa" w:w="100"/>
            </w:tcMar>
          </w:tcPr>
          <w:p>
            <w:r>
              <w:rPr>
                <w:b w:val="false"/>
                <w:bCs w:val="false"/>
                <w:color w:val="000000"/>
                <w:sz w:val="18"/>
                <w:szCs w:val="18"/>
              </w:rPr>
              <w:t xml:space="preserve">Risk Rating</w:t>
            </w:r>
          </w:p>
        </w:tc>
        <w:tc>
          <w:tcPr>
            <w:tcW w:type="dxa" w:w="2400"/>
            <w:tcMar>
              <w:top w:type="dxa" w:w="80"/>
              <w:left w:type="dxa" w:w="100"/>
              <w:bottom w:type="dxa" w:w="80"/>
              <w:right w:type="dxa" w:w="100"/>
            </w:tcMar>
          </w:tcPr>
          <w:p>
            <w:r>
              <w:rPr>
                <w:b w:val="false"/>
                <w:bCs w:val="false"/>
                <w:color w:val="000000"/>
                <w:sz w:val="18"/>
                <w:szCs w:val="18"/>
              </w:rPr>
              <w:t xml:space="preserve">Moderate</w:t>
            </w:r>
          </w:p>
        </w:tc>
        <w:tc>
          <w:tcPr>
            <w:tcW w:type="dxa" w:w="2200"/>
            <w:tcMar>
              <w:top w:type="dxa" w:w="80"/>
              <w:left w:type="dxa" w:w="100"/>
              <w:bottom w:type="dxa" w:w="80"/>
              <w:right w:type="dxa" w:w="100"/>
            </w:tcMar>
          </w:tcPr>
          <w:p>
            <w:r>
              <w:rPr>
                <w:b w:val="false"/>
                <w:bCs w:val="false"/>
                <w:color w:val="000000"/>
                <w:sz w:val="18"/>
                <w:szCs w:val="18"/>
              </w:rPr>
              <w:t xml:space="preserve">Affected Control(s)</w:t>
            </w:r>
          </w:p>
        </w:tc>
        <w:tc>
          <w:tcPr>
            <w:tcW w:type="dxa" w:w="2550"/>
            <w:tcMar>
              <w:top w:type="dxa" w:w="80"/>
              <w:left w:type="dxa" w:w="100"/>
              <w:bottom w:type="dxa" w:w="80"/>
              <w:right w:type="dxa" w:w="100"/>
            </w:tcMar>
          </w:tcPr>
          <w:p>
            <w:r>
              <w:rPr>
                <w:b w:val="false"/>
                <w:bCs w:val="false"/>
                <w:color w:val="000000"/>
                <w:sz w:val="18"/>
                <w:szCs w:val="18"/>
              </w:rPr>
              <w:t xml:space="preserve">CM-6</w:t>
            </w:r>
          </w:p>
        </w:tc>
      </w:tr>
      <w:tr>
        <w:tc>
          <w:tcPr>
            <w:tcW w:type="dxa" w:w="2200"/>
            <w:tcMar>
              <w:top w:type="dxa" w:w="80"/>
              <w:left w:type="dxa" w:w="100"/>
              <w:bottom w:type="dxa" w:w="80"/>
              <w:right w:type="dxa" w:w="100"/>
            </w:tcMar>
          </w:tcPr>
          <w:p>
            <w:r>
              <w:rPr>
                <w:b w:val="false"/>
                <w:bCs w:val="false"/>
                <w:color w:val="000000"/>
                <w:sz w:val="18"/>
                <w:szCs w:val="18"/>
              </w:rPr>
              <w:t xml:space="preserve">Source</w:t>
            </w:r>
          </w:p>
        </w:tc>
        <w:tc>
          <w:tcPr>
            <w:tcW w:type="dxa" w:w="2400"/>
            <w:tcMar>
              <w:top w:type="dxa" w:w="80"/>
              <w:left w:type="dxa" w:w="100"/>
              <w:bottom w:type="dxa" w:w="80"/>
              <w:right w:type="dxa" w:w="100"/>
            </w:tcMar>
          </w:tcPr>
          <w:p>
            <w:r>
              <w:rPr>
                <w:b w:val="false"/>
                <w:bCs w:val="false"/>
                <w:color w:val="000000"/>
                <w:sz w:val="18"/>
                <w:szCs w:val="18"/>
              </w:rPr>
              <w:t xml:space="preserve">Technical Test (Sampling)</w:t>
            </w:r>
          </w:p>
        </w:tc>
        <w:tc>
          <w:tcPr>
            <w:tcW w:type="dxa" w:w="2200"/>
            <w:tcMar>
              <w:top w:type="dxa" w:w="80"/>
              <w:left w:type="dxa" w:w="100"/>
              <w:bottom w:type="dxa" w:w="80"/>
              <w:right w:type="dxa" w:w="100"/>
            </w:tcMar>
          </w:tcPr>
          <w:p>
            <w:r>
              <w:rPr>
                <w:b w:val="false"/>
                <w:bCs w:val="false"/>
                <w:color w:val="000000"/>
                <w:sz w:val="18"/>
                <w:szCs w:val="18"/>
              </w:rPr>
              <w:t xml:space="preserve">POA&amp;M ID</w:t>
            </w:r>
          </w:p>
        </w:tc>
        <w:tc>
          <w:tcPr>
            <w:tcW w:type="dxa" w:w="2550"/>
            <w:tcMar>
              <w:top w:type="dxa" w:w="80"/>
              <w:left w:type="dxa" w:w="100"/>
              <w:bottom w:type="dxa" w:w="80"/>
              <w:right w:type="dxa" w:w="100"/>
            </w:tcMar>
          </w:tcPr>
          <w:p>
            <w:r>
              <w:rPr>
                <w:b w:val="false"/>
                <w:bCs w:val="false"/>
                <w:color w:val="000000"/>
                <w:sz w:val="18"/>
                <w:szCs w:val="18"/>
              </w:rPr>
              <w:t xml:space="preserve">V-002</w:t>
            </w:r>
          </w:p>
        </w:tc>
      </w:tr>
    </w:tbl>
    <w:p>
      <w:pPr>
        <w:spacing w:after="60"/>
      </w:pPr>
    </w:p>
    <w:p>
      <w:pPr>
        <w:spacing w:after="120"/>
      </w:pPr>
      <w:r>
        <w:rPr>
          <w:b/>
          <w:bCs/>
        </w:rPr>
        <w:t xml:space="preserve">Condition. </w:t>
      </w:r>
      <w:r>
        <w:t xml:space="preserve">Sampling of 12 production application servers identified three hosts with settings deviating from the approved CIS Level 1 hardening baseline, including a permissive SSH configuration permitting password authentication and a disabled host-based audit daemon.</w:t>
      </w:r>
    </w:p>
    <w:p>
      <w:pPr>
        <w:spacing w:after="120"/>
      </w:pPr>
      <w:r>
        <w:rPr>
          <w:b/>
          <w:bCs/>
        </w:rPr>
        <w:t xml:space="preserve">Criteria. </w:t>
      </w:r>
      <w:r>
        <w:t xml:space="preserve">CM-6 requires that the organization establish, document, and enforce configuration settings that reflect the most restrictive mode consistent with operational requirements, and monitor for and correct unauthorized changes.</w:t>
      </w:r>
    </w:p>
    <w:p>
      <w:pPr>
        <w:spacing w:after="120"/>
      </w:pPr>
      <w:r>
        <w:rPr>
          <w:b/>
          <w:bCs/>
        </w:rPr>
        <w:t xml:space="preserve">Cause. </w:t>
      </w:r>
      <w:r>
        <w:t xml:space="preserve">AWS Config drift detection is deployed in monitoring-only mode without automatic remediation, and no pre-deployment gate verifies baseline compliance. Manual troubleshooting changes made during an earlier incident were not reverted.</w:t>
      </w:r>
    </w:p>
    <w:p>
      <w:pPr>
        <w:spacing w:after="120"/>
      </w:pPr>
      <w:r>
        <w:rPr>
          <w:b/>
          <w:bCs/>
        </w:rPr>
        <w:t xml:space="preserve">Effect. </w:t>
      </w:r>
      <w:r>
        <w:t xml:space="preserve">Hosts operating outside the approved baseline present a larger attack surface than the assessed and authorized configuration. The permissive SSH setting specifically weakens authentication controls on production systems processing CUI.</w:t>
      </w:r>
    </w:p>
    <w:p>
      <w:pPr>
        <w:spacing w:after="120"/>
      </w:pPr>
      <w:r>
        <w:rPr>
          <w:b/>
          <w:bCs/>
        </w:rPr>
        <w:t xml:space="preserve">Evidence Reviewed. </w:t>
      </w:r>
      <w:r>
        <w:t xml:space="preserve">Configuration scan output for 12 sampled hosts; approved CIS Level 1 baseline document; AWS Config rule configuration; change records from the referenced incident.</w:t>
      </w:r>
    </w:p>
    <w:p>
      <w:pPr>
        <w:spacing w:after="120"/>
      </w:pPr>
      <w:r>
        <w:rPr>
          <w:b/>
          <w:bCs/>
        </w:rPr>
        <w:t xml:space="preserve">Recommendation. </w:t>
      </w:r>
      <w:r>
        <w:t xml:space="preserve">Re-image the affected hosts from the approved AMI, enable automatic remediation for baseline configuration rules in AWS Config, and add a pre-deployment drift verification gate to the CI/CD pipeline so non-compliant configurations cannot reach production.</w:t>
      </w:r>
    </w:p>
    <w:p>
      <w:pPr>
        <w:spacing w:after="120"/>
      </w:pPr>
      <w:r>
        <w:rPr>
          <w:b/>
          <w:bCs/>
        </w:rPr>
        <w:t xml:space="preserve">Management Response. </w:t>
      </w:r>
      <w:r>
        <w:t xml:space="preserve">Concur. Affected hosts re-imaged by 2026-04-15; Config auto-remediation enabled by 2026-05-15; pre-deploy drift gate implemented by 2026-05-31. Tracked as POA&amp;M V-002. — Cloud Infrastructure Lead</w:t>
      </w:r>
    </w:p>
    <w:p>
      <w:pPr>
        <w:pStyle w:val="Heading2"/>
        <w:spacing w:after="120" w:before="300"/>
      </w:pPr>
      <w:r>
        <w:rPr>
          <w:b/>
          <w:bCs/>
          <w:color w:val="1F3864"/>
        </w:rPr>
        <w:t xml:space="preserve">FIND-006 — Incident Notification Timeline Not Validated Through Exercise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550"/>
      </w:tblGrid>
      <w:tr>
        <w:tc>
          <w:tcPr>
            <w:tcW w:type="dxa" w:w="2200"/>
            <w:tcMar>
              <w:top w:type="dxa" w:w="80"/>
              <w:left w:type="dxa" w:w="100"/>
              <w:bottom w:type="dxa" w:w="80"/>
              <w:right w:type="dxa" w:w="100"/>
            </w:tcMar>
          </w:tcPr>
          <w:p>
            <w:r>
              <w:rPr>
                <w:b w:val="false"/>
                <w:bCs w:val="false"/>
                <w:color w:val="000000"/>
                <w:sz w:val="18"/>
                <w:szCs w:val="18"/>
              </w:rPr>
              <w:t xml:space="preserve">Risk Rating</w:t>
            </w:r>
          </w:p>
        </w:tc>
        <w:tc>
          <w:tcPr>
            <w:tcW w:type="dxa" w:w="2400"/>
            <w:tcMar>
              <w:top w:type="dxa" w:w="80"/>
              <w:left w:type="dxa" w:w="100"/>
              <w:bottom w:type="dxa" w:w="80"/>
              <w:right w:type="dxa" w:w="100"/>
            </w:tcMar>
          </w:tcPr>
          <w:p>
            <w:r>
              <w:rPr>
                <w:b w:val="false"/>
                <w:bCs w:val="false"/>
                <w:color w:val="000000"/>
                <w:sz w:val="18"/>
                <w:szCs w:val="18"/>
              </w:rPr>
              <w:t xml:space="preserve">Moderate</w:t>
            </w:r>
          </w:p>
        </w:tc>
        <w:tc>
          <w:tcPr>
            <w:tcW w:type="dxa" w:w="2200"/>
            <w:tcMar>
              <w:top w:type="dxa" w:w="80"/>
              <w:left w:type="dxa" w:w="100"/>
              <w:bottom w:type="dxa" w:w="80"/>
              <w:right w:type="dxa" w:w="100"/>
            </w:tcMar>
          </w:tcPr>
          <w:p>
            <w:r>
              <w:rPr>
                <w:b w:val="false"/>
                <w:bCs w:val="false"/>
                <w:color w:val="000000"/>
                <w:sz w:val="18"/>
                <w:szCs w:val="18"/>
              </w:rPr>
              <w:t xml:space="preserve">Affected Control(s)</w:t>
            </w:r>
          </w:p>
        </w:tc>
        <w:tc>
          <w:tcPr>
            <w:tcW w:type="dxa" w:w="2550"/>
            <w:tcMar>
              <w:top w:type="dxa" w:w="80"/>
              <w:left w:type="dxa" w:w="100"/>
              <w:bottom w:type="dxa" w:w="80"/>
              <w:right w:type="dxa" w:w="100"/>
            </w:tcMar>
          </w:tcPr>
          <w:p>
            <w:r>
              <w:rPr>
                <w:b w:val="false"/>
                <w:bCs w:val="false"/>
                <w:color w:val="000000"/>
                <w:sz w:val="18"/>
                <w:szCs w:val="18"/>
              </w:rPr>
              <w:t xml:space="preserve">IR-4, IR-6</w:t>
            </w:r>
          </w:p>
        </w:tc>
      </w:tr>
      <w:tr>
        <w:tc>
          <w:tcPr>
            <w:tcW w:type="dxa" w:w="2200"/>
            <w:tcMar>
              <w:top w:type="dxa" w:w="80"/>
              <w:left w:type="dxa" w:w="100"/>
              <w:bottom w:type="dxa" w:w="80"/>
              <w:right w:type="dxa" w:w="100"/>
            </w:tcMar>
          </w:tcPr>
          <w:p>
            <w:r>
              <w:rPr>
                <w:b w:val="false"/>
                <w:bCs w:val="false"/>
                <w:color w:val="000000"/>
                <w:sz w:val="18"/>
                <w:szCs w:val="18"/>
              </w:rPr>
              <w:t xml:space="preserve">Source</w:t>
            </w:r>
          </w:p>
        </w:tc>
        <w:tc>
          <w:tcPr>
            <w:tcW w:type="dxa" w:w="2400"/>
            <w:tcMar>
              <w:top w:type="dxa" w:w="80"/>
              <w:left w:type="dxa" w:w="100"/>
              <w:bottom w:type="dxa" w:w="80"/>
              <w:right w:type="dxa" w:w="100"/>
            </w:tcMar>
          </w:tcPr>
          <w:p>
            <w:r>
              <w:rPr>
                <w:b w:val="false"/>
                <w:bCs w:val="false"/>
                <w:color w:val="000000"/>
                <w:sz w:val="18"/>
                <w:szCs w:val="18"/>
              </w:rPr>
              <w:t xml:space="preserve">Interview</w:t>
            </w:r>
          </w:p>
        </w:tc>
        <w:tc>
          <w:tcPr>
            <w:tcW w:type="dxa" w:w="2200"/>
            <w:tcMar>
              <w:top w:type="dxa" w:w="80"/>
              <w:left w:type="dxa" w:w="100"/>
              <w:bottom w:type="dxa" w:w="80"/>
              <w:right w:type="dxa" w:w="100"/>
            </w:tcMar>
          </w:tcPr>
          <w:p>
            <w:r>
              <w:rPr>
                <w:b w:val="false"/>
                <w:bCs w:val="false"/>
                <w:color w:val="000000"/>
                <w:sz w:val="18"/>
                <w:szCs w:val="18"/>
              </w:rPr>
              <w:t xml:space="preserve">POA&amp;M ID</w:t>
            </w:r>
          </w:p>
        </w:tc>
        <w:tc>
          <w:tcPr>
            <w:tcW w:type="dxa" w:w="2550"/>
            <w:tcMar>
              <w:top w:type="dxa" w:w="80"/>
              <w:left w:type="dxa" w:w="100"/>
              <w:bottom w:type="dxa" w:w="80"/>
              <w:right w:type="dxa" w:w="100"/>
            </w:tcMar>
          </w:tcPr>
          <w:p>
            <w:r>
              <w:rPr>
                <w:b w:val="false"/>
                <w:bCs w:val="false"/>
                <w:color w:val="000000"/>
                <w:sz w:val="18"/>
                <w:szCs w:val="18"/>
              </w:rPr>
              <w:t xml:space="preserve">V-006</w:t>
            </w:r>
          </w:p>
        </w:tc>
      </w:tr>
    </w:tbl>
    <w:p>
      <w:pPr>
        <w:spacing w:after="60"/>
      </w:pPr>
    </w:p>
    <w:p>
      <w:pPr>
        <w:spacing w:after="120"/>
      </w:pPr>
      <w:r>
        <w:rPr>
          <w:b/>
          <w:bCs/>
        </w:rPr>
        <w:t xml:space="preserve">Condition. </w:t>
      </w:r>
      <w:r>
        <w:t xml:space="preserve">The Incident Response Plan documents the required one-hour notification to US-CERT and the sponsoring agency ISSO, but this timeline has never been validated through a tabletop or live exercise. Interviewed personnel expressed uncertainty about the after-hours escalation path to Legal and Communications.</w:t>
      </w:r>
    </w:p>
    <w:p>
      <w:pPr>
        <w:spacing w:after="120"/>
      </w:pPr>
      <w:r>
        <w:rPr>
          <w:b/>
          <w:bCs/>
        </w:rPr>
        <w:t xml:space="preserve">Criteria. </w:t>
      </w:r>
      <w:r>
        <w:t xml:space="preserve">IR-4 requires implementation of incident handling capability, and IR-6 requires incident reporting within organization- and FedRAMP-defined timeframes. FedRAMP requires notification to US-CERT and the AO within one hour of incident determination.</w:t>
      </w:r>
    </w:p>
    <w:p>
      <w:pPr>
        <w:spacing w:after="120"/>
      </w:pPr>
      <w:r>
        <w:rPr>
          <w:b/>
          <w:bCs/>
        </w:rPr>
        <w:t xml:space="preserve">Cause. </w:t>
      </w:r>
      <w:r>
        <w:t xml:space="preserve">Incident response exercises conducted to date focused on technical containment and eradication scenarios and did not include the external notification workflow or non-technical stakeholders.</w:t>
      </w:r>
    </w:p>
    <w:p>
      <w:pPr>
        <w:spacing w:after="120"/>
      </w:pPr>
      <w:r>
        <w:rPr>
          <w:b/>
          <w:bCs/>
        </w:rPr>
        <w:t xml:space="preserve">Effect. </w:t>
      </w:r>
      <w:r>
        <w:t xml:space="preserve">The organization cannot demonstrate its ability to meet a mandatory one-hour federal notification requirement. A delay in notification during an actual incident would constitute a compliance failure and could delay the agency's own response and downstream notifications.</w:t>
      </w:r>
    </w:p>
    <w:p>
      <w:pPr>
        <w:spacing w:after="120"/>
      </w:pPr>
      <w:r>
        <w:rPr>
          <w:b/>
          <w:bCs/>
        </w:rPr>
        <w:t xml:space="preserve">Evidence Reviewed. </w:t>
      </w:r>
      <w:r>
        <w:t xml:space="preserve">Incident Response Plan (v2.0); prior tabletop exercise after-action reports; interviews with the Incident Response Lead and two on-call engineers; on-call escalation roster.</w:t>
      </w:r>
    </w:p>
    <w:p>
      <w:pPr>
        <w:spacing w:after="120"/>
      </w:pPr>
      <w:r>
        <w:rPr>
          <w:b/>
          <w:bCs/>
        </w:rPr>
        <w:t xml:space="preserve">Recommendation. </w:t>
      </w:r>
      <w:r>
        <w:t xml:space="preserve">Conduct a tabletop exercise specifically designed to test the external notification workflow, including Legal and Communications participation and an after-hours scenario. Measure actual elapsed time to notification, and update the IR Plan and contact roster based on results.</w:t>
      </w:r>
    </w:p>
    <w:p>
      <w:pPr>
        <w:spacing w:after="120"/>
      </w:pPr>
      <w:r>
        <w:rPr>
          <w:b/>
          <w:bCs/>
        </w:rPr>
        <w:t xml:space="preserve">Management Response. </w:t>
      </w:r>
      <w:r>
        <w:t xml:space="preserve">Concur. Tabletop scenario developed by 2026-05-01, exercise executed with Legal and Communications by 2026-06-01, and IR Plan and roster updated by 2026-06-15. Tracked as POA&amp;M V-006. — Incident Response Lead</w:t>
      </w:r>
    </w:p>
    <w:p>
      <w:pPr>
        <w:pStyle w:val="Heading2"/>
        <w:spacing w:after="120" w:before="300"/>
      </w:pPr>
      <w:r>
        <w:rPr>
          <w:b/>
          <w:bCs/>
          <w:color w:val="1F3864"/>
        </w:rPr>
        <w:t xml:space="preserve">FIND-007 — Inconsistent Evidence of Weekly Audit Log Review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550"/>
      </w:tblGrid>
      <w:tr>
        <w:tc>
          <w:tcPr>
            <w:tcW w:type="dxa" w:w="2200"/>
            <w:tcMar>
              <w:top w:type="dxa" w:w="80"/>
              <w:left w:type="dxa" w:w="100"/>
              <w:bottom w:type="dxa" w:w="80"/>
              <w:right w:type="dxa" w:w="100"/>
            </w:tcMar>
          </w:tcPr>
          <w:p>
            <w:r>
              <w:rPr>
                <w:b w:val="false"/>
                <w:bCs w:val="false"/>
                <w:color w:val="000000"/>
                <w:sz w:val="18"/>
                <w:szCs w:val="18"/>
              </w:rPr>
              <w:t xml:space="preserve">Risk Rating</w:t>
            </w:r>
          </w:p>
        </w:tc>
        <w:tc>
          <w:tcPr>
            <w:tcW w:type="dxa" w:w="2400"/>
            <w:tcMar>
              <w:top w:type="dxa" w:w="80"/>
              <w:left w:type="dxa" w:w="100"/>
              <w:bottom w:type="dxa" w:w="80"/>
              <w:right w:type="dxa" w:w="100"/>
            </w:tcMar>
          </w:tcPr>
          <w:p>
            <w:r>
              <w:rPr>
                <w:b w:val="false"/>
                <w:bCs w:val="false"/>
                <w:color w:val="000000"/>
                <w:sz w:val="18"/>
                <w:szCs w:val="18"/>
              </w:rPr>
              <w:t xml:space="preserve">Low</w:t>
            </w:r>
          </w:p>
        </w:tc>
        <w:tc>
          <w:tcPr>
            <w:tcW w:type="dxa" w:w="2200"/>
            <w:tcMar>
              <w:top w:type="dxa" w:w="80"/>
              <w:left w:type="dxa" w:w="100"/>
              <w:bottom w:type="dxa" w:w="80"/>
              <w:right w:type="dxa" w:w="100"/>
            </w:tcMar>
          </w:tcPr>
          <w:p>
            <w:r>
              <w:rPr>
                <w:b w:val="false"/>
                <w:bCs w:val="false"/>
                <w:color w:val="000000"/>
                <w:sz w:val="18"/>
                <w:szCs w:val="18"/>
              </w:rPr>
              <w:t xml:space="preserve">Affected Control(s)</w:t>
            </w:r>
          </w:p>
        </w:tc>
        <w:tc>
          <w:tcPr>
            <w:tcW w:type="dxa" w:w="2550"/>
            <w:tcMar>
              <w:top w:type="dxa" w:w="80"/>
              <w:left w:type="dxa" w:w="100"/>
              <w:bottom w:type="dxa" w:w="80"/>
              <w:right w:type="dxa" w:w="100"/>
            </w:tcMar>
          </w:tcPr>
          <w:p>
            <w:r>
              <w:rPr>
                <w:b w:val="false"/>
                <w:bCs w:val="false"/>
                <w:color w:val="000000"/>
                <w:sz w:val="18"/>
                <w:szCs w:val="18"/>
              </w:rPr>
              <w:t xml:space="preserve">AU-6</w:t>
            </w:r>
          </w:p>
        </w:tc>
      </w:tr>
      <w:tr>
        <w:tc>
          <w:tcPr>
            <w:tcW w:type="dxa" w:w="2200"/>
            <w:tcMar>
              <w:top w:type="dxa" w:w="80"/>
              <w:left w:type="dxa" w:w="100"/>
              <w:bottom w:type="dxa" w:w="80"/>
              <w:right w:type="dxa" w:w="100"/>
            </w:tcMar>
          </w:tcPr>
          <w:p>
            <w:r>
              <w:rPr>
                <w:b w:val="false"/>
                <w:bCs w:val="false"/>
                <w:color w:val="000000"/>
                <w:sz w:val="18"/>
                <w:szCs w:val="18"/>
              </w:rPr>
              <w:t xml:space="preserve">Source</w:t>
            </w:r>
          </w:p>
        </w:tc>
        <w:tc>
          <w:tcPr>
            <w:tcW w:type="dxa" w:w="2400"/>
            <w:tcMar>
              <w:top w:type="dxa" w:w="80"/>
              <w:left w:type="dxa" w:w="100"/>
              <w:bottom w:type="dxa" w:w="80"/>
              <w:right w:type="dxa" w:w="100"/>
            </w:tcMar>
          </w:tcPr>
          <w:p>
            <w:r>
              <w:rPr>
                <w:b w:val="false"/>
                <w:bCs w:val="false"/>
                <w:color w:val="000000"/>
                <w:sz w:val="18"/>
                <w:szCs w:val="18"/>
              </w:rPr>
              <w:t xml:space="preserve">Documentation Review</w:t>
            </w:r>
          </w:p>
        </w:tc>
        <w:tc>
          <w:tcPr>
            <w:tcW w:type="dxa" w:w="2200"/>
            <w:tcMar>
              <w:top w:type="dxa" w:w="80"/>
              <w:left w:type="dxa" w:w="100"/>
              <w:bottom w:type="dxa" w:w="80"/>
              <w:right w:type="dxa" w:w="100"/>
            </w:tcMar>
          </w:tcPr>
          <w:p>
            <w:r>
              <w:rPr>
                <w:b w:val="false"/>
                <w:bCs w:val="false"/>
                <w:color w:val="000000"/>
                <w:sz w:val="18"/>
                <w:szCs w:val="18"/>
              </w:rPr>
              <w:t xml:space="preserve">POA&amp;M ID</w:t>
            </w:r>
          </w:p>
        </w:tc>
        <w:tc>
          <w:tcPr>
            <w:tcW w:type="dxa" w:w="2550"/>
            <w:tcMar>
              <w:top w:type="dxa" w:w="80"/>
              <w:left w:type="dxa" w:w="100"/>
              <w:bottom w:type="dxa" w:w="80"/>
              <w:right w:type="dxa" w:w="100"/>
            </w:tcMar>
          </w:tcPr>
          <w:p>
            <w:r>
              <w:rPr>
                <w:b w:val="false"/>
                <w:bCs w:val="false"/>
                <w:color w:val="000000"/>
                <w:sz w:val="18"/>
                <w:szCs w:val="18"/>
              </w:rPr>
              <w:t xml:space="preserve">V-005</w:t>
            </w:r>
          </w:p>
        </w:tc>
      </w:tr>
    </w:tbl>
    <w:p>
      <w:pPr>
        <w:spacing w:after="60"/>
      </w:pPr>
    </w:p>
    <w:p>
      <w:pPr>
        <w:spacing w:after="120"/>
      </w:pPr>
      <w:r>
        <w:rPr>
          <w:b/>
          <w:bCs/>
        </w:rPr>
        <w:t xml:space="preserve">Condition. </w:t>
      </w:r>
      <w:r>
        <w:t xml:space="preserve">The documented weekly audit log review procedure could not be evidenced for a two-month period. Interviewed personnel stated that reviews occurred, but no artifact recorded the reviewer, date, scope, or outcome.</w:t>
      </w:r>
    </w:p>
    <w:p>
      <w:pPr>
        <w:spacing w:after="120"/>
      </w:pPr>
      <w:r>
        <w:rPr>
          <w:b/>
          <w:bCs/>
        </w:rPr>
        <w:t xml:space="preserve">Criteria. </w:t>
      </w:r>
      <w:r>
        <w:t xml:space="preserve">AU-6 requires review and analysis of audit records at an organization-defined frequency for indications of inappropriate or unusual activity, and reporting of findings. Assessment requires evidence that the activity occurred.</w:t>
      </w:r>
    </w:p>
    <w:p>
      <w:pPr>
        <w:spacing w:after="120"/>
      </w:pPr>
      <w:r>
        <w:rPr>
          <w:b/>
          <w:bCs/>
        </w:rPr>
        <w:t xml:space="preserve">Cause. </w:t>
      </w:r>
      <w:r>
        <w:t xml:space="preserve">The review process relied on an informal practice with no artifact-generating workflow. Absence of a record made the control unassessable regardless of whether the underlying activity was performed.</w:t>
      </w:r>
    </w:p>
    <w:p>
      <w:pPr>
        <w:spacing w:after="120"/>
      </w:pPr>
      <w:r>
        <w:rPr>
          <w:b/>
          <w:bCs/>
        </w:rPr>
        <w:t xml:space="preserve">Effect. </w:t>
      </w:r>
      <w:r>
        <w:t xml:space="preserve">The organization cannot demonstrate that audit records were reviewed during the affected period. Any anomalous activity present in logs during that window may have gone unexamined, and the control cannot be assessed as operating effectively.</w:t>
      </w:r>
    </w:p>
    <w:p>
      <w:pPr>
        <w:spacing w:after="120"/>
      </w:pPr>
      <w:r>
        <w:rPr>
          <w:b/>
          <w:bCs/>
        </w:rPr>
        <w:t xml:space="preserve">Evidence Reviewed. </w:t>
      </w:r>
      <w:r>
        <w:t xml:space="preserve">SIEM review documentation for the trailing six months; interview with the Security Operations Lead; SIEM saved-search and dashboard access logs.</w:t>
      </w:r>
    </w:p>
    <w:p>
      <w:pPr>
        <w:spacing w:after="120"/>
      </w:pPr>
      <w:r>
        <w:rPr>
          <w:b/>
          <w:bCs/>
        </w:rPr>
        <w:t xml:space="preserve">Recommendation. </w:t>
      </w:r>
      <w:r>
        <w:t xml:space="preserve">Implement a ticketed workflow that generates an auditable record for each weekly review capturing reviewer, date, scope, findings, and any escalations. Complete four consecutive evidenced review cycles before requesting closure.</w:t>
      </w:r>
    </w:p>
    <w:p>
      <w:pPr>
        <w:spacing w:after="120"/>
      </w:pPr>
      <w:r>
        <w:rPr>
          <w:b/>
          <w:bCs/>
        </w:rPr>
        <w:t xml:space="preserve">Management Response. </w:t>
      </w:r>
      <w:r>
        <w:t xml:space="preserve">Concur. Ticketed review workflow implemented by 2026-04-10, with four consecutive evidenced cycles completed by 2026-04-30. Tracked as POA&amp;M V-005. — Security Operations Lead</w:t>
      </w:r>
    </w:p>
    <w:p>
      <w:pPr>
        <w:pStyle w:val="Heading2"/>
        <w:spacing w:after="120" w:before="300"/>
      </w:pPr>
      <w:r>
        <w:rPr>
          <w:b/>
          <w:bCs/>
          <w:color w:val="1F3864"/>
        </w:rPr>
        <w:t xml:space="preserve">FIND-008 — Late Submission of Continuous Monitoring Deliverables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550"/>
      </w:tblGrid>
      <w:tr>
        <w:tc>
          <w:tcPr>
            <w:tcW w:type="dxa" w:w="2200"/>
            <w:tcMar>
              <w:top w:type="dxa" w:w="80"/>
              <w:left w:type="dxa" w:w="100"/>
              <w:bottom w:type="dxa" w:w="80"/>
              <w:right w:type="dxa" w:w="100"/>
            </w:tcMar>
          </w:tcPr>
          <w:p>
            <w:r>
              <w:rPr>
                <w:b w:val="false"/>
                <w:bCs w:val="false"/>
                <w:color w:val="000000"/>
                <w:sz w:val="18"/>
                <w:szCs w:val="18"/>
              </w:rPr>
              <w:t xml:space="preserve">Risk Rating</w:t>
            </w:r>
          </w:p>
        </w:tc>
        <w:tc>
          <w:tcPr>
            <w:tcW w:type="dxa" w:w="2400"/>
            <w:tcMar>
              <w:top w:type="dxa" w:w="80"/>
              <w:left w:type="dxa" w:w="100"/>
              <w:bottom w:type="dxa" w:w="80"/>
              <w:right w:type="dxa" w:w="100"/>
            </w:tcMar>
          </w:tcPr>
          <w:p>
            <w:r>
              <w:rPr>
                <w:b w:val="false"/>
                <w:bCs w:val="false"/>
                <w:color w:val="000000"/>
                <w:sz w:val="18"/>
                <w:szCs w:val="18"/>
              </w:rPr>
              <w:t xml:space="preserve">Low</w:t>
            </w:r>
          </w:p>
        </w:tc>
        <w:tc>
          <w:tcPr>
            <w:tcW w:type="dxa" w:w="2200"/>
            <w:tcMar>
              <w:top w:type="dxa" w:w="80"/>
              <w:left w:type="dxa" w:w="100"/>
              <w:bottom w:type="dxa" w:w="80"/>
              <w:right w:type="dxa" w:w="100"/>
            </w:tcMar>
          </w:tcPr>
          <w:p>
            <w:r>
              <w:rPr>
                <w:b w:val="false"/>
                <w:bCs w:val="false"/>
                <w:color w:val="000000"/>
                <w:sz w:val="18"/>
                <w:szCs w:val="18"/>
              </w:rPr>
              <w:t xml:space="preserve">Affected Control(s)</w:t>
            </w:r>
          </w:p>
        </w:tc>
        <w:tc>
          <w:tcPr>
            <w:tcW w:type="dxa" w:w="2550"/>
            <w:tcMar>
              <w:top w:type="dxa" w:w="80"/>
              <w:left w:type="dxa" w:w="100"/>
              <w:bottom w:type="dxa" w:w="80"/>
              <w:right w:type="dxa" w:w="100"/>
            </w:tcMar>
          </w:tcPr>
          <w:p>
            <w:r>
              <w:rPr>
                <w:b w:val="false"/>
                <w:bCs w:val="false"/>
                <w:color w:val="000000"/>
                <w:sz w:val="18"/>
                <w:szCs w:val="18"/>
              </w:rPr>
              <w:t xml:space="preserve">CA-7</w:t>
            </w:r>
          </w:p>
        </w:tc>
      </w:tr>
      <w:tr>
        <w:tc>
          <w:tcPr>
            <w:tcW w:type="dxa" w:w="2200"/>
            <w:tcMar>
              <w:top w:type="dxa" w:w="80"/>
              <w:left w:type="dxa" w:w="100"/>
              <w:bottom w:type="dxa" w:w="80"/>
              <w:right w:type="dxa" w:w="100"/>
            </w:tcMar>
          </w:tcPr>
          <w:p>
            <w:r>
              <w:rPr>
                <w:b w:val="false"/>
                <w:bCs w:val="false"/>
                <w:color w:val="000000"/>
                <w:sz w:val="18"/>
                <w:szCs w:val="18"/>
              </w:rPr>
              <w:t xml:space="preserve">Source</w:t>
            </w:r>
          </w:p>
        </w:tc>
        <w:tc>
          <w:tcPr>
            <w:tcW w:type="dxa" w:w="2400"/>
            <w:tcMar>
              <w:top w:type="dxa" w:w="80"/>
              <w:left w:type="dxa" w:w="100"/>
              <w:bottom w:type="dxa" w:w="80"/>
              <w:right w:type="dxa" w:w="100"/>
            </w:tcMar>
          </w:tcPr>
          <w:p>
            <w:r>
              <w:rPr>
                <w:b w:val="false"/>
                <w:bCs w:val="false"/>
                <w:color w:val="000000"/>
                <w:sz w:val="18"/>
                <w:szCs w:val="18"/>
              </w:rPr>
              <w:t xml:space="preserve">FedRAMP ConMon Review</w:t>
            </w:r>
          </w:p>
        </w:tc>
        <w:tc>
          <w:tcPr>
            <w:tcW w:type="dxa" w:w="2200"/>
            <w:tcMar>
              <w:top w:type="dxa" w:w="80"/>
              <w:left w:type="dxa" w:w="100"/>
              <w:bottom w:type="dxa" w:w="80"/>
              <w:right w:type="dxa" w:w="100"/>
            </w:tcMar>
          </w:tcPr>
          <w:p>
            <w:r>
              <w:rPr>
                <w:b w:val="false"/>
                <w:bCs w:val="false"/>
                <w:color w:val="000000"/>
                <w:sz w:val="18"/>
                <w:szCs w:val="18"/>
              </w:rPr>
              <w:t xml:space="preserve">POA&amp;M ID</w:t>
            </w:r>
          </w:p>
        </w:tc>
        <w:tc>
          <w:tcPr>
            <w:tcW w:type="dxa" w:w="2550"/>
            <w:tcMar>
              <w:top w:type="dxa" w:w="80"/>
              <w:left w:type="dxa" w:w="100"/>
              <w:bottom w:type="dxa" w:w="80"/>
              <w:right w:type="dxa" w:w="100"/>
            </w:tcMar>
          </w:tcPr>
          <w:p>
            <w:r>
              <w:rPr>
                <w:b w:val="false"/>
                <w:bCs w:val="false"/>
                <w:color w:val="000000"/>
                <w:sz w:val="18"/>
                <w:szCs w:val="18"/>
              </w:rPr>
              <w:t xml:space="preserve">V-007</w:t>
            </w:r>
          </w:p>
        </w:tc>
      </w:tr>
    </w:tbl>
    <w:p>
      <w:pPr>
        <w:spacing w:after="60"/>
      </w:pPr>
    </w:p>
    <w:p>
      <w:pPr>
        <w:spacing w:after="120"/>
      </w:pPr>
      <w:r>
        <w:rPr>
          <w:b/>
          <w:bCs/>
        </w:rPr>
        <w:t xml:space="preserve">Condition. </w:t>
      </w:r>
      <w:r>
        <w:t xml:space="preserve">Monthly continuous monitoring deliverables were submitted after the required deadline in two of the last six reporting cycles, by four and seven business days respectively.</w:t>
      </w:r>
    </w:p>
    <w:p>
      <w:pPr>
        <w:spacing w:after="120"/>
      </w:pPr>
      <w:r>
        <w:rPr>
          <w:b/>
          <w:bCs/>
        </w:rPr>
        <w:t xml:space="preserve">Criteria. </w:t>
      </w:r>
      <w:r>
        <w:t xml:space="preserve">CA-7 requires a continuous monitoring strategy including reporting of the security posture at an organization-defined frequency. FedRAMP requires monthly ConMon deliverables by a defined submission date.</w:t>
      </w:r>
    </w:p>
    <w:p>
      <w:pPr>
        <w:spacing w:after="120"/>
      </w:pPr>
      <w:r>
        <w:rPr>
          <w:b/>
          <w:bCs/>
        </w:rPr>
        <w:t xml:space="preserve">Cause. </w:t>
      </w:r>
      <w:r>
        <w:t xml:space="preserve">Deliverable assembly is a manual process performed by a single individual with no designated backup. Both late submissions coincided with that individual's planned absence.</w:t>
      </w:r>
    </w:p>
    <w:p>
      <w:pPr>
        <w:spacing w:after="120"/>
      </w:pPr>
      <w:r>
        <w:rPr>
          <w:b/>
          <w:bCs/>
        </w:rPr>
        <w:t xml:space="preserve">Effect. </w:t>
      </w:r>
      <w:r>
        <w:t xml:space="preserve">Late submissions reduce the Authorizing Official's visibility into current system risk posture and, if sustained, may be treated as a condition affecting the system's continued authorization.</w:t>
      </w:r>
    </w:p>
    <w:p>
      <w:pPr>
        <w:spacing w:after="120"/>
      </w:pPr>
      <w:r>
        <w:rPr>
          <w:b/>
          <w:bCs/>
        </w:rPr>
        <w:t xml:space="preserve">Evidence Reviewed. </w:t>
      </w:r>
      <w:r>
        <w:t xml:space="preserve">ConMon submission records for the trailing six months; deliverable assembly procedure documentation; interview with the ISSO.</w:t>
      </w:r>
    </w:p>
    <w:p>
      <w:pPr>
        <w:spacing w:after="120"/>
      </w:pPr>
      <w:r>
        <w:rPr>
          <w:b/>
          <w:bCs/>
        </w:rPr>
        <w:t xml:space="preserve">Recommendation. </w:t>
      </w:r>
      <w:r>
        <w:t xml:space="preserve">Automate assembly of the ConMon deliverable package, establish an internal deadline five business days ahead of the external due date, and designate and train a documented backup submitter.</w:t>
      </w:r>
    </w:p>
    <w:p>
      <w:pPr>
        <w:spacing w:after="120"/>
      </w:pPr>
      <w:r>
        <w:rPr>
          <w:b/>
          <w:bCs/>
        </w:rPr>
        <w:t xml:space="preserve">Management Response. </w:t>
      </w:r>
      <w:r>
        <w:t xml:space="preserve">Concur. Automated package generation by 2026-05-01; internal deadline and backup owner established by 2026-05-15; two consecutive on-time cycles demonstrated by 2026-05-31. Tracked as POA&amp;M V-007. — ISSO</w:t>
      </w:r>
    </w:p>
    <w:p>
      <w:pPr>
        <w:pStyle w:val="Heading1"/>
        <w:spacing w:after="160" w:before="320"/>
      </w:pPr>
      <w:r>
        <w:rPr>
          <w:b/>
          <w:bCs/>
          <w:color w:val="1F3864"/>
        </w:rPr>
        <w:t xml:space="preserve">5. Recommended Authorization Decision</w:t>
      </w:r>
    </w:p>
    <w:p>
      <w:pPr>
        <w:spacing w:after="160"/>
      </w:pPr>
      <w:r>
        <w:t xml:space="preserve">The assessment team recommends that the Authorizing Official grant an Authority to Operate for the GrantBridge Grants Management Platform, conditioned on the following:</w:t>
      </w:r>
    </w:p>
    <w:p>
      <w:pPr>
        <w:pStyle w:val="ListParagraph"/>
        <w:numPr>
          <w:ilvl w:val="0"/>
          <w:numId w:val="2"/>
        </w:numPr>
        <w:spacing w:after="80"/>
      </w:pPr>
      <w:r>
        <w:t xml:space="preserve">Completion of POA&amp;M items V-001 and V-008, corresponding to the two High-risk findings, within their committed remediation dates, with evidence validated by the ISSO.</w:t>
      </w:r>
    </w:p>
    <w:p>
      <w:pPr>
        <w:pStyle w:val="ListParagraph"/>
        <w:numPr>
          <w:ilvl w:val="0"/>
          <w:numId w:val="2"/>
        </w:numPr>
        <w:spacing w:after="80"/>
      </w:pPr>
      <w:r>
        <w:t xml:space="preserve">Submission of monthly continuous monitoring deliverables demonstrating measurable progress against all open POA&amp;M items.</w:t>
      </w:r>
    </w:p>
    <w:p>
      <w:pPr>
        <w:pStyle w:val="ListParagraph"/>
        <w:numPr>
          <w:ilvl w:val="0"/>
          <w:numId w:val="2"/>
        </w:numPr>
        <w:spacing w:after="80"/>
      </w:pPr>
      <w:r>
        <w:t xml:space="preserve">Notification to the Authorizing Official if any High-risk POA&amp;M item milestone date is missed, accompanied by a revised plan or a formal deviation request.</w:t>
      </w:r>
    </w:p>
    <w:p>
      <w:pPr>
        <w:spacing w:after="160"/>
      </w:pPr>
      <w:r>
        <w:t xml:space="preserve">This recommendation reflects the assessment team's determination that the identified deficiencies are process and enforcement gaps rather than architectural weaknesses, that the underlying security architecture is sound, and that management has demonstrated both accurate self-identification of issues and credible remediation planning.</w:t>
      </w:r>
    </w:p>
    <w:p>
      <w:pPr>
        <w:pStyle w:val="Heading1"/>
        <w:spacing w:after="160" w:before="320"/>
      </w:pPr>
      <w:r>
        <w:rPr>
          <w:b/>
          <w:bCs/>
          <w:color w:val="1F3864"/>
        </w:rPr>
        <w:t xml:space="preserve">6. Assessment Team and Attestation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tcW w:type="dxa" w:w="3000"/>
            <w:shd w:fill="1F3864" w:val="clear"/>
            <w:tcMar>
              <w:top w:type="dxa" w:w="80"/>
              <w:left w:type="dxa" w:w="100"/>
              <w:bottom w:type="dxa" w:w="80"/>
              <w:right w:type="dxa" w:w="100"/>
            </w:tcMar>
          </w:tcPr>
          <w:p>
            <w:r>
              <w:rPr>
                <w:b/>
                <w:bCs/>
                <w:color w:val="FFFFFF"/>
                <w:sz w:val="18"/>
                <w:szCs w:val="18"/>
              </w:rPr>
              <w:t xml:space="preserve">Role</w:t>
            </w:r>
          </w:p>
        </w:tc>
        <w:tc>
          <w:tcPr>
            <w:tcW w:type="dxa" w:w="6350"/>
            <w:shd w:fill="1F3864" w:val="clear"/>
            <w:tcMar>
              <w:top w:type="dxa" w:w="80"/>
              <w:left w:type="dxa" w:w="100"/>
              <w:bottom w:type="dxa" w:w="80"/>
              <w:right w:type="dxa" w:w="100"/>
            </w:tcMar>
          </w:tcPr>
          <w:p>
            <w:r>
              <w:rPr>
                <w:b/>
                <w:bCs/>
                <w:color w:val="FFFFFF"/>
                <w:sz w:val="18"/>
                <w:szCs w:val="18"/>
              </w:rPr>
              <w:t xml:space="preserve">Assigned</w:t>
            </w:r>
          </w:p>
        </w:tc>
      </w:tr>
      <w:tr>
        <w:tc>
          <w:tcPr>
            <w:tcW w:type="dxa" w:w="3000"/>
            <w:tcMar>
              <w:top w:type="dxa" w:w="80"/>
              <w:left w:type="dxa" w:w="100"/>
              <w:bottom w:type="dxa" w:w="80"/>
              <w:right w:type="dxa" w:w="100"/>
            </w:tcMar>
          </w:tcPr>
          <w:p>
            <w:r>
              <w:rPr>
                <w:b w:val="false"/>
                <w:bCs w:val="false"/>
                <w:color w:val="000000"/>
                <w:sz w:val="18"/>
                <w:szCs w:val="18"/>
              </w:rPr>
              <w:t xml:space="preserve">Lead Assessor</w:t>
            </w:r>
          </w:p>
        </w:tc>
        <w:tc>
          <w:tcPr>
            <w:tcW w:type="dxa" w:w="6350"/>
            <w:tcMar>
              <w:top w:type="dxa" w:w="80"/>
              <w:left w:type="dxa" w:w="100"/>
              <w:bottom w:type="dxa" w:w="80"/>
              <w:right w:type="dxa" w:w="100"/>
            </w:tcMar>
          </w:tcPr>
          <w:p>
            <w:r>
              <w:rPr>
                <w:b w:val="false"/>
                <w:bCs w:val="false"/>
                <w:color w:val="000000"/>
                <w:sz w:val="18"/>
                <w:szCs w:val="18"/>
              </w:rPr>
              <w:t xml:space="preserve">Independent Third-Party Assessment Organization (A2LA-accredited)</w:t>
            </w:r>
          </w:p>
        </w:tc>
      </w:tr>
      <w:tr>
        <w:tc>
          <w:tcPr>
            <w:tcW w:type="dxa" w:w="3000"/>
            <w:tcMar>
              <w:top w:type="dxa" w:w="80"/>
              <w:left w:type="dxa" w:w="100"/>
              <w:bottom w:type="dxa" w:w="80"/>
              <w:right w:type="dxa" w:w="100"/>
            </w:tcMar>
          </w:tcPr>
          <w:p>
            <w:r>
              <w:rPr>
                <w:b w:val="false"/>
                <w:bCs w:val="false"/>
                <w:color w:val="000000"/>
                <w:sz w:val="18"/>
                <w:szCs w:val="18"/>
              </w:rPr>
              <w:t xml:space="preserve">Technical Assessor</w:t>
            </w:r>
          </w:p>
        </w:tc>
        <w:tc>
          <w:tcPr>
            <w:tcW w:type="dxa" w:w="6350"/>
            <w:tcMar>
              <w:top w:type="dxa" w:w="80"/>
              <w:left w:type="dxa" w:w="100"/>
              <w:bottom w:type="dxa" w:w="80"/>
              <w:right w:type="dxa" w:w="100"/>
            </w:tcMar>
          </w:tcPr>
          <w:p>
            <w:r>
              <w:rPr>
                <w:b w:val="false"/>
                <w:bCs w:val="false"/>
                <w:color w:val="000000"/>
                <w:sz w:val="18"/>
                <w:szCs w:val="18"/>
              </w:rPr>
              <w:t xml:space="preserve">3PAO technical testing team</w:t>
            </w:r>
          </w:p>
        </w:tc>
      </w:tr>
      <w:tr>
        <w:tc>
          <w:tcPr>
            <w:tcW w:type="dxa" w:w="3000"/>
            <w:tcMar>
              <w:top w:type="dxa" w:w="80"/>
              <w:left w:type="dxa" w:w="100"/>
              <w:bottom w:type="dxa" w:w="80"/>
              <w:right w:type="dxa" w:w="100"/>
            </w:tcMar>
          </w:tcPr>
          <w:p>
            <w:r>
              <w:rPr>
                <w:b w:val="false"/>
                <w:bCs w:val="false"/>
                <w:color w:val="000000"/>
                <w:sz w:val="18"/>
                <w:szCs w:val="18"/>
              </w:rPr>
              <w:t xml:space="preserve">Organizational Point of Contact</w:t>
            </w:r>
          </w:p>
        </w:tc>
        <w:tc>
          <w:tcPr>
            <w:tcW w:type="dxa" w:w="6350"/>
            <w:tcMar>
              <w:top w:type="dxa" w:w="80"/>
              <w:left w:type="dxa" w:w="100"/>
              <w:bottom w:type="dxa" w:w="80"/>
              <w:right w:type="dxa" w:w="100"/>
            </w:tcMar>
          </w:tcPr>
          <w:p>
            <w:r>
              <w:rPr>
                <w:b w:val="false"/>
                <w:bCs w:val="false"/>
                <w:color w:val="000000"/>
                <w:sz w:val="18"/>
                <w:szCs w:val="18"/>
              </w:rPr>
              <w:t xml:space="preserve">Chris Morrissey, ISSO, Cascade Civic Systems</w:t>
            </w:r>
          </w:p>
        </w:tc>
      </w:tr>
      <w:tr>
        <w:tc>
          <w:tcPr>
            <w:tcW w:type="dxa" w:w="3000"/>
            <w:tcMar>
              <w:top w:type="dxa" w:w="80"/>
              <w:left w:type="dxa" w:w="100"/>
              <w:bottom w:type="dxa" w:w="80"/>
              <w:right w:type="dxa" w:w="100"/>
            </w:tcMar>
          </w:tcPr>
          <w:p>
            <w:r>
              <w:rPr>
                <w:b w:val="false"/>
                <w:bCs w:val="false"/>
                <w:color w:val="000000"/>
                <w:sz w:val="18"/>
                <w:szCs w:val="18"/>
              </w:rPr>
              <w:t xml:space="preserve">Assessment Period</w:t>
            </w:r>
          </w:p>
        </w:tc>
        <w:tc>
          <w:tcPr>
            <w:tcW w:type="dxa" w:w="6350"/>
            <w:tcMar>
              <w:top w:type="dxa" w:w="80"/>
              <w:left w:type="dxa" w:w="100"/>
              <w:bottom w:type="dxa" w:w="80"/>
              <w:right w:type="dxa" w:w="100"/>
            </w:tcMar>
          </w:tcPr>
          <w:p>
            <w:r>
              <w:rPr>
                <w:b w:val="false"/>
                <w:bCs w:val="false"/>
                <w:color w:val="000000"/>
                <w:sz w:val="18"/>
                <w:szCs w:val="18"/>
              </w:rPr>
              <w:t xml:space="preserve">2026-01-12 through 2026-02-27</w:t>
            </w:r>
          </w:p>
        </w:tc>
      </w:tr>
      <w:tr>
        <w:tc>
          <w:tcPr>
            <w:tcW w:type="dxa" w:w="3000"/>
            <w:tcMar>
              <w:top w:type="dxa" w:w="80"/>
              <w:left w:type="dxa" w:w="100"/>
              <w:bottom w:type="dxa" w:w="80"/>
              <w:right w:type="dxa" w:w="100"/>
            </w:tcMar>
          </w:tcPr>
          <w:p>
            <w:r>
              <w:rPr>
                <w:b w:val="false"/>
                <w:bCs w:val="false"/>
                <w:color w:val="000000"/>
                <w:sz w:val="18"/>
                <w:szCs w:val="18"/>
              </w:rPr>
              <w:t xml:space="preserve">Report Date</w:t>
            </w:r>
          </w:p>
        </w:tc>
        <w:tc>
          <w:tcPr>
            <w:tcW w:type="dxa" w:w="6350"/>
            <w:tcMar>
              <w:top w:type="dxa" w:w="80"/>
              <w:left w:type="dxa" w:w="100"/>
              <w:bottom w:type="dxa" w:w="80"/>
              <w:right w:type="dxa" w:w="100"/>
            </w:tcMar>
          </w:tcPr>
          <w:p>
            <w:r>
              <w:rPr>
                <w:b w:val="false"/>
                <w:bCs w:val="false"/>
                <w:color w:val="000000"/>
                <w:sz w:val="18"/>
                <w:szCs w:val="18"/>
              </w:rPr>
              <w:t xml:space="preserve">2026-03-06</w:t>
            </w:r>
          </w:p>
        </w:tc>
      </w:tr>
    </w:tbl>
    <w:p>
      <w:pPr>
        <w:spacing w:after="160"/>
      </w:pPr>
      <w:r>
        <w:t xml:space="preserve">This report presents the results of an independent assessment conducted in accordance with NIST SP 800-53A Rev. 5 and applicable FedRAMP assessment requirements. Findings reflect the state of the system during the assessment period and do not constitute a guarantee of security or a warranty of future control effectiveness.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Controlled Unclassified Information (CUI)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GrantBridge Platform — Security Assessment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2026-08-13T15:16:47.821Z</dcterms:created>
  <dcterms:modified xsi:type="dcterms:W3CDTF">2026-08-13T15:16:47.821Z</dcterms:modified>
</cp:coreProperties>
</file>

<file path=docProps/custom.xml><?xml version="1.0" encoding="utf-8"?>
<Properties xmlns="http://schemas.openxmlformats.org/officeDocument/2006/custom-properties" xmlns:vt="http://schemas.openxmlformats.org/officeDocument/2006/docPropsVTypes"/>
</file>