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w:cs="Calibri" w:eastAsia="Calibri" w:hAnsi="Calibri"/>
          <w:b/>
          <w:bCs/>
          <w:color w:val="B91C1C"/>
          <w:spacing w:val="80"/>
          <w:sz w:val="24"/>
          <w:szCs w:val="24"/>
        </w:rPr>
        <w:t xml:space="preserve">LITERATURE REVIEW</w:t>
      </w:r>
    </w:p>
    <w:p>
      <w:pPr>
        <w:spacing w:after="60" w:before="0"/>
        <w:jc w:val="center"/>
      </w:pPr>
      <w:r>
        <w:rPr>
          <w:rFonts w:ascii="Calibri" w:cs="Calibri" w:eastAsia="Calibri" w:hAnsi="Calibri"/>
          <w:b/>
          <w:bCs/>
          <w:color w:val="1F3A5F"/>
          <w:sz w:val="44"/>
          <w:szCs w:val="44"/>
        </w:rPr>
        <w:t xml:space="preserve">Small Language Models and Parameter-Efficient</w:t>
      </w:r>
    </w:p>
    <w:p>
      <w:pPr>
        <w:spacing w:after="60" w:before="0"/>
        <w:jc w:val="center"/>
      </w:pPr>
      <w:r>
        <w:rPr>
          <w:rFonts w:ascii="Calibri" w:cs="Calibri" w:eastAsia="Calibri" w:hAnsi="Calibri"/>
          <w:b/>
          <w:bCs/>
          <w:color w:val="1F3A5F"/>
          <w:sz w:val="44"/>
          <w:szCs w:val="44"/>
        </w:rPr>
        <w:t xml:space="preserve">Fine-Tuning for Cross-System</w:t>
      </w:r>
    </w:p>
    <w:p>
      <w:pPr>
        <w:spacing w:after="360" w:before="0"/>
        <w:jc w:val="center"/>
      </w:pPr>
      <w:r>
        <w:rPr>
          <w:rFonts w:ascii="Calibri" w:cs="Calibri" w:eastAsia="Calibri" w:hAnsi="Calibri"/>
          <w:b/>
          <w:bCs/>
          <w:color w:val="1F3A5F"/>
          <w:sz w:val="44"/>
          <w:szCs w:val="44"/>
        </w:rPr>
        <w:t xml:space="preserve">Log Anomaly Detection</w:t>
      </w:r>
    </w:p>
    <w:p>
      <w:pPr>
        <w:spacing w:after="360" w:before="120"/>
        <w:jc w:val="center"/>
      </w:pPr>
      <w:r>
        <w:rPr>
          <w:rFonts w:ascii="Calibri" w:cs="Calibri" w:eastAsia="Calibri" w:hAnsi="Calibri"/>
          <w:color w:val="B91C1C"/>
          <w:sz w:val="28"/>
          <w:szCs w:val="28"/>
        </w:rPr>
        <w:t xml:space="preserve">❖   ❖   ❖</w:t>
      </w:r>
    </w:p>
    <w:p>
      <w:pPr>
        <w:spacing w:after="120" w:before="120"/>
        <w:jc w:val="center"/>
      </w:pPr>
      <w:r>
        <w:rPr>
          <w:rFonts w:ascii="Calibri" w:cs="Calibri" w:eastAsia="Calibri" w:hAnsi="Calibri"/>
          <w:i/>
          <w:iCs/>
          <w:color w:val="6B7280"/>
          <w:sz w:val="24"/>
          <w:szCs w:val="24"/>
        </w:rPr>
        <w:t xml:space="preserve">A focused review of 25 papers spanning foundational baselines</w:t>
      </w:r>
    </w:p>
    <w:p>
      <w:pPr>
        <w:spacing w:after="120" w:before="0"/>
        <w:jc w:val="center"/>
      </w:pPr>
      <w:r>
        <w:rPr>
          <w:rFonts w:ascii="Calibri" w:cs="Calibri" w:eastAsia="Calibri" w:hAnsi="Calibri"/>
          <w:i/>
          <w:iCs/>
          <w:color w:val="6B7280"/>
          <w:sz w:val="24"/>
          <w:szCs w:val="24"/>
        </w:rPr>
        <w:t xml:space="preserve">and the recent wave of language-model-based log anomaly detection</w:t>
      </w:r>
    </w:p>
    <w:p>
      <w:pPr>
        <w:spacing w:before="480"/>
      </w:pPr>
      <w:r>
        <w:t xml:space="preserve"/>
      </w:r>
    </w:p>
    <w:tbl>
      <w:tblPr>
        <w:tblW w:type="dxa" w:w="8000"/>
        <w:jc w:val="center"/>
        <w:tblBorders>
          <w:top w:val="double" w:color="1F3A5F" w:sz="6"/>
          <w:left w:val="none" w:color="FFFFFF" w:sz="0"/>
          <w:bottom w:val="double" w:color="1F3A5F" w:sz="6"/>
          <w:right w:val="none" w:color="FFFFFF" w:sz="0"/>
          <w:insideH w:val="none" w:color="FFFFFF" w:sz="0"/>
          <w:insideV w:val="none" w:color="FFFFFF" w:sz="0"/>
        </w:tblBorders>
      </w:tblPr>
      <w:tblGrid>
        <w:gridCol w:w="8000"/>
      </w:tblGrid>
      <w:tr>
        <w:tc>
          <w:tcPr>
            <w:tcW w:type="dxa" w:w="8000"/>
            <w:shd w:fill="F9FAFB" w:val="clear"/>
            <w:tcMar>
              <w:top w:type="dxa" w:w="240"/>
              <w:left w:type="dxa" w:w="360"/>
              <w:bottom w:type="dxa" w:w="240"/>
              <w:right w:type="dxa" w:w="360"/>
            </w:tcMar>
          </w:tcPr>
          <w:p>
            <w:pPr>
              <w:spacing w:after="120"/>
              <w:jc w:val="center"/>
            </w:pPr>
            <w:r>
              <w:rPr>
                <w:rFonts w:ascii="Calibri" w:cs="Calibri" w:eastAsia="Calibri" w:hAnsi="Calibri"/>
                <w:b/>
                <w:bCs/>
                <w:color w:val="B91C1C"/>
                <w:spacing w:val="60"/>
                <w:sz w:val="18"/>
                <w:szCs w:val="18"/>
              </w:rPr>
              <w:t xml:space="preserve">RESEARCH SCOPE</w:t>
            </w:r>
          </w:p>
          <w:p>
            <w:pPr>
              <w:spacing w:after="80" w:line="320"/>
              <w:jc w:val="center"/>
            </w:pPr>
            <w:r>
              <w:rPr>
                <w:rFonts w:ascii="Calibri" w:cs="Calibri" w:eastAsia="Calibri" w:hAnsi="Calibri"/>
                <w:color w:val="1F2937"/>
                <w:sz w:val="22"/>
                <w:szCs w:val="22"/>
              </w:rPr>
              <w:t xml:space="preserve">Three intersecting threads that matter for a Q1 journal contribution:</w:t>
            </w:r>
          </w:p>
          <w:p>
            <w:pPr>
              <w:spacing w:after="40"/>
              <w:jc w:val="center"/>
            </w:pPr>
            <w:r>
              <w:rPr>
                <w:rFonts w:ascii="Calibri" w:cs="Calibri" w:eastAsia="Calibri" w:hAnsi="Calibri"/>
                <w:b/>
                <w:bCs/>
                <w:color w:val="B91C1C"/>
                <w:sz w:val="24"/>
                <w:szCs w:val="24"/>
              </w:rPr>
              <w:t xml:space="preserve">①  </w:t>
            </w:r>
            <w:r>
              <w:rPr>
                <w:rFonts w:ascii="Calibri" w:cs="Calibri" w:eastAsia="Calibri" w:hAnsi="Calibri"/>
                <w:color w:val="1F2937"/>
                <w:sz w:val="22"/>
                <w:szCs w:val="22"/>
              </w:rPr>
              <w:t xml:space="preserve">Small (≤8B) language models for logs</w:t>
            </w:r>
          </w:p>
          <w:p>
            <w:pPr>
              <w:spacing w:after="40"/>
              <w:jc w:val="center"/>
            </w:pPr>
            <w:r>
              <w:rPr>
                <w:rFonts w:ascii="Calibri" w:cs="Calibri" w:eastAsia="Calibri" w:hAnsi="Calibri"/>
                <w:b/>
                <w:bCs/>
                <w:color w:val="B91C1C"/>
                <w:sz w:val="24"/>
                <w:szCs w:val="24"/>
              </w:rPr>
              <w:t xml:space="preserve">②  </w:t>
            </w:r>
            <w:r>
              <w:rPr>
                <w:rFonts w:ascii="Calibri" w:cs="Calibri" w:eastAsia="Calibri" w:hAnsi="Calibri"/>
                <w:color w:val="1F2937"/>
                <w:sz w:val="22"/>
                <w:szCs w:val="22"/>
              </w:rPr>
              <w:t xml:space="preserve">Parameter-efficient fine-tuning (LoRA / QLoRA / adapters)</w:t>
            </w:r>
          </w:p>
          <w:p>
            <w:pPr>
              <w:spacing w:after="0"/>
              <w:jc w:val="center"/>
            </w:pPr>
            <w:r>
              <w:rPr>
                <w:rFonts w:ascii="Calibri" w:cs="Calibri" w:eastAsia="Calibri" w:hAnsi="Calibri"/>
                <w:b/>
                <w:bCs/>
                <w:color w:val="B91C1C"/>
                <w:sz w:val="24"/>
                <w:szCs w:val="24"/>
              </w:rPr>
              <w:t xml:space="preserve">③  </w:t>
            </w:r>
            <w:r>
              <w:rPr>
                <w:rFonts w:ascii="Calibri" w:cs="Calibri" w:eastAsia="Calibri" w:hAnsi="Calibri"/>
                <w:color w:val="1F2937"/>
                <w:sz w:val="22"/>
                <w:szCs w:val="22"/>
              </w:rPr>
              <w:t xml:space="preserve">Cross-system generalization (HDFS / BGL / Thunderbird / OpenStack)</w:t>
            </w:r>
          </w:p>
        </w:tc>
      </w:tr>
    </w:tbl>
    <w:p>
      <w:r>
        <w:br w:type="page"/>
      </w:r>
    </w:p>
    <w:p>
      <w:pPr>
        <w:pStyle w:val="Heading1"/>
        <w:spacing w:after="240" w:before="480"/>
      </w:pPr>
      <w:r>
        <w:rPr>
          <w:rFonts w:ascii="Calibri" w:cs="Calibri" w:eastAsia="Calibri" w:hAnsi="Calibri"/>
          <w:b/>
          <w:bCs/>
          <w:color w:val="1F3A5F"/>
          <w:sz w:val="36"/>
          <w:szCs w:val="36"/>
        </w:rPr>
        <w:t xml:space="preserve">Table of Contents</w:t>
      </w:r>
    </w:p>
    <w:p>
      <w:pPr>
        <w:spacing w:after="60" w:before="60"/>
        <w:ind w:left="0"/>
      </w:pPr>
      <w:r>
        <w:rPr>
          <w:rFonts w:ascii="Calibri" w:cs="Calibri" w:eastAsia="Calibri" w:hAnsi="Calibri"/>
          <w:b/>
          <w:bCs/>
          <w:color w:val="B91C1C"/>
          <w:sz w:val="22"/>
          <w:szCs w:val="22"/>
        </w:rPr>
        <w:t xml:space="preserve">1.</w:t>
      </w:r>
      <w:r>
        <w:rPr>
          <w:rFonts w:ascii="Calibri" w:cs="Calibri" w:eastAsia="Calibri" w:hAnsi="Calibri"/>
          <w:sz w:val="22"/>
          <w:szCs w:val="22"/>
        </w:rPr>
        <w:t xml:space="preserve">    </w:t>
      </w:r>
      <w:r>
        <w:rPr>
          <w:rFonts w:ascii="Calibri" w:cs="Calibri" w:eastAsia="Calibri" w:hAnsi="Calibri"/>
          <w:color w:val="1F2937"/>
          <w:sz w:val="22"/>
          <w:szCs w:val="22"/>
        </w:rPr>
        <w:t xml:space="preserve">Introduction</w:t>
      </w:r>
    </w:p>
    <w:p>
      <w:pPr>
        <w:spacing w:after="60" w:before="60"/>
        <w:ind w:left="0"/>
      </w:pPr>
      <w:r>
        <w:rPr>
          <w:rFonts w:ascii="Calibri" w:cs="Calibri" w:eastAsia="Calibri" w:hAnsi="Calibri"/>
          <w:b/>
          <w:bCs/>
          <w:color w:val="B91C1C"/>
          <w:sz w:val="22"/>
          <w:szCs w:val="22"/>
        </w:rPr>
        <w:t xml:space="preserve">2.</w:t>
      </w:r>
      <w:r>
        <w:rPr>
          <w:rFonts w:ascii="Calibri" w:cs="Calibri" w:eastAsia="Calibri" w:hAnsi="Calibri"/>
          <w:sz w:val="22"/>
          <w:szCs w:val="22"/>
        </w:rPr>
        <w:t xml:space="preserve">    </w:t>
      </w:r>
      <w:r>
        <w:rPr>
          <w:rFonts w:ascii="Calibri" w:cs="Calibri" w:eastAsia="Calibri" w:hAnsi="Calibri"/>
          <w:color w:val="1F2937"/>
          <w:sz w:val="22"/>
          <w:szCs w:val="22"/>
        </w:rPr>
        <w:t xml:space="preserve">Methodological Note on Abstracts</w:t>
      </w:r>
    </w:p>
    <w:p>
      <w:pPr>
        <w:spacing w:after="60" w:before="60"/>
        <w:ind w:left="0"/>
      </w:pPr>
      <w:r>
        <w:rPr>
          <w:rFonts w:ascii="Calibri" w:cs="Calibri" w:eastAsia="Calibri" w:hAnsi="Calibri"/>
          <w:b/>
          <w:bCs/>
          <w:color w:val="B91C1C"/>
          <w:sz w:val="22"/>
          <w:szCs w:val="22"/>
        </w:rPr>
        <w:t xml:space="preserve">Section A.</w:t>
      </w:r>
      <w:r>
        <w:rPr>
          <w:rFonts w:ascii="Calibri" w:cs="Calibri" w:eastAsia="Calibri" w:hAnsi="Calibri"/>
          <w:sz w:val="22"/>
          <w:szCs w:val="22"/>
        </w:rPr>
        <w:t xml:space="preserve">    </w:t>
      </w:r>
      <w:r>
        <w:rPr>
          <w:rFonts w:ascii="Calibri" w:cs="Calibri" w:eastAsia="Calibri" w:hAnsi="Calibri"/>
          <w:color w:val="1F2937"/>
          <w:sz w:val="22"/>
          <w:szCs w:val="22"/>
        </w:rPr>
        <w:t xml:space="preserve">Foundational Baselines (Papers 1–5)</w:t>
      </w:r>
    </w:p>
    <w:p>
      <w:pPr>
        <w:spacing w:after="60" w:before="60"/>
        <w:ind w:left="0"/>
      </w:pPr>
      <w:r>
        <w:rPr>
          <w:rFonts w:ascii="Calibri" w:cs="Calibri" w:eastAsia="Calibri" w:hAnsi="Calibri"/>
          <w:b/>
          <w:bCs/>
          <w:color w:val="B91C1C"/>
          <w:sz w:val="22"/>
          <w:szCs w:val="22"/>
        </w:rPr>
        <w:t xml:space="preserve">Section B.</w:t>
      </w:r>
      <w:r>
        <w:rPr>
          <w:rFonts w:ascii="Calibri" w:cs="Calibri" w:eastAsia="Calibri" w:hAnsi="Calibri"/>
          <w:sz w:val="22"/>
          <w:szCs w:val="22"/>
        </w:rPr>
        <w:t xml:space="preserve">    </w:t>
      </w:r>
      <w:r>
        <w:rPr>
          <w:rFonts w:ascii="Calibri" w:cs="Calibri" w:eastAsia="Calibri" w:hAnsi="Calibri"/>
          <w:color w:val="1F2937"/>
          <w:sz w:val="22"/>
          <w:szCs w:val="22"/>
        </w:rPr>
        <w:t xml:space="preserve">Fine-Tuned LMs for Log AD (Papers 6–11)</w:t>
      </w:r>
    </w:p>
    <w:p>
      <w:pPr>
        <w:spacing w:after="60" w:before="60"/>
        <w:ind w:left="0"/>
      </w:pPr>
      <w:r>
        <w:rPr>
          <w:rFonts w:ascii="Calibri" w:cs="Calibri" w:eastAsia="Calibri" w:hAnsi="Calibri"/>
          <w:b/>
          <w:bCs/>
          <w:color w:val="B91C1C"/>
          <w:sz w:val="22"/>
          <w:szCs w:val="22"/>
        </w:rPr>
        <w:t xml:space="preserve">Section C.</w:t>
      </w:r>
      <w:r>
        <w:rPr>
          <w:rFonts w:ascii="Calibri" w:cs="Calibri" w:eastAsia="Calibri" w:hAnsi="Calibri"/>
          <w:sz w:val="22"/>
          <w:szCs w:val="22"/>
        </w:rPr>
        <w:t xml:space="preserve">    </w:t>
      </w:r>
      <w:r>
        <w:rPr>
          <w:rFonts w:ascii="Calibri" w:cs="Calibri" w:eastAsia="Calibri" w:hAnsi="Calibri"/>
          <w:color w:val="1F2937"/>
          <w:sz w:val="22"/>
          <w:szCs w:val="22"/>
        </w:rPr>
        <w:t xml:space="preserve">Small Language Models &amp; PEFT (Papers 12–15)</w:t>
      </w:r>
    </w:p>
    <w:p>
      <w:pPr>
        <w:spacing w:after="60" w:before="60"/>
        <w:ind w:left="0"/>
      </w:pPr>
      <w:r>
        <w:rPr>
          <w:rFonts w:ascii="Calibri" w:cs="Calibri" w:eastAsia="Calibri" w:hAnsi="Calibri"/>
          <w:b/>
          <w:bCs/>
          <w:color w:val="B91C1C"/>
          <w:sz w:val="22"/>
          <w:szCs w:val="22"/>
        </w:rPr>
        <w:t xml:space="preserve">Section D.</w:t>
      </w:r>
      <w:r>
        <w:rPr>
          <w:rFonts w:ascii="Calibri" w:cs="Calibri" w:eastAsia="Calibri" w:hAnsi="Calibri"/>
          <w:sz w:val="22"/>
          <w:szCs w:val="22"/>
        </w:rPr>
        <w:t xml:space="preserve">    </w:t>
      </w:r>
      <w:r>
        <w:rPr>
          <w:rFonts w:ascii="Calibri" w:cs="Calibri" w:eastAsia="Calibri" w:hAnsi="Calibri"/>
          <w:color w:val="1F2937"/>
          <w:sz w:val="22"/>
          <w:szCs w:val="22"/>
        </w:rPr>
        <w:t xml:space="preserve">Cross-System Generalization (Papers 16–20)</w:t>
      </w:r>
    </w:p>
    <w:p>
      <w:pPr>
        <w:spacing w:after="60" w:before="60"/>
        <w:ind w:left="0"/>
      </w:pPr>
      <w:r>
        <w:rPr>
          <w:rFonts w:ascii="Calibri" w:cs="Calibri" w:eastAsia="Calibri" w:hAnsi="Calibri"/>
          <w:b/>
          <w:bCs/>
          <w:color w:val="B91C1C"/>
          <w:sz w:val="22"/>
          <w:szCs w:val="22"/>
        </w:rPr>
        <w:t xml:space="preserve">Section E.</w:t>
      </w:r>
      <w:r>
        <w:rPr>
          <w:rFonts w:ascii="Calibri" w:cs="Calibri" w:eastAsia="Calibri" w:hAnsi="Calibri"/>
          <w:sz w:val="22"/>
          <w:szCs w:val="22"/>
        </w:rPr>
        <w:t xml:space="preserve">    </w:t>
      </w:r>
      <w:r>
        <w:rPr>
          <w:rFonts w:ascii="Calibri" w:cs="Calibri" w:eastAsia="Calibri" w:hAnsi="Calibri"/>
          <w:color w:val="1F2937"/>
          <w:sz w:val="22"/>
          <w:szCs w:val="22"/>
        </w:rPr>
        <w:t xml:space="preserve">Recent / Adjacent Work &amp; Benchmarks (Papers 21–25)</w:t>
      </w:r>
    </w:p>
    <w:p>
      <w:pPr>
        <w:spacing w:after="60" w:before="60"/>
        <w:ind w:left="0"/>
      </w:pPr>
      <w:r>
        <w:rPr>
          <w:rFonts w:ascii="Calibri" w:cs="Calibri" w:eastAsia="Calibri" w:hAnsi="Calibri"/>
          <w:b/>
          <w:bCs/>
          <w:color w:val="B91C1C"/>
          <w:sz w:val="22"/>
          <w:szCs w:val="22"/>
        </w:rPr>
        <w:t xml:space="preserve">3.</w:t>
      </w:r>
      <w:r>
        <w:rPr>
          <w:rFonts w:ascii="Calibri" w:cs="Calibri" w:eastAsia="Calibri" w:hAnsi="Calibri"/>
          <w:sz w:val="22"/>
          <w:szCs w:val="22"/>
        </w:rPr>
        <w:t xml:space="preserve">    </w:t>
      </w:r>
      <w:r>
        <w:rPr>
          <w:rFonts w:ascii="Calibri" w:cs="Calibri" w:eastAsia="Calibri" w:hAnsi="Calibri"/>
          <w:color w:val="1F2937"/>
          <w:sz w:val="22"/>
          <w:szCs w:val="22"/>
        </w:rPr>
        <w:t xml:space="preserve">Cross-Paper Research Gaps</w:t>
      </w:r>
    </w:p>
    <w:p>
      <w:pPr>
        <w:spacing w:after="60" w:before="60"/>
        <w:ind w:left="0"/>
      </w:pPr>
      <w:r>
        <w:rPr>
          <w:rFonts w:ascii="Calibri" w:cs="Calibri" w:eastAsia="Calibri" w:hAnsi="Calibri"/>
          <w:b/>
          <w:bCs/>
          <w:color w:val="B91C1C"/>
          <w:sz w:val="22"/>
          <w:szCs w:val="22"/>
        </w:rPr>
        <w:t xml:space="preserve">4.</w:t>
      </w:r>
      <w:r>
        <w:rPr>
          <w:rFonts w:ascii="Calibri" w:cs="Calibri" w:eastAsia="Calibri" w:hAnsi="Calibri"/>
          <w:sz w:val="22"/>
          <w:szCs w:val="22"/>
        </w:rPr>
        <w:t xml:space="preserve">    </w:t>
      </w:r>
      <w:r>
        <w:rPr>
          <w:rFonts w:ascii="Calibri" w:cs="Calibri" w:eastAsia="Calibri" w:hAnsi="Calibri"/>
          <w:color w:val="1F2937"/>
          <w:sz w:val="22"/>
          <w:szCs w:val="22"/>
        </w:rPr>
        <w:t xml:space="preserve">Summary Comparison Table</w:t>
      </w:r>
    </w:p>
    <w:p>
      <w:pPr>
        <w:spacing w:after="60" w:before="60"/>
        <w:ind w:left="0"/>
      </w:pPr>
      <w:r>
        <w:rPr>
          <w:rFonts w:ascii="Calibri" w:cs="Calibri" w:eastAsia="Calibri" w:hAnsi="Calibri"/>
          <w:b/>
          <w:bCs/>
          <w:color w:val="B91C1C"/>
          <w:sz w:val="22"/>
          <w:szCs w:val="22"/>
        </w:rPr>
        <w:t xml:space="preserve">5.</w:t>
      </w:r>
      <w:r>
        <w:rPr>
          <w:rFonts w:ascii="Calibri" w:cs="Calibri" w:eastAsia="Calibri" w:hAnsi="Calibri"/>
          <w:sz w:val="22"/>
          <w:szCs w:val="22"/>
        </w:rPr>
        <w:t xml:space="preserve">    </w:t>
      </w:r>
      <w:r>
        <w:rPr>
          <w:rFonts w:ascii="Calibri" w:cs="Calibri" w:eastAsia="Calibri" w:hAnsi="Calibri"/>
          <w:color w:val="1F2937"/>
          <w:sz w:val="22"/>
          <w:szCs w:val="22"/>
        </w:rPr>
        <w:t xml:space="preserve">Concluding Remarks for the Q1 Paper Planner</w:t>
      </w:r>
    </w:p>
    <w:p>
      <w:r>
        <w:br w:type="page"/>
      </w:r>
    </w:p>
    <w:p>
      <w:pPr>
        <w:pStyle w:val="Heading1"/>
        <w:spacing w:after="240" w:before="480"/>
      </w:pPr>
      <w:r>
        <w:rPr>
          <w:rFonts w:ascii="Calibri" w:cs="Calibri" w:eastAsia="Calibri" w:hAnsi="Calibri"/>
          <w:b/>
          <w:bCs/>
          <w:color w:val="1F3A5F"/>
          <w:sz w:val="36"/>
          <w:szCs w:val="36"/>
        </w:rPr>
        <w:t xml:space="preserve">1. Introduction</w:t>
      </w:r>
    </w:p>
    <w:p>
      <w:pPr>
        <w:spacing w:after="120" w:before="0" w:line="300"/>
        <w:jc w:val="both"/>
      </w:pPr>
      <w:r>
        <w:rPr>
          <w:rFonts w:ascii="Calibri" w:cs="Calibri" w:eastAsia="Calibri" w:hAnsi="Calibri"/>
          <w:b w:val="false"/>
          <w:bCs w:val="false"/>
          <w:i w:val="false"/>
          <w:iCs w:val="false"/>
          <w:color w:val="1F2937"/>
          <w:sz w:val="22"/>
          <w:szCs w:val="22"/>
        </w:rPr>
        <w:t xml:space="preserve">This report compiles a focused literature review of </w:t>
      </w:r>
      <w:r>
        <w:rPr>
          <w:rFonts w:ascii="Calibri" w:cs="Calibri" w:eastAsia="Calibri" w:hAnsi="Calibri"/>
          <w:b/>
          <w:bCs/>
          <w:i w:val="false"/>
          <w:iCs w:val="false"/>
          <w:color w:val="1F2937"/>
          <w:sz w:val="22"/>
          <w:szCs w:val="22"/>
        </w:rPr>
        <w:t xml:space="preserve">25 papers</w:t>
      </w:r>
      <w:r>
        <w:rPr>
          <w:rFonts w:ascii="Calibri" w:cs="Calibri" w:eastAsia="Calibri" w:hAnsi="Calibri"/>
          <w:b w:val="false"/>
          <w:bCs w:val="false"/>
          <w:i w:val="false"/>
          <w:iCs w:val="false"/>
          <w:color w:val="1F2937"/>
          <w:sz w:val="22"/>
          <w:szCs w:val="22"/>
        </w:rPr>
        <w:t xml:space="preserve"> spanning the foundational baselines (2017–2021) and the recent wave (2023–2026) of language-model-based log anomaly detection (LAD). The review intentionally emphasizes three intersecting threads that matter most for a Q1 journal contribution: </w:t>
      </w:r>
      <w:r>
        <w:rPr>
          <w:rFonts w:ascii="Calibri" w:cs="Calibri" w:eastAsia="Calibri" w:hAnsi="Calibri"/>
          <w:b/>
          <w:bCs/>
          <w:i w:val="false"/>
          <w:iCs w:val="false"/>
          <w:color w:val="1F2937"/>
          <w:sz w:val="22"/>
          <w:szCs w:val="22"/>
        </w:rPr>
        <w:t xml:space="preserve">(i) small (≤8B-parameter) language models for logs</w:t>
      </w:r>
      <w:r>
        <w:rPr>
          <w:rFonts w:ascii="Calibri" w:cs="Calibri" w:eastAsia="Calibri" w:hAnsi="Calibri"/>
          <w:b w:val="false"/>
          <w:bCs w:val="false"/>
          <w:i w:val="false"/>
          <w:iCs w:val="false"/>
          <w:color w:val="1F2937"/>
          <w:sz w:val="22"/>
          <w:szCs w:val="22"/>
        </w:rPr>
        <w:t xml:space="preserve">, </w:t>
      </w:r>
      <w:r>
        <w:rPr>
          <w:rFonts w:ascii="Calibri" w:cs="Calibri" w:eastAsia="Calibri" w:hAnsi="Calibri"/>
          <w:b/>
          <w:bCs/>
          <w:i w:val="false"/>
          <w:iCs w:val="false"/>
          <w:color w:val="1F2937"/>
          <w:sz w:val="22"/>
          <w:szCs w:val="22"/>
        </w:rPr>
        <w:t xml:space="preserve">(ii) parameter-efficient fine-tuning</w:t>
      </w:r>
      <w:r>
        <w:rPr>
          <w:rFonts w:ascii="Calibri" w:cs="Calibri" w:eastAsia="Calibri" w:hAnsi="Calibri"/>
          <w:b w:val="false"/>
          <w:bCs w:val="false"/>
          <w:i w:val="false"/>
          <w:iCs w:val="false"/>
          <w:color w:val="1F2937"/>
          <w:sz w:val="22"/>
          <w:szCs w:val="22"/>
        </w:rPr>
        <w:t xml:space="preserve"> (LoRA / QLoRA / adapters / prefix and prompt tuning) applied to log data, and </w:t>
      </w:r>
      <w:r>
        <w:rPr>
          <w:rFonts w:ascii="Calibri" w:cs="Calibri" w:eastAsia="Calibri" w:hAnsi="Calibri"/>
          <w:b/>
          <w:bCs/>
          <w:i w:val="false"/>
          <w:iCs w:val="false"/>
          <w:color w:val="1F2937"/>
          <w:sz w:val="22"/>
          <w:szCs w:val="22"/>
        </w:rPr>
        <w:t xml:space="preserve">(iii) cross-system generalization</w:t>
      </w:r>
      <w:r>
        <w:rPr>
          <w:rFonts w:ascii="Calibri" w:cs="Calibri" w:eastAsia="Calibri" w:hAnsi="Calibri"/>
          <w:b w:val="false"/>
          <w:bCs w:val="false"/>
          <w:i w:val="false"/>
          <w:iCs w:val="false"/>
          <w:color w:val="1F2937"/>
          <w:sz w:val="22"/>
          <w:szCs w:val="22"/>
        </w:rPr>
        <w:t xml:space="preserve"> (HDFS, BGL, Thunderbird, OpenStack, Spirit, Hadoop).</w:t>
      </w:r>
    </w:p>
    <w:p>
      <w:pPr>
        <w:spacing w:after="120" w:before="0" w:line="300"/>
        <w:jc w:val="both"/>
      </w:pPr>
      <w:r>
        <w:rPr>
          <w:rFonts w:ascii="Calibri" w:cs="Calibri" w:eastAsia="Calibri" w:hAnsi="Calibri"/>
          <w:b w:val="false"/>
          <w:bCs w:val="false"/>
          <w:i w:val="false"/>
          <w:iCs w:val="false"/>
          <w:color w:val="1F2937"/>
          <w:sz w:val="22"/>
          <w:szCs w:val="22"/>
        </w:rPr>
        <w:t xml:space="preserve">Each paper entry contains the full bibliographic information, a direct link to the publisher page, the exact or faithfully reconstructed abstract, a careful summary of the conclusion, and an in-depth analysis of advantages and disadvantages. The review closes with cross-paper gap analysis, a comprehensive comparison table, and a concrete recommendation for positioning a Q1 paper that synthesizes the open opportunities.</w:t>
      </w:r>
    </w:p>
    <w:p>
      <w:pPr>
        <w:pStyle w:val="Heading1"/>
        <w:spacing w:after="240" w:before="480"/>
      </w:pPr>
      <w:r>
        <w:rPr>
          <w:rFonts w:ascii="Calibri" w:cs="Calibri" w:eastAsia="Calibri" w:hAnsi="Calibri"/>
          <w:b/>
          <w:bCs/>
          <w:color w:val="1F3A5F"/>
          <w:sz w:val="36"/>
          <w:szCs w:val="36"/>
        </w:rPr>
        <w:t xml:space="preserve">2. Methodological Note on Abstracts</w:t>
      </w:r>
    </w:p>
    <w:p>
      <w:pPr>
        <w:spacing w:after="120" w:before="0" w:line="300"/>
        <w:jc w:val="both"/>
      </w:pPr>
      <w:r>
        <w:rPr>
          <w:rFonts w:ascii="Calibri" w:cs="Calibri" w:eastAsia="Calibri" w:hAnsi="Calibri"/>
          <w:b w:val="false"/>
          <w:bCs w:val="false"/>
          <w:i w:val="false"/>
          <w:iCs w:val="false"/>
          <w:color w:val="1F2937"/>
          <w:sz w:val="22"/>
          <w:szCs w:val="22"/>
        </w:rPr>
        <w:t xml:space="preserve">For each paper, the abstract is provided in one of two forms:</w:t>
      </w:r>
    </w:p>
    <w:p>
      <w:pPr>
        <w:pStyle w:val="ListParagraph"/>
        <w:numPr>
          <w:ilvl w:val="0"/>
          <w:numId w:val="2"/>
        </w:numPr>
        <w:spacing w:after="80" w:before="0" w:line="300"/>
        <w:jc w:val="both"/>
      </w:pPr>
      <w:r>
        <w:rPr>
          <w:rFonts w:ascii="Calibri" w:cs="Calibri" w:eastAsia="Calibri" w:hAnsi="Calibri"/>
          <w:b/>
          <w:bCs/>
          <w:i w:val="false"/>
          <w:iCs w:val="false"/>
          <w:color w:val="047857"/>
          <w:sz w:val="22"/>
          <w:szCs w:val="22"/>
        </w:rPr>
        <w:t xml:space="preserve">[VERBATIM]</w:t>
      </w:r>
      <w:r>
        <w:rPr>
          <w:rFonts w:ascii="Calibri" w:cs="Calibri" w:eastAsia="Calibri" w:hAnsi="Calibri"/>
          <w:b w:val="false"/>
          <w:bCs w:val="false"/>
          <w:i w:val="false"/>
          <w:iCs w:val="false"/>
          <w:color w:val="1F2937"/>
          <w:sz w:val="22"/>
          <w:szCs w:val="22"/>
        </w:rPr>
        <w:t xml:space="preserve"> — the abstract is reproduced exactly as printed on the arXiv abstract page, IEEE Xplore page, ACM page, or publisher landing page.</w:t>
      </w:r>
    </w:p>
    <w:p>
      <w:pPr>
        <w:pStyle w:val="ListParagraph"/>
        <w:numPr>
          <w:ilvl w:val="0"/>
          <w:numId w:val="2"/>
        </w:numPr>
        <w:spacing w:after="80" w:before="0" w:line="300"/>
        <w:jc w:val="both"/>
      </w:pPr>
      <w:r>
        <w:rPr>
          <w:rFonts w:ascii="Calibri" w:cs="Calibri" w:eastAsia="Calibri" w:hAnsi="Calibri"/>
          <w:b/>
          <w:bCs/>
          <w:i w:val="false"/>
          <w:iCs w:val="false"/>
          <w:color w:val="DC2626"/>
          <w:sz w:val="22"/>
          <w:szCs w:val="22"/>
        </w:rPr>
        <w:t xml:space="preserve">[RECONSTRUCTED]</w:t>
      </w:r>
      <w:r>
        <w:rPr>
          <w:rFonts w:ascii="Calibri" w:cs="Calibri" w:eastAsia="Calibri" w:hAnsi="Calibri"/>
          <w:b w:val="false"/>
          <w:bCs w:val="false"/>
          <w:i w:val="false"/>
          <w:iCs w:val="false"/>
          <w:color w:val="1F2937"/>
          <w:sz w:val="22"/>
          <w:szCs w:val="22"/>
        </w:rPr>
        <w:t xml:space="preserve"> — the publisher page was not directly fetchable within this session, and the abstract is reconstructed faithfully from author-provided introductory text, search-result snippets, or the paper's own body matter; treat such reconstructions as approximate and reverify against the publisher copy when citing.</w:t>
      </w:r>
    </w:p>
    <w:p>
      <w:pPr>
        <w:spacing w:after="120" w:before="120" w:line="300"/>
        <w:jc w:val="both"/>
      </w:pPr>
      <w:r>
        <w:rPr>
          <w:rFonts w:ascii="Calibri" w:cs="Calibri" w:eastAsia="Calibri" w:hAnsi="Calibri"/>
          <w:b/>
          <w:bCs/>
          <w:i w:val="false"/>
          <w:iCs w:val="false"/>
          <w:color w:val="1F2937"/>
          <w:sz w:val="22"/>
          <w:szCs w:val="22"/>
        </w:rPr>
        <w:t xml:space="preserve">A note on publication status:</w:t>
      </w:r>
      <w:r>
        <w:rPr>
          <w:rFonts w:ascii="Calibri" w:cs="Calibri" w:eastAsia="Calibri" w:hAnsi="Calibri"/>
          <w:b w:val="false"/>
          <w:bCs w:val="false"/>
          <w:i w:val="false"/>
          <w:iCs w:val="false"/>
          <w:color w:val="1F2937"/>
          <w:sz w:val="22"/>
          <w:szCs w:val="22"/>
        </w:rPr>
        <w:t xml:space="preserve"> several 2025–2026 entries are arXiv preprints and are flagged as such. The widely cited "AdaptiveLog 2026" appears as both an arXiv preprint (2501.11031, January 2025) and a forthcoming ACM TOSEM article (2026, vol. 35 no. 5, DOI 10.1145/3749840). "GeneralLog" referenced in the user's brief is identified in this body of work as the FusionLog line (Zhao et al., same Nankai/Peking group, arXiv:2511.05878) — there is no separate published paper titled "GeneralLog" in 2025; the descriptor refers to its design goal of fusing general and proprietary knowledge.</w:t>
      </w:r>
    </w:p>
    <w:tbl>
      <w:tblPr>
        <w:tblW w:type="dxa" w:w="9360"/>
        <w:tblBorders>
          <w:top w:val="single" w:color="1F3A5F" w:sz="4"/>
          <w:left w:val="single" w:color="1F3A5F" w:sz="4"/>
          <w:bottom w:val="single" w:color="1F3A5F" w:sz="4"/>
          <w:right w:val="single" w:color="1F3A5F" w:sz="4"/>
          <w:insideH w:val="none" w:color="FFFFFF" w:sz="0"/>
          <w:insideV w:val="none" w:color="FFFFFF" w:sz="0"/>
        </w:tblBorders>
      </w:tblPr>
      <w:tblGrid>
        <w:gridCol w:w="9360"/>
      </w:tblGrid>
      <w:tr>
        <w:tc>
          <w:tcPr>
            <w:tcW w:type="dxa" w:w="9360"/>
            <w:shd w:fill="1F3A5F" w:val="clear"/>
            <w:tcMar>
              <w:top w:type="dxa" w:w="200"/>
              <w:left w:type="dxa" w:w="320"/>
              <w:bottom w:type="dxa" w:w="60"/>
              <w:right w:type="dxa" w:w="320"/>
            </w:tcMar>
          </w:tcPr>
          <w:p>
            <w:pPr>
              <w:spacing w:after="40"/>
              <w:jc w:val="left"/>
            </w:pPr>
            <w:r>
              <w:rPr>
                <w:rFonts w:ascii="Calibri" w:cs="Calibri" w:eastAsia="Calibri" w:hAnsi="Calibri"/>
                <w:b/>
                <w:bCs/>
                <w:color w:val="B91C1C"/>
                <w:spacing w:val="80"/>
                <w:sz w:val="18"/>
                <w:szCs w:val="18"/>
              </w:rPr>
              <w:t xml:space="preserve">SECTION A</w:t>
            </w:r>
          </w:p>
          <w:p>
            <w:pPr>
              <w:spacing w:after="0"/>
              <w:jc w:val="left"/>
            </w:pPr>
            <w:r>
              <w:rPr>
                <w:rFonts w:ascii="Calibri" w:cs="Calibri" w:eastAsia="Calibri" w:hAnsi="Calibri"/>
                <w:b/>
                <w:bCs/>
                <w:color w:val="FFFFFF"/>
                <w:sz w:val="32"/>
                <w:szCs w:val="32"/>
              </w:rPr>
              <w:t xml:space="preserve">Foundational Baselines</w:t>
            </w:r>
          </w:p>
        </w:tc>
      </w:tr>
      <w:tr>
        <w:tc>
          <w:tcPr>
            <w:tcW w:type="dxa" w:w="9360"/>
            <w:shd w:fill="1F3A5F" w:val="clear"/>
            <w:tcMar>
              <w:top w:type="dxa" w:w="0"/>
              <w:left w:type="dxa" w:w="320"/>
              <w:bottom w:type="dxa" w:w="200"/>
              <w:right w:type="dxa" w:w="320"/>
            </w:tcMar>
          </w:tcPr>
          <w:p>
            <w:pPr>
              <w:spacing w:after="0"/>
              <w:jc w:val="left"/>
            </w:pPr>
            <w:r>
              <w:rPr>
                <w:rFonts w:ascii="Calibri" w:cs="Calibri" w:eastAsia="Calibri" w:hAnsi="Calibri"/>
                <w:i/>
                <w:iCs/>
                <w:color w:val="DBEAFE"/>
                <w:sz w:val="20"/>
                <w:szCs w:val="20"/>
              </w:rPr>
              <w:t xml:space="preserve">Required comparisons — Papers 1 through 5 establish the historical reference points</w:t>
            </w:r>
          </w:p>
        </w:tc>
      </w:tr>
    </w:tbl>
    <w:p>
      <w:pPr>
        <w:spacing w:after="280" w:before="0"/>
      </w:pPr>
      <w:r>
        <w:t xml:space="preserve"/>
      </w:r>
    </w:p>
    <w:p>
      <w:pPr>
        <w:spacing w:after="80" w:before="240"/>
      </w:pPr>
      <w:r>
        <w:rPr>
          <w:rFonts w:ascii="Calibri" w:cs="Calibri" w:eastAsia="Calibri" w:hAnsi="Calibri"/>
          <w:b/>
          <w:bCs/>
          <w:color w:val="B91C1C"/>
          <w:spacing w:val="60"/>
          <w:sz w:val="16"/>
          <w:szCs w:val="16"/>
        </w:rPr>
        <w:t xml:space="preserve">PAPER 01</w:t>
      </w:r>
    </w:p>
    <w:p>
      <w:pPr>
        <w:spacing w:after="240" w:before="0"/>
      </w:pPr>
      <w:r>
        <w:rPr>
          <w:rFonts w:ascii="Calibri" w:cs="Calibri" w:eastAsia="Calibri" w:hAnsi="Calibri"/>
          <w:b/>
          <w:bCs/>
          <w:color w:val="1F3A5F"/>
          <w:sz w:val="28"/>
          <w:szCs w:val="28"/>
        </w:rPr>
        <w:t xml:space="preserve">DeepLog: Anomaly Detection and Diagnosis from System Logs through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Min Du, Feifei Li, Guineng Zheng, Vivek Srikumar</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ACM CCS 2017 (Tier-A security conference)</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zt4fz4h5edovsvnczkpwi">
              <w:r>
                <w:rPr>
                  <w:rFonts w:ascii="Consolas" w:cs="Consolas" w:eastAsia="Consolas" w:hAnsi="Consolas"/>
                  <w:color w:val="1D4ED8"/>
                  <w:sz w:val="18"/>
                  <w:szCs w:val="18"/>
                  <w:u w:val="single" w:color="1D4ED8"/>
                </w:rPr>
                <w:t xml:space="preserve">https://dl.acm.org/doi/10.1145/3133956.3134015</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DeepLog establishes that an LSTM trained only on normal log-key sequences can predict the next event; deviations from the top-g predictions are flagged anomalous. The system also models parameter-value vectors with a separate LSTM and constructs execution workflows for diagnosis. Extensive evaluation on HDFS and OpenStack syslogs outperforms PCA, Invariant Mining, and TF-IDF baselines while supporting online incremental updates with user feedback (only 1% of HDFS suffices for training).</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First strong deep-learning baseline that became the field's reference point</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Unsupervised approach (normal-only training) — no anomaly labels required</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Online updates with user feedback enable continual adaptation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Workflow construction enables interpretable root-cause analysis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Remarkable demonstration that only 1% of HDFS suffices for training</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Widely re-implemented and used as the de facto benchmark by every subsequent paper</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Cleanly separates execution-path anomalies from parameter-value anomalies</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Operates only on log keys (template IDs) — the rich semantic content of log messages is discarded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Critically depends on an external parser (Spell), so parsing errors propagate downstream</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Cannot handle new templates without retraining</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LSTM architecture struggles with long-range dependencies in long sequences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cross-system evaluation whatsoever</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 no abstention, no uncertainty estimates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Not evaluated on security-relevant intrusion logs beyond OpenStack VM-creation traces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Computational scaling is linear per event but slow when window or hidden size is large</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02</w:t>
      </w:r>
    </w:p>
    <w:p>
      <w:pPr>
        <w:spacing w:after="240" w:before="0"/>
      </w:pPr>
      <w:r>
        <w:rPr>
          <w:rFonts w:ascii="Calibri" w:cs="Calibri" w:eastAsia="Calibri" w:hAnsi="Calibri"/>
          <w:b/>
          <w:bCs/>
          <w:color w:val="1F3A5F"/>
          <w:sz w:val="28"/>
          <w:szCs w:val="28"/>
        </w:rPr>
        <w:t xml:space="preserve">LogAnomaly: Unsupervised Detection of Sequential and Quantitative Anomalies in Unstructured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Weibin Meng, Ying Liu, Yichen Zhu, Shenglin Zhang, Dan Pei, Yuqing Liu, Yihao Chen, Ruizhi Zhang, Shimin Tao, Pei Sun, Rong Zhou</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IJCAI 2019 (Tier-A AI conference)</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scsa3htmushdairtq__t9">
              <w:r>
                <w:rPr>
                  <w:rFonts w:ascii="Consolas" w:cs="Consolas" w:eastAsia="Consolas" w:hAnsi="Consolas"/>
                  <w:color w:val="1D4ED8"/>
                  <w:sz w:val="18"/>
                  <w:szCs w:val="18"/>
                  <w:u w:val="single" w:color="1D4ED8"/>
                </w:rPr>
                <w:t xml:space="preserve">https://www.ijcai.org/proceedings/2019/658</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Recording runtime status via logs is common for almost every computer system, and detecting anomalies in logs is crucial for timely identifying malfunctions of systems. However, manually detecting anomalies for logs is time-consuming, error-prone, and infeasible. Existing automatic log anomaly detection approaches, using indexes rather than semantics of log templates, tend to cause false alarms. In this work, we propose LogAnomaly, a framework to model unstructured a log stream as a natural language sequence. Empowered by template2vec, a novel, simple yet effective method to extract the semantic information hidden in log templates, LogAnomaly can detect both sequential and quantitive log anomalies simultaneously, which were not done by any previous work. Moreover, LogAnomaly can avoid the false alarms caused by the newly appearing log templates between periodic model retrainings. Our evaluation on two public production log datasets show that LogAnomaly outperforms existing log-based anomaly detection methods.</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template2vec exploits synonyms and antonyms (dLCE embedding) so that semantically similar templates collapse into close vectors, which both reduces false alarms and accommodates unseen templates between retraining cycles. Joint sequential plus quantitative modeling beats DeepLog and Invariant Mining on a real cloud-provider trace and on HDFS. The system reports zero false alarms on a real-world deployment period when DeepLog produced 15 false alarms out of 43 total.</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Introduces semantic embeddings to log AD — a clear step beyond key-only modeling</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Handles previously unseen templates between retraining cycles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Jointly captures count-based and order-based anomalies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Validated in a production setting with measurable reduction in false alarms vs DeepLog</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template2vec idea has been reused in many subsequent works</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Still fully parser-dependent — pipeline brittleness inherited from DeepLog</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Embeddings are static (no contextualized representations as in BERT or modern LLMs)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LSTM backbone shares DeepLog's long-range limitations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cross-system experimentation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Evaluation on only two datasets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 abstention, or uncertainty estimates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Not adapted to security-event logs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Static word-embedding model has aged poorly relative to contextualized embeddings</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03</w:t>
      </w:r>
    </w:p>
    <w:p>
      <w:pPr>
        <w:spacing w:after="240" w:before="0"/>
      </w:pPr>
      <w:r>
        <w:rPr>
          <w:rFonts w:ascii="Calibri" w:cs="Calibri" w:eastAsia="Calibri" w:hAnsi="Calibri"/>
          <w:b/>
          <w:bCs/>
          <w:color w:val="1F3A5F"/>
          <w:sz w:val="28"/>
          <w:szCs w:val="28"/>
        </w:rPr>
        <w:t xml:space="preserve">LogBERT: Log Anomaly Detection via BERT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Haixuan Guo, Shuhan Yuan, Xintao Wu</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IJCNN 2021 (arXiv:2103.04475)</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1hoy5krn9x3mqppi7sxtm">
              <w:r>
                <w:rPr>
                  <w:rFonts w:ascii="Consolas" w:cs="Consolas" w:eastAsia="Consolas" w:hAnsi="Consolas"/>
                  <w:color w:val="1D4ED8"/>
                  <w:sz w:val="18"/>
                  <w:szCs w:val="18"/>
                  <w:u w:val="single" w:color="1D4ED8"/>
                </w:rPr>
                <w:t xml:space="preserve">https://arxiv.org/abs/2103.04475</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Detecting anomalous events in online computer systems is crucial to protect the systems from malicious attacks or malfunctions. System logs, which record detailed information of computational events, are widely used for system status analysis. In this paper, we propose LogBERT, a self-supervised framework for log anomaly detection based on Bidirectional Encoder Representations from Transformers (BERT). LogBERT learns the patterns of normal log sequences by two novel self-supervised training tasks and is able to detect anomalies where the underlying patterns deviate from normal log sequences. The experimental results on three log datasets show that LogBERT outperforms state-of-the-art approaches for anomaly detection.</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LogBERT trains a Transformer encoder on normal sequences with two self-supervised losses — masked log-key prediction and Deep-SVDD-style volume-of-hypersphere minimization. After training, anomaly scoring uses prediction error plus distance to the hypersphere center. On HDFS, BGL, and Thunderbird, LogBERT improves over RNN baselines including DeepLog and LogAnomaly.</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First widely adopted BERT-style baseline for logs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Bidirectional context captures more correlation than next-event-only objectives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Dual self-supervised tasks are conceptually elegant</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Serves as the standard reference point against which nearly every 2022–2025 paper compares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Reproducible open implementation</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Operates on log keys produced by an external parser — same brittleness as DeepLog</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Not effective on unstructured raw text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Full fine-tuning is heavy and offers no PEFT pathway</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Reported full-fine-tuning F1 on Thunderbird (around 79.4% per LogTinyLLM's reproduction) is markedly below modern decoder-only LoRA fine-tuning of SLMs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Lacks calibration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cross-system transfer experiments (HDFS/BGL/Thunderbird trained independently)</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evaluation on intrusion or security logs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Static threshold tuning</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04</w:t>
      </w:r>
    </w:p>
    <w:p>
      <w:pPr>
        <w:spacing w:after="240" w:before="0"/>
      </w:pPr>
      <w:r>
        <w:rPr>
          <w:rFonts w:ascii="Calibri" w:cs="Calibri" w:eastAsia="Calibri" w:hAnsi="Calibri"/>
          <w:b/>
          <w:bCs/>
          <w:color w:val="1F3A5F"/>
          <w:sz w:val="28"/>
          <w:szCs w:val="28"/>
        </w:rPr>
        <w:t xml:space="preserve">LAnoBERT: System Log Anomaly Detection based on BERT Masked Language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Yukyung Lee, Jina Kim, Pilsung Kang</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arXiv:2111.09564 (2021); extended in ACM journals</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c-nzustiioi2auvlyl6qp">
              <w:r>
                <w:rPr>
                  <w:rFonts w:ascii="Consolas" w:cs="Consolas" w:eastAsia="Consolas" w:hAnsi="Consolas"/>
                  <w:color w:val="1D4ED8"/>
                  <w:sz w:val="18"/>
                  <w:szCs w:val="18"/>
                  <w:u w:val="single" w:color="1D4ED8"/>
                </w:rPr>
                <w:t xml:space="preserve">https://arxiv.org/abs/2111.09564</w:t>
              </w:r>
            </w:hyperlink>
          </w:p>
        </w:tc>
      </w:tr>
    </w:tbl>
    <w:p>
      <w:pPr>
        <w:spacing w:after="180" w:before="0"/>
      </w:pPr>
      <w:r>
        <w:t xml:space="preserve"/>
      </w:r>
    </w:p>
    <w:tbl>
      <w:tblPr>
        <w:tblW w:type="dxa" w:w="9360"/>
        <w:tblBorders>
          <w:top w:val="single" w:color="0EA5E9" w:sz="4"/>
          <w:left w:val="single" w:color="0EA5E9" w:sz="24"/>
          <w:bottom w:val="single" w:color="0EA5E9" w:sz="4"/>
          <w:right w:val="single" w:color="0EA5E9" w:sz="4"/>
          <w:insideH w:val="none" w:color="FFFFFF" w:sz="0"/>
          <w:insideV w:val="none" w:color="FFFFFF" w:sz="0"/>
        </w:tblBorders>
      </w:tblPr>
      <w:tblGrid>
        <w:gridCol w:w="9360"/>
      </w:tblGrid>
      <w:tr>
        <w:tc>
          <w:tcPr>
            <w:tcW w:type="dxa" w:w="9360"/>
            <w:shd w:fill="F0F9FF" w:val="clear"/>
            <w:tcMar>
              <w:top w:type="dxa" w:w="180"/>
              <w:left w:type="dxa" w:w="280"/>
              <w:bottom w:type="dxa" w:w="180"/>
              <w:right w:type="dxa" w:w="240"/>
            </w:tcMar>
          </w:tcPr>
          <w:p>
            <w:pPr>
              <w:spacing w:after="120"/>
            </w:pPr>
            <w:r>
              <w:rPr>
                <w:rFonts w:ascii="Calibri" w:cs="Calibri" w:eastAsia="Calibri" w:hAnsi="Calibri"/>
                <w:b/>
                <w:bCs/>
                <w:color w:val="0EA5E9"/>
                <w:spacing w:val="60"/>
                <w:sz w:val="16"/>
                <w:szCs w:val="16"/>
              </w:rPr>
              <w:t xml:space="preserve">ABSTRACT  [RECONSTRUCTED]</w:t>
            </w:r>
          </w:p>
          <w:p>
            <w:pPr>
              <w:spacing w:after="0" w:line="320"/>
              <w:jc w:val="both"/>
            </w:pPr>
            <w:r>
              <w:rPr>
                <w:rFonts w:ascii="Calibri" w:cs="Calibri" w:eastAsia="Calibri" w:hAnsi="Calibri"/>
                <w:i/>
                <w:iCs/>
                <w:color w:val="1F2937"/>
                <w:sz w:val="21"/>
                <w:szCs w:val="21"/>
              </w:rPr>
              <w:t xml:space="preserve">LAnoBERT removes log parsing entirely. It trains BERT from scratch on normal logs with masked-language-modeling, then scores anomalies by predictive probability of masked tokens. Anomaly detection is performed under the assumption that the context of normal logs differs from that of abnormal logs. The paper claims the best performance among unsupervised baselines on HDFS and BGL and matches several supervised models trained in a more advantageous environment.</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Parsing-free unsupervised anomaly detection is feasible; treating raw logs as natural language and using MLM probabilities is competitive with supervised systems while needing no labels. Detection performance and practicability are jointly satisfied, with results that sometimes exceed certain supervised methods.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Parsing-free design is a major practical advantage (no Drain or Spell errors to inherit)</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Fully unsupervised — only normal logs needed</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Provides a token-level signal useful for explainability</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Demonstrates feasibility of MLM-only training for logs</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Trains BERT from scratch — expensive and not parameter-efficient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Reported results sometimes do not reproduce cleanly on Thunderbird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LoRA or QLoRA</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cross-system transfer</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Limited evaluation on security-relevant logs</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05</w:t>
      </w:r>
    </w:p>
    <w:p>
      <w:pPr>
        <w:spacing w:after="240" w:before="0"/>
      </w:pPr>
      <w:r>
        <w:rPr>
          <w:rFonts w:ascii="Calibri" w:cs="Calibri" w:eastAsia="Calibri" w:hAnsi="Calibri"/>
          <w:b/>
          <w:bCs/>
          <w:color w:val="1F3A5F"/>
          <w:sz w:val="28"/>
          <w:szCs w:val="28"/>
        </w:rPr>
        <w:t xml:space="preserve">BERT-Log: Anomaly Detection for System Logs Based on Pre-trained Language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Song Chen et al.</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Applied Artificial Intelligence (Taylor &amp; Francis), 2022 (Q2/Q3 journal)</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goqmfbe6vhkbdz5rv_odz">
              <w:r>
                <w:rPr>
                  <w:rFonts w:ascii="Consolas" w:cs="Consolas" w:eastAsia="Consolas" w:hAnsi="Consolas"/>
                  <w:color w:val="1D4ED8"/>
                  <w:sz w:val="18"/>
                  <w:szCs w:val="18"/>
                  <w:u w:val="single" w:color="1D4ED8"/>
                </w:rPr>
                <w:t xml:space="preserve">https://www.tandfonline.com/doi/full/10.1080/08839514.2022.2145642</w:t>
              </w:r>
            </w:hyperlink>
          </w:p>
        </w:tc>
      </w:tr>
    </w:tbl>
    <w:p>
      <w:pPr>
        <w:spacing w:after="180" w:before="0"/>
      </w:pPr>
      <w:r>
        <w:t xml:space="preserve"/>
      </w:r>
    </w:p>
    <w:tbl>
      <w:tblPr>
        <w:tblW w:type="dxa" w:w="9360"/>
        <w:tblBorders>
          <w:top w:val="single" w:color="0EA5E9" w:sz="4"/>
          <w:left w:val="single" w:color="0EA5E9" w:sz="24"/>
          <w:bottom w:val="single" w:color="0EA5E9" w:sz="4"/>
          <w:right w:val="single" w:color="0EA5E9" w:sz="4"/>
          <w:insideH w:val="none" w:color="FFFFFF" w:sz="0"/>
          <w:insideV w:val="none" w:color="FFFFFF" w:sz="0"/>
        </w:tblBorders>
      </w:tblPr>
      <w:tblGrid>
        <w:gridCol w:w="9360"/>
      </w:tblGrid>
      <w:tr>
        <w:tc>
          <w:tcPr>
            <w:tcW w:type="dxa" w:w="9360"/>
            <w:shd w:fill="F0F9FF" w:val="clear"/>
            <w:tcMar>
              <w:top w:type="dxa" w:w="180"/>
              <w:left w:type="dxa" w:w="280"/>
              <w:bottom w:type="dxa" w:w="180"/>
              <w:right w:type="dxa" w:w="240"/>
            </w:tcMar>
          </w:tcPr>
          <w:p>
            <w:pPr>
              <w:spacing w:after="120"/>
            </w:pPr>
            <w:r>
              <w:rPr>
                <w:rFonts w:ascii="Calibri" w:cs="Calibri" w:eastAsia="Calibri" w:hAnsi="Calibri"/>
                <w:b/>
                <w:bCs/>
                <w:color w:val="0EA5E9"/>
                <w:spacing w:val="60"/>
                <w:sz w:val="16"/>
                <w:szCs w:val="16"/>
              </w:rPr>
              <w:t xml:space="preserve">ABSTRACT  [RECONSTRUCTED]</w:t>
            </w:r>
          </w:p>
          <w:p>
            <w:pPr>
              <w:spacing w:after="0" w:line="320"/>
              <w:jc w:val="both"/>
            </w:pPr>
            <w:r>
              <w:rPr>
                <w:rFonts w:ascii="Calibri" w:cs="Calibri" w:eastAsia="Calibri" w:hAnsi="Calibri"/>
                <w:i/>
                <w:iCs/>
                <w:color w:val="1F2937"/>
                <w:sz w:val="21"/>
                <w:szCs w:val="21"/>
              </w:rPr>
              <w:t xml:space="preserve">Pre-trained BERT is fine-tuned in a supervised binary-classification setting to classify sequences as normal or anomalous. The system uses sliding windows over node-ID partitions to localize faults and reports F1 of 99.4% on BGL — a 19 pp improvement over LogRobust, 7 pp over HitAnomaly, 8 pp over LogBERT, and 12 pp over LAnoBERT.</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Pre-training plus supervised fine-tuning of BERT delivers significant F1 improvements over LogRobust, HitAnomaly, LogBERT, LAnoBERT, NeuralLog, and A2Log on BGL; the per-node sliding-window design supports localized diagnosis. Semantic vectors from pre-training and fine-tuning produce more effective representations than unsupervised methods.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Strong supervised baseline with semantic embeddings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Outperforms key-only methods on BGL</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Per-node localization is practically useful for operators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High recall (99.6%) — critical when missing anomalies has high cost</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Fully supervised — needs labels which are unavailable in production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Full fine-tuning is heavy</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cross-system test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PEFT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zero-shot capability</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Evaluation centered on BGL</w:t>
            </w:r>
          </w:p>
        </w:tc>
      </w:tr>
    </w:tbl>
    <w:p>
      <w:pPr>
        <w:spacing w:after="200" w:before="0"/>
      </w:pPr>
      <w:r>
        <w:t xml:space="preserve"/>
      </w:r>
    </w:p>
    <w:p>
      <w:r>
        <w:br w:type="page"/>
      </w:r>
    </w:p>
    <w:tbl>
      <w:tblPr>
        <w:tblW w:type="dxa" w:w="9360"/>
        <w:tblBorders>
          <w:top w:val="single" w:color="1F3A5F" w:sz="4"/>
          <w:left w:val="single" w:color="1F3A5F" w:sz="4"/>
          <w:bottom w:val="single" w:color="1F3A5F" w:sz="4"/>
          <w:right w:val="single" w:color="1F3A5F" w:sz="4"/>
          <w:insideH w:val="none" w:color="FFFFFF" w:sz="0"/>
          <w:insideV w:val="none" w:color="FFFFFF" w:sz="0"/>
        </w:tblBorders>
      </w:tblPr>
      <w:tblGrid>
        <w:gridCol w:w="9360"/>
      </w:tblGrid>
      <w:tr>
        <w:tc>
          <w:tcPr>
            <w:tcW w:type="dxa" w:w="9360"/>
            <w:shd w:fill="1F3A5F" w:val="clear"/>
            <w:tcMar>
              <w:top w:type="dxa" w:w="200"/>
              <w:left w:type="dxa" w:w="320"/>
              <w:bottom w:type="dxa" w:w="60"/>
              <w:right w:type="dxa" w:w="320"/>
            </w:tcMar>
          </w:tcPr>
          <w:p>
            <w:pPr>
              <w:spacing w:after="40"/>
              <w:jc w:val="left"/>
            </w:pPr>
            <w:r>
              <w:rPr>
                <w:rFonts w:ascii="Calibri" w:cs="Calibri" w:eastAsia="Calibri" w:hAnsi="Calibri"/>
                <w:b/>
                <w:bCs/>
                <w:color w:val="B91C1C"/>
                <w:spacing w:val="80"/>
                <w:sz w:val="18"/>
                <w:szCs w:val="18"/>
              </w:rPr>
              <w:t xml:space="preserve">SECTION B</w:t>
            </w:r>
          </w:p>
          <w:p>
            <w:pPr>
              <w:spacing w:after="0"/>
              <w:jc w:val="left"/>
            </w:pPr>
            <w:r>
              <w:rPr>
                <w:rFonts w:ascii="Calibri" w:cs="Calibri" w:eastAsia="Calibri" w:hAnsi="Calibri"/>
                <w:b/>
                <w:bCs/>
                <w:color w:val="FFFFFF"/>
                <w:sz w:val="32"/>
                <w:szCs w:val="32"/>
              </w:rPr>
              <w:t xml:space="preserve">Fine-Tuned LMs for Log AD</w:t>
            </w:r>
          </w:p>
        </w:tc>
      </w:tr>
      <w:tr>
        <w:tc>
          <w:tcPr>
            <w:tcW w:type="dxa" w:w="9360"/>
            <w:shd w:fill="1F3A5F" w:val="clear"/>
            <w:tcMar>
              <w:top w:type="dxa" w:w="0"/>
              <w:left w:type="dxa" w:w="320"/>
              <w:bottom w:type="dxa" w:w="200"/>
              <w:right w:type="dxa" w:w="320"/>
            </w:tcMar>
          </w:tcPr>
          <w:p>
            <w:pPr>
              <w:spacing w:after="0"/>
              <w:jc w:val="left"/>
            </w:pPr>
            <w:r>
              <w:rPr>
                <w:rFonts w:ascii="Calibri" w:cs="Calibri" w:eastAsia="Calibri" w:hAnsi="Calibri"/>
                <w:i/>
                <w:iCs/>
                <w:color w:val="DBEAFE"/>
                <w:sz w:val="20"/>
                <w:szCs w:val="20"/>
              </w:rPr>
              <w:t xml:space="preserve">The core stack — Papers 6 through 11 cover BERT-era and decoder-LLM-era fine-tuning</w:t>
            </w:r>
          </w:p>
        </w:tc>
      </w:tr>
    </w:tbl>
    <w:p>
      <w:pPr>
        <w:spacing w:after="280" w:before="0"/>
      </w:pPr>
      <w:r>
        <w:t xml:space="preserve"/>
      </w:r>
    </w:p>
    <w:p>
      <w:pPr>
        <w:spacing w:after="80" w:before="240"/>
      </w:pPr>
      <w:r>
        <w:rPr>
          <w:rFonts w:ascii="Calibri" w:cs="Calibri" w:eastAsia="Calibri" w:hAnsi="Calibri"/>
          <w:b/>
          <w:bCs/>
          <w:color w:val="B91C1C"/>
          <w:spacing w:val="60"/>
          <w:sz w:val="16"/>
          <w:szCs w:val="16"/>
        </w:rPr>
        <w:t xml:space="preserve">PAPER 06</w:t>
      </w:r>
    </w:p>
    <w:p>
      <w:pPr>
        <w:spacing w:after="240" w:before="0"/>
      </w:pPr>
      <w:r>
        <w:rPr>
          <w:rFonts w:ascii="Calibri" w:cs="Calibri" w:eastAsia="Calibri" w:hAnsi="Calibri"/>
          <w:b/>
          <w:bCs/>
          <w:color w:val="1F3A5F"/>
          <w:sz w:val="28"/>
          <w:szCs w:val="28"/>
        </w:rPr>
        <w:t xml:space="preserve">LogFiT: Log Anomaly Detection Using Fine-Tuned Language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Crispin Almodovar, Fariza Sabrina, Sarvnaz Karimi, Salahuddin Azad</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IEEE Transactions on Network and Service Management (TNSM), 2024 — Q1 Journal</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9_ybqt-d6zf1zjw4dyqyz">
              <w:r>
                <w:rPr>
                  <w:rFonts w:ascii="Consolas" w:cs="Consolas" w:eastAsia="Consolas" w:hAnsi="Consolas"/>
                  <w:color w:val="1D4ED8"/>
                  <w:sz w:val="18"/>
                  <w:szCs w:val="18"/>
                  <w:u w:val="single" w:color="1D4ED8"/>
                </w:rPr>
                <w:t xml:space="preserve">https://ieeexplore.ieee.org/document/10414427/</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System logs are a valuable source of information for monitoring and maintaining the security and stability of computer systems. Techniques based on Deep Learning and Natural Language Processing have demonstrated effectiveness in detecting abnormal behaviour from these system logs. However, existing anomaly detection approaches have limitations in terms of flexibility and practicality. Techniques that rely on log templates such as DeepLog and LogBERT fail to capture semantic information and are unable to handle variability in log content. On the other hand, classification-based approaches such as LogSy, LogRobust and HitAnomaly require time-consuming data labelling for supervised training. In this paper, a novel log anomaly detection model named LogFiT is proposed. The LogFiT model doesn't make use of a vocabulary of log templates and it doesn't require any labeled data as the model only requires self-supervised training. The LogFiT model uses a pretrained Bidirectional Encoder Representations from Transformers (BERT)-based language model fine-tuned to recognise the linguistic patterns of the normal log data. The LogFiT model is trained using masked token prediction on the normal log data only.</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A pretrained BERT (sentence-transformer variant) is fine-tuned with masked-token prediction on normal logs; anomalies are flagged when top-k token prediction accuracy drops below a learned threshold. Evaluated on HDFS, BGL, and Thunderbird, LogFiT outperforms DeepLog and LogBERT on F1, precision, and recall while remaining parser-free and label-free. The model is robust to changes in log content.</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Published in a Q1 IEEE Transactions journal (TNSM) — direct target venue for our work</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Parser-free design eliminates a major source of pipeline brittleness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Label-free (self-supervised) — production-ready data assumption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Strong baseline for the entire 2024–2026 wave</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Robust to template drift</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Reproducible Python package available</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Encoder-only BERT — small but not a 'modern' decoder SLM</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LoRA or QLoRA — full or partial fine-tuning only</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cross-system transfer experiments — each dataset trained separately</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 or selective prediction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Threshold setting is heuristic (top-k)</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exploration of larger decoder SLMs (Qwen, Phi, TinyLlama)</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Evaluation limited to three datasets</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07</w:t>
      </w:r>
    </w:p>
    <w:p>
      <w:pPr>
        <w:spacing w:after="240" w:before="0"/>
      </w:pPr>
      <w:r>
        <w:rPr>
          <w:rFonts w:ascii="Calibri" w:cs="Calibri" w:eastAsia="Calibri" w:hAnsi="Calibri"/>
          <w:b/>
          <w:bCs/>
          <w:color w:val="1F3A5F"/>
          <w:sz w:val="28"/>
          <w:szCs w:val="28"/>
        </w:rPr>
        <w:t xml:space="preserve">LogPrompt: Prompt Engineering Towards Zero-Shot and Interpretable Log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Yilun Liu, Shimin Tao, Weibin Meng, Jingyu Wang, Wenbing Shi, Yuhang Chen, Yanqing Zhao, Hao Yang, Yi Sun</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ICPC 2024 (Long Paper); ICSE 2024 (Poster) — Tier-A SE conferences</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9qjcl4km6gchxrusarcj">
              <w:r>
                <w:rPr>
                  <w:rFonts w:ascii="Consolas" w:cs="Consolas" w:eastAsia="Consolas" w:hAnsi="Consolas"/>
                  <w:color w:val="1D4ED8"/>
                  <w:sz w:val="18"/>
                  <w:szCs w:val="18"/>
                  <w:u w:val="single" w:color="1D4ED8"/>
                </w:rPr>
                <w:t xml:space="preserve">https://arxiv.org/abs/2308.07610</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Automated log analysis is crucial in modern software-intensive systems for facilitating program comprehension throughout software maintenance and engineering life cycles. Existing methods perform tasks such as log parsing and log anomaly detection by providing a single prediction value without interpretation. However, given the increasing volume of system events, the limited interpretability of analysis results hinders analysts' comprehension of program status and their ability to take appropriate actions. Moreover, these methods require substantial in-domain training data, and their performance declines sharply (by up to 62.5%) in online scenarios involving unseen logs from new domains, a common occurrence due to rapid software updates. To overcome these limitations, we propose LogPrompt, a novel zero-shot and interpretable log analysis approach. LogPrompt employs LLMs to perform zero-shot log analysis tasks via a suite of advanced prompt strategies tailored for log tasks, which enhances LLMs' performance by up to 380.7% compared with simple prompts. Experiments on nine public evaluation datasets across log parsing and log anomaly detection tasks reveal that LogPrompt not only achieves SOTA performance without in-domain training process, but also generates useful justifications for its predictions to enhance the interpretability of log analysis.</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Carefully designed prompts (self-prompt, chain-of-thought, in-context) drive ChatGPT to outperform fully supervised baselines by up to 55.9% in zero-shot online settings on unseen logs. Six senior practitioners with 10+ years of experience rated the generated explanations highly for usefulness. The paper highlights that fixed prompts can give F1 as low as 0.189, while the best prompt strategy reaches 0.384 — a 0.195 improvement.</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True zero-shot capability — addresses the label-scarcity bottleneck head-on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Interpretable outputs validated by domain experts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Nine-dataset evaluation gives broad empirical support</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Highlights catastrophic forgetting and domain shift in standard methods (their up-to-62.5% degradation finding is a key motivator for cross-system work)</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Published at ICPC 2024 (Long Paper)</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Relies on ChatGPT/GPT-4 — closed-source, expensive, privacy-unfriendly, not deployable on-prem</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SLM or PEFT path</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Latency and cost per inference are operational concerns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In-context prompt is sensitive to demonstration selection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 or abstention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formal uncertainty estimate</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08</w:t>
      </w:r>
    </w:p>
    <w:p>
      <w:pPr>
        <w:spacing w:after="240" w:before="0"/>
      </w:pPr>
      <w:r>
        <w:rPr>
          <w:rFonts w:ascii="Calibri" w:cs="Calibri" w:eastAsia="Calibri" w:hAnsi="Calibri"/>
          <w:b/>
          <w:bCs/>
          <w:color w:val="1F3A5F"/>
          <w:sz w:val="28"/>
          <w:szCs w:val="28"/>
        </w:rPr>
        <w:t xml:space="preserve">LogPrompt: A Log-based Anomaly Detection Framework Using Prompts (Yang et 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Yang et al. (different team from Paper 7)</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IEEE IPCCC / IJCNN 2023</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rgwsuz-2s60cq1ehcuhmt">
              <w:r>
                <w:rPr>
                  <w:rFonts w:ascii="Consolas" w:cs="Consolas" w:eastAsia="Consolas" w:hAnsi="Consolas"/>
                  <w:color w:val="1D4ED8"/>
                  <w:sz w:val="18"/>
                  <w:szCs w:val="18"/>
                  <w:u w:val="single" w:color="1D4ED8"/>
                </w:rPr>
                <w:t xml:space="preserve">https://ieeexplore.ieee.org/iel7/10190990/10190992/10191948.pdf</w:t>
              </w:r>
            </w:hyperlink>
          </w:p>
        </w:tc>
      </w:tr>
    </w:tbl>
    <w:p>
      <w:pPr>
        <w:spacing w:after="180" w:before="0"/>
      </w:pPr>
      <w:r>
        <w:t xml:space="preserve"/>
      </w:r>
    </w:p>
    <w:tbl>
      <w:tblPr>
        <w:tblW w:type="dxa" w:w="9360"/>
        <w:tblBorders>
          <w:top w:val="single" w:color="0EA5E9" w:sz="4"/>
          <w:left w:val="single" w:color="0EA5E9" w:sz="24"/>
          <w:bottom w:val="single" w:color="0EA5E9" w:sz="4"/>
          <w:right w:val="single" w:color="0EA5E9" w:sz="4"/>
          <w:insideH w:val="none" w:color="FFFFFF" w:sz="0"/>
          <w:insideV w:val="none" w:color="FFFFFF" w:sz="0"/>
        </w:tblBorders>
      </w:tblPr>
      <w:tblGrid>
        <w:gridCol w:w="9360"/>
      </w:tblGrid>
      <w:tr>
        <w:tc>
          <w:tcPr>
            <w:tcW w:type="dxa" w:w="9360"/>
            <w:shd w:fill="F0F9FF" w:val="clear"/>
            <w:tcMar>
              <w:top w:type="dxa" w:w="180"/>
              <w:left w:type="dxa" w:w="280"/>
              <w:bottom w:type="dxa" w:w="180"/>
              <w:right w:type="dxa" w:w="240"/>
            </w:tcMar>
          </w:tcPr>
          <w:p>
            <w:pPr>
              <w:spacing w:after="120"/>
            </w:pPr>
            <w:r>
              <w:rPr>
                <w:rFonts w:ascii="Calibri" w:cs="Calibri" w:eastAsia="Calibri" w:hAnsi="Calibri"/>
                <w:b/>
                <w:bCs/>
                <w:color w:val="0EA5E9"/>
                <w:spacing w:val="60"/>
                <w:sz w:val="16"/>
                <w:szCs w:val="16"/>
              </w:rPr>
              <w:t xml:space="preserve">ABSTRACT  [RECONSTRUCTED]</w:t>
            </w:r>
          </w:p>
          <w:p>
            <w:pPr>
              <w:spacing w:after="0" w:line="320"/>
              <w:jc w:val="both"/>
            </w:pPr>
            <w:r>
              <w:rPr>
                <w:rFonts w:ascii="Calibri" w:cs="Calibri" w:eastAsia="Calibri" w:hAnsi="Calibri"/>
                <w:i/>
                <w:iCs/>
                <w:color w:val="1F2937"/>
                <w:sz w:val="21"/>
                <w:szCs w:val="21"/>
              </w:rPr>
              <w:t xml:space="preserve">Log data are widely used in anomaly detection tasks of software systems, with deep-learning methods making substantial progress. However, existing methods (1) require large labeled corpora that are rare and costly, (2) build models from either semantic or sequential information but rarely both, and (3) struggle with class imbalance. The paper proposes LogPrompt — a framework using prompts to guide a pretrained language model (PLM) to learn both semantic and sequential log information and avoid training from scratch.</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Prompt-tuned PLM outperforms DeepLog and LogAnomaly on imbalanced log corpora with limited labels; jointly captures semantic and sequential patterns; reduces dependency on labeled data.</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Demonstrates prompt-tuning specifically (not just prompting) as a PEFT technique for logs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Handles class imbalance</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Reduces label demand</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Smaller-scale evaluation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Naming conflated with the more prominent Liu et al. work</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Limited cross-system testing</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SLM exploration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09</w:t>
      </w:r>
    </w:p>
    <w:p>
      <w:pPr>
        <w:spacing w:after="240" w:before="0"/>
      </w:pPr>
      <w:r>
        <w:rPr>
          <w:rFonts w:ascii="Calibri" w:cs="Calibri" w:eastAsia="Calibri" w:hAnsi="Calibri"/>
          <w:b/>
          <w:bCs/>
          <w:color w:val="1F3A5F"/>
          <w:sz w:val="28"/>
          <w:szCs w:val="28"/>
        </w:rPr>
        <w:t xml:space="preserve">LogGPT: Log Anomaly Detection via GPT (Han et 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Xiao Han, Shuhan Yuan, Mohamed Trabelsi</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IEEE BigData 2023 (arXiv:2309.14482)</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xciz1dbtgsgpxgjxari8m">
              <w:r>
                <w:rPr>
                  <w:rFonts w:ascii="Consolas" w:cs="Consolas" w:eastAsia="Consolas" w:hAnsi="Consolas"/>
                  <w:color w:val="1D4ED8"/>
                  <w:sz w:val="18"/>
                  <w:szCs w:val="18"/>
                  <w:u w:val="single" w:color="1D4ED8"/>
                </w:rPr>
                <w:t xml:space="preserve">https://arxiv.org/abs/2309.14482</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Detecting system anomalies based on log data is important for ensuring the security and reliability of computer systems. Recently, deep learning models have been widely used for log anomaly detection. The core idea is to model the log sequences as natural language and adopt deep sequential models, such as LSTM or Transformer, to encode the normal patterns in log sequences via language modeling. However, there is a gap between language modeling and anomaly detection as the objective of training a sequential model via a language modeling loss is not directly related to anomaly detection. To fill up the gap, we propose LogGPT, a novel framework that employs GPT for log anomaly detection. LogGPT is first trained to predict the next log entry based on the preceding sequence. To further enhance the performance of LogGPT, we propose a novel reinforcement learning strategy to finetune the model specifically for the log anomaly detection task. The experimental results on three datasets show that LogGPT significantly outperforms existing state-of-the-art approaches.</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A GPT-2 model is first pre-trained on normal log keys for next-token prediction and then RL-fine-tuned with a novel Top-K reward (PPO-based) that aligns training and inference objectives. Outperforms DeepLog and LogBERT on HDFS, BGL, and Thunderbird.</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Identifies and fixes the train-test objective gap with a principled RL solution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Introduces decoder-only architectures into the log AD space</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Clear methodological novelty</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Uses PPO with a carefully designed Top-K reward</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Built on GPT-2 (small but old)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Operates on log keys only — parser-dependent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semantic content used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RL training is brittle and hyperparameter-sensitive</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LoRA or QLoRA</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cross-system generalization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Not evaluated on security or intrusion logs explicitly</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10</w:t>
      </w:r>
    </w:p>
    <w:p>
      <w:pPr>
        <w:spacing w:after="240" w:before="0"/>
      </w:pPr>
      <w:r>
        <w:rPr>
          <w:rFonts w:ascii="Calibri" w:cs="Calibri" w:eastAsia="Calibri" w:hAnsi="Calibri"/>
          <w:b/>
          <w:bCs/>
          <w:color w:val="1F3A5F"/>
          <w:sz w:val="28"/>
          <w:szCs w:val="28"/>
        </w:rPr>
        <w:t xml:space="preserve">LogGPT: Exploring ChatGPT for Log-Based Anomaly Detection (Qi et 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Jiaxing Qi, Shaohan Huang, Zhongzhi Luan, Hailong Yang, Depei Qian</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arXiv:2309.01189; ISSREW 2023 workshop</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2mo6uocqrqtn88uygsxyb">
              <w:r>
                <w:rPr>
                  <w:rFonts w:ascii="Consolas" w:cs="Consolas" w:eastAsia="Consolas" w:hAnsi="Consolas"/>
                  <w:color w:val="1D4ED8"/>
                  <w:sz w:val="18"/>
                  <w:szCs w:val="18"/>
                  <w:u w:val="single" w:color="1D4ED8"/>
                </w:rPr>
                <w:t xml:space="preserve">https://arxiv.org/abs/2309.01189</w:t>
              </w:r>
            </w:hyperlink>
          </w:p>
        </w:tc>
      </w:tr>
    </w:tbl>
    <w:p>
      <w:pPr>
        <w:spacing w:after="180" w:before="0"/>
      </w:pPr>
      <w:r>
        <w:t xml:space="preserve"/>
      </w:r>
    </w:p>
    <w:tbl>
      <w:tblPr>
        <w:tblW w:type="dxa" w:w="9360"/>
        <w:tblBorders>
          <w:top w:val="single" w:color="0EA5E9" w:sz="4"/>
          <w:left w:val="single" w:color="0EA5E9" w:sz="24"/>
          <w:bottom w:val="single" w:color="0EA5E9" w:sz="4"/>
          <w:right w:val="single" w:color="0EA5E9" w:sz="4"/>
          <w:insideH w:val="none" w:color="FFFFFF" w:sz="0"/>
          <w:insideV w:val="none" w:color="FFFFFF" w:sz="0"/>
        </w:tblBorders>
      </w:tblPr>
      <w:tblGrid>
        <w:gridCol w:w="9360"/>
      </w:tblGrid>
      <w:tr>
        <w:tc>
          <w:tcPr>
            <w:tcW w:type="dxa" w:w="9360"/>
            <w:shd w:fill="F0F9FF" w:val="clear"/>
            <w:tcMar>
              <w:top w:type="dxa" w:w="180"/>
              <w:left w:type="dxa" w:w="280"/>
              <w:bottom w:type="dxa" w:w="180"/>
              <w:right w:type="dxa" w:w="240"/>
            </w:tcMar>
          </w:tcPr>
          <w:p>
            <w:pPr>
              <w:spacing w:after="120"/>
            </w:pPr>
            <w:r>
              <w:rPr>
                <w:rFonts w:ascii="Calibri" w:cs="Calibri" w:eastAsia="Calibri" w:hAnsi="Calibri"/>
                <w:b/>
                <w:bCs/>
                <w:color w:val="0EA5E9"/>
                <w:spacing w:val="60"/>
                <w:sz w:val="16"/>
                <w:szCs w:val="16"/>
              </w:rPr>
              <w:t xml:space="preserve">ABSTRACT  [RECONSTRUCTED]</w:t>
            </w:r>
          </w:p>
          <w:p>
            <w:pPr>
              <w:spacing w:after="0" w:line="320"/>
              <w:jc w:val="both"/>
            </w:pPr>
            <w:r>
              <w:rPr>
                <w:rFonts w:ascii="Calibri" w:cs="Calibri" w:eastAsia="Calibri" w:hAnsi="Calibri"/>
                <w:i/>
                <w:iCs/>
                <w:color w:val="1F2937"/>
                <w:sz w:val="21"/>
                <w:szCs w:val="21"/>
              </w:rPr>
              <w:t xml:space="preserve">The paper investigates ChatGPT prompt design for log anomaly detection on the BGL and Spirit datasets. It compares to three deep-learning baselines and reports both the prompt-engineering procedure and interpretability of generated rationales. By leveraging ChatGPT's language interpretation capabilities, LogGPT aims to explore the transferability of knowledge from large-scale corpora to log-based anomaly detection.</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ChatGPT shows promising LAD results and provides interpretable rationales; more specific task descriptions and prompt injection help. Findings constitute preliminary insights into prompt-based models like ChatGPT for log AD.</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Early exploration of LLM-as-detector</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Demonstrates interpretability of rationales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Uses Spirit (often under-evaluated in the field)</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Reliance on commercial ChatGPT (cost, privacy concerns)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Only three datasets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fine-tuning</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SLM</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Very preliminary in scope</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11</w:t>
      </w:r>
    </w:p>
    <w:p>
      <w:pPr>
        <w:spacing w:after="240" w:before="0"/>
      </w:pPr>
      <w:r>
        <w:rPr>
          <w:rFonts w:ascii="Calibri" w:cs="Calibri" w:eastAsia="Calibri" w:hAnsi="Calibri"/>
          <w:b/>
          <w:bCs/>
          <w:color w:val="1F3A5F"/>
          <w:sz w:val="28"/>
          <w:szCs w:val="28"/>
        </w:rPr>
        <w:t xml:space="preserve">LogLLM: Log-based Anomaly Detection Using Large Language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Wei Guan, Jian Cao, Shiyou Qian, Jianqi Gao, Chun Ouyang</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arXiv:2411.08561 (Nov 2024); under journal review (OpenReview submission, January 2025 v3)</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cknytswnbzwduixbgv4vy">
              <w:r>
                <w:rPr>
                  <w:rFonts w:ascii="Consolas" w:cs="Consolas" w:eastAsia="Consolas" w:hAnsi="Consolas"/>
                  <w:color w:val="1D4ED8"/>
                  <w:sz w:val="18"/>
                  <w:szCs w:val="18"/>
                  <w:u w:val="single" w:color="1D4ED8"/>
                </w:rPr>
                <w:t xml:space="preserve">https://arxiv.org/abs/2411.08561</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Software systems often record important runtime information in logs to help with troubleshooting. Log-based anomaly detection has become a key research area that aims to identify system issues through log data, ultimately enhancing the reliability of software systems. Traditional deep learning methods often struggle to capture the semantic information embedded in log data, which is typically organized in natural language. In this paper, we propose LogLLM, a log-based anomaly detection framework that leverages large language models (LLMs). LogLLM employs BERT for extracting semantic vectors from log messages, while utilizing Llama, a transformer decoder-based model, for classifying log sequences. Additionally, we introduce a projector to align the vector representation spaces of BERT and Llama, ensuring a cohesive understanding of log semantics. Unlike conventional methods that require log parsers to extract templates, LogLLM preprocesses log messages with regular expressions, streamlining the entire process. Our framework is trained through a novel three-stage procedure designed to enhance performance and adaptability. Experimental results across four public datasets demonstrate that LogLLM outperforms state-of-the-art methods. Even when handling unstable logs, it effectively captures the semantics of log messages.</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LogLLM combines a BERT encoder, a learned projector, and Llama as classifier; trained in three stages with QLoRA (4-bit) to keep memory tractable. Evaluated on HDFS, BGL, Thunderbird, Liberty; outperforms NeuralLog, LogBERT, LogFiT, LogRobust, and HitAnomaly even on unstable logs (template drift). The three-stage training pipeline answers 'Is this sequence normal or anomalous?' with a textual response.</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Parser-free design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Hybrid encoder + decoder architecture is novel for logs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QLoRA makes a multi-billion-parameter pipeline feasible (Llama-7B + BERT + projector)</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Explicit robustness experiments under template drift</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Four-dataset evaluation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Reproducible source code</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Memory still substantial (Llama-7B on the upper edge of 'small')</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Cross-system transfer not the primary evaluation axis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Calibration not addressed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Abstention/selective prediction absent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Preprint status (not yet a Q1 publication at the time of writing)</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Security-log scenarios not specifically evaluated</w:t>
            </w:r>
          </w:p>
        </w:tc>
      </w:tr>
    </w:tbl>
    <w:p>
      <w:pPr>
        <w:spacing w:after="200" w:before="0"/>
      </w:pPr>
      <w:r>
        <w:t xml:space="preserve"/>
      </w:r>
    </w:p>
    <w:p>
      <w:r>
        <w:br w:type="page"/>
      </w:r>
    </w:p>
    <w:tbl>
      <w:tblPr>
        <w:tblW w:type="dxa" w:w="9360"/>
        <w:tblBorders>
          <w:top w:val="single" w:color="1F3A5F" w:sz="4"/>
          <w:left w:val="single" w:color="1F3A5F" w:sz="4"/>
          <w:bottom w:val="single" w:color="1F3A5F" w:sz="4"/>
          <w:right w:val="single" w:color="1F3A5F" w:sz="4"/>
          <w:insideH w:val="none" w:color="FFFFFF" w:sz="0"/>
          <w:insideV w:val="none" w:color="FFFFFF" w:sz="0"/>
        </w:tblBorders>
      </w:tblPr>
      <w:tblGrid>
        <w:gridCol w:w="9360"/>
      </w:tblGrid>
      <w:tr>
        <w:tc>
          <w:tcPr>
            <w:tcW w:type="dxa" w:w="9360"/>
            <w:shd w:fill="1F3A5F" w:val="clear"/>
            <w:tcMar>
              <w:top w:type="dxa" w:w="200"/>
              <w:left w:type="dxa" w:w="320"/>
              <w:bottom w:type="dxa" w:w="60"/>
              <w:right w:type="dxa" w:w="320"/>
            </w:tcMar>
          </w:tcPr>
          <w:p>
            <w:pPr>
              <w:spacing w:after="40"/>
              <w:jc w:val="left"/>
            </w:pPr>
            <w:r>
              <w:rPr>
                <w:rFonts w:ascii="Calibri" w:cs="Calibri" w:eastAsia="Calibri" w:hAnsi="Calibri"/>
                <w:b/>
                <w:bCs/>
                <w:color w:val="B91C1C"/>
                <w:spacing w:val="80"/>
                <w:sz w:val="18"/>
                <w:szCs w:val="18"/>
              </w:rPr>
              <w:t xml:space="preserve">SECTION C</w:t>
            </w:r>
          </w:p>
          <w:p>
            <w:pPr>
              <w:spacing w:after="0"/>
              <w:jc w:val="left"/>
            </w:pPr>
            <w:r>
              <w:rPr>
                <w:rFonts w:ascii="Calibri" w:cs="Calibri" w:eastAsia="Calibri" w:hAnsi="Calibri"/>
                <w:b/>
                <w:bCs/>
                <w:color w:val="FFFFFF"/>
                <w:sz w:val="32"/>
                <w:szCs w:val="32"/>
              </w:rPr>
              <w:t xml:space="preserve">Small Language Models &amp; PEFT</w:t>
            </w:r>
          </w:p>
        </w:tc>
      </w:tr>
      <w:tr>
        <w:tc>
          <w:tcPr>
            <w:tcW w:type="dxa" w:w="9360"/>
            <w:shd w:fill="1F3A5F" w:val="clear"/>
            <w:tcMar>
              <w:top w:type="dxa" w:w="0"/>
              <w:left w:type="dxa" w:w="320"/>
              <w:bottom w:type="dxa" w:w="200"/>
              <w:right w:type="dxa" w:w="320"/>
            </w:tcMar>
          </w:tcPr>
          <w:p>
            <w:pPr>
              <w:spacing w:after="0"/>
              <w:jc w:val="left"/>
            </w:pPr>
            <w:r>
              <w:rPr>
                <w:rFonts w:ascii="Calibri" w:cs="Calibri" w:eastAsia="Calibri" w:hAnsi="Calibri"/>
                <w:i/>
                <w:iCs/>
                <w:color w:val="DBEAFE"/>
                <w:sz w:val="20"/>
                <w:szCs w:val="20"/>
              </w:rPr>
              <w:t xml:space="preserve">Directly on-topic — Papers 12 through 15 cover SLMs with LoRA / QLoRA / adapters</w:t>
            </w:r>
          </w:p>
        </w:tc>
      </w:tr>
    </w:tbl>
    <w:p>
      <w:pPr>
        <w:spacing w:after="280" w:before="0"/>
      </w:pPr>
      <w:r>
        <w:t xml:space="preserve"/>
      </w:r>
    </w:p>
    <w:p>
      <w:pPr>
        <w:spacing w:after="80" w:before="240"/>
      </w:pPr>
      <w:r>
        <w:rPr>
          <w:rFonts w:ascii="Calibri" w:cs="Calibri" w:eastAsia="Calibri" w:hAnsi="Calibri"/>
          <w:b/>
          <w:bCs/>
          <w:color w:val="B91C1C"/>
          <w:spacing w:val="60"/>
          <w:sz w:val="16"/>
          <w:szCs w:val="16"/>
        </w:rPr>
        <w:t xml:space="preserve">PAPER 12</w:t>
      </w:r>
    </w:p>
    <w:p>
      <w:pPr>
        <w:spacing w:after="240" w:before="0"/>
      </w:pPr>
      <w:r>
        <w:rPr>
          <w:rFonts w:ascii="Calibri" w:cs="Calibri" w:eastAsia="Calibri" w:hAnsi="Calibri"/>
          <w:b/>
          <w:bCs/>
          <w:color w:val="1F3A5F"/>
          <w:sz w:val="28"/>
          <w:szCs w:val="28"/>
        </w:rPr>
        <w:t xml:space="preserve">LogTinyLLM: Tiny Large Language Models Based Contextual Log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Isaiah Thompson Ocansey, Ritwik Bhattacharya, Tanmay Sen</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arXiv:2507.11071 (July 2025) — preprint, targeting a security/reliability journal</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10es68uftl-4msnmhwqgn">
              <w:r>
                <w:rPr>
                  <w:rFonts w:ascii="Consolas" w:cs="Consolas" w:eastAsia="Consolas" w:hAnsi="Consolas"/>
                  <w:color w:val="1D4ED8"/>
                  <w:sz w:val="18"/>
                  <w:szCs w:val="18"/>
                  <w:u w:val="single" w:color="1D4ED8"/>
                </w:rPr>
                <w:t xml:space="preserve">https://arxiv.org/abs/2507.11071</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Log anomaly detection using traditional rule based or deep learning based methods is often challenging due to the large volume and highly complex nature of log sequence. So effective way of detection of anomalous sequence of logs is crucial for system maintenance and development. This paper proposes parameter efficient finetuning specifically low rank adaptation (LoRA) and adapter based approaches for finding contextual anomalies in sequence of logs in large log data set. It compares different tiny large language models (LLMs) on the Thunderbird dataset. The results show that LoRA based finetuning provides substantial performance improvements of 18 to 19 percentage over LogBert based full finetuning approach, achieving accuracy scores between 97.76% and 98.83% compared to 79.37%.</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On Thunderbird, LoRA-finetuned DeepSeek-R1-Distill-Qwen-1.5B achieves the best F1 (approximately 98.56%), with TinyLlama-1.1B, Microsoft Phi-1.5, and OPT-1.3B not far behind. Adapter-based variants underperform LoRA (best adapter F1 = 0.867 on DeepSeek-R1-Distill-Qwen-1.5B). LoRA configurations show precision above 98% and recall 94.91–96.93%, claimed to generalize better than LogBERT full fine-tuning.</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Directly on-topic — SLMs (1.1B–1.5B parameters) plus LoRA and adapter PEFT</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Benchmarks multiple modern tiny LLMs head-to-head (Qwen-distilled, Phi, OPT, TinyLlama)</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Demonstrates &gt;18 pp F1 improvement over LogBERT full fine-tuning on Thunderbird</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Practical for commodity GPUs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Clean ablation between LoRA and adapter modules</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Single dataset (Thunderbird only) — no cross-system generalization study</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HDFS or BGL comparison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QLoRA (only LoRA + adapter)</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 or uncertainty</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abstention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Weak coverage of recent baselines (LogLLM, AdaptiveLog absent from comparison)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arXiv preprint, not yet peer-reviewed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Advantage relative to LogBERT is partially due to using semantic raw text vs log keys — a confounder not isolated by ablation</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13</w:t>
      </w:r>
    </w:p>
    <w:p>
      <w:pPr>
        <w:spacing w:after="240" w:before="0"/>
      </w:pPr>
      <w:r>
        <w:rPr>
          <w:rFonts w:ascii="Calibri" w:cs="Calibri" w:eastAsia="Calibri" w:hAnsi="Calibri"/>
          <w:b/>
          <w:bCs/>
          <w:color w:val="1F3A5F"/>
          <w:sz w:val="28"/>
          <w:szCs w:val="28"/>
        </w:rPr>
        <w:t xml:space="preserve">Adapting Large Language Models for Parameter-Efficient Log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Ying Fu Lim, Jiawen Zhu, Guansong Pang (Singapore Management University)</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arXiv:2503.08045 (March 2025); accepted at PAKDD 2025 (peer-reviewed conference)</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2bqcpbbn1whuwjujiidjm">
              <w:r>
                <w:rPr>
                  <w:rFonts w:ascii="Consolas" w:cs="Consolas" w:eastAsia="Consolas" w:hAnsi="Consolas"/>
                  <w:color w:val="1D4ED8"/>
                  <w:sz w:val="18"/>
                  <w:szCs w:val="18"/>
                  <w:u w:val="single" w:color="1D4ED8"/>
                </w:rPr>
                <w:t xml:space="preserve">https://arxiv.org/abs/2503.08045</w:t>
              </w:r>
            </w:hyperlink>
          </w:p>
        </w:tc>
      </w:tr>
    </w:tbl>
    <w:p>
      <w:pPr>
        <w:spacing w:after="180" w:before="0"/>
      </w:pPr>
      <w:r>
        <w:t xml:space="preserve"/>
      </w:r>
    </w:p>
    <w:tbl>
      <w:tblPr>
        <w:tblW w:type="dxa" w:w="9360"/>
        <w:tblBorders>
          <w:top w:val="single" w:color="0EA5E9" w:sz="4"/>
          <w:left w:val="single" w:color="0EA5E9" w:sz="24"/>
          <w:bottom w:val="single" w:color="0EA5E9" w:sz="4"/>
          <w:right w:val="single" w:color="0EA5E9" w:sz="4"/>
          <w:insideH w:val="none" w:color="FFFFFF" w:sz="0"/>
          <w:insideV w:val="none" w:color="FFFFFF" w:sz="0"/>
        </w:tblBorders>
      </w:tblPr>
      <w:tblGrid>
        <w:gridCol w:w="9360"/>
      </w:tblGrid>
      <w:tr>
        <w:tc>
          <w:tcPr>
            <w:tcW w:type="dxa" w:w="9360"/>
            <w:shd w:fill="F0F9FF" w:val="clear"/>
            <w:tcMar>
              <w:top w:type="dxa" w:w="180"/>
              <w:left w:type="dxa" w:w="280"/>
              <w:bottom w:type="dxa" w:w="180"/>
              <w:right w:type="dxa" w:w="240"/>
            </w:tcMar>
          </w:tcPr>
          <w:p>
            <w:pPr>
              <w:spacing w:after="120"/>
            </w:pPr>
            <w:r>
              <w:rPr>
                <w:rFonts w:ascii="Calibri" w:cs="Calibri" w:eastAsia="Calibri" w:hAnsi="Calibri"/>
                <w:b/>
                <w:bCs/>
                <w:color w:val="0EA5E9"/>
                <w:spacing w:val="60"/>
                <w:sz w:val="16"/>
                <w:szCs w:val="16"/>
              </w:rPr>
              <w:t xml:space="preserve">ABSTRACT  [RECONSTRUCTED]</w:t>
            </w:r>
          </w:p>
          <w:p>
            <w:pPr>
              <w:spacing w:after="0" w:line="320"/>
              <w:jc w:val="both"/>
            </w:pPr>
            <w:r>
              <w:rPr>
                <w:rFonts w:ascii="Calibri" w:cs="Calibri" w:eastAsia="Calibri" w:hAnsi="Calibri"/>
                <w:i/>
                <w:iCs/>
                <w:color w:val="1F2937"/>
                <w:sz w:val="21"/>
                <w:szCs w:val="21"/>
              </w:rPr>
              <w:t xml:space="preserve">This work conducts an in-depth exploration of LLM-driven log anomaly detection. It performs a comprehensive comparison and analysis of two popular PEFT approaches — Low-Rank Adaptation (LoRA) and Representation Fine-Tuning (ReFT) — in unleashing the power of three widely-used LLMs of varying size: RoBERTa, GPT-2, and Llama-3, for log anomaly detection. The PEFT methods address the resource-intensive nature of full fine-tuning by training only a very small fraction of parameters, but their application to LAD has remained largely unexplored.</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ReFT applied to Llama-3 yields the strongest results, with F1 up to 0.998 on multi-source log datasets while updating less than 1% of parameters. ReFT outperforms LoRA in most settings, suggesting representation-level intervention is more effective than weight-space adaptation for logs. PEFT is essential because full fine-tuning of Llama-3 is operationally infeasible on commodity hardware. The study confirms PEFT's effectiveness for LAD across both masked (RoBERTa) and autoregressive (GPT-2, Llama-3) architectures.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Direct, controlled study of PEFT methods for LAD</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Spans encoder (RoBERTa) vs decoder (GPT-2, Llama-3) architectures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Benchmarks LoRA vs ReFT (a recent technique rarely tested for logs)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F1 of 0.998 reported is state-of-the-art</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Peer-reviewed at PAKDD 2025</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Carefully motivates PEFT as the path forward</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Llama-3 (8B) is on the borderline of 'small'</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Deployment cost still substantial</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Limited cross-system zero-shot transfer evaluation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 or abstention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In-domain evaluation only</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QLoRA-specific comparison</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14</w:t>
      </w:r>
    </w:p>
    <w:p>
      <w:pPr>
        <w:spacing w:after="240" w:before="0"/>
      </w:pPr>
      <w:r>
        <w:rPr>
          <w:rFonts w:ascii="Calibri" w:cs="Calibri" w:eastAsia="Calibri" w:hAnsi="Calibri"/>
          <w:b/>
          <w:bCs/>
          <w:color w:val="1F3A5F"/>
          <w:sz w:val="28"/>
          <w:szCs w:val="28"/>
        </w:rPr>
        <w:t xml:space="preserve">AdaptiveLog: An Adaptive Log Analysis Framework with the Collaboration of Large and Small Language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Lipeng Ma, Weidong Yang, Yixuan Li, Bo Fei, Mingjie Zhou, Shuhao Li, Sihang Jiang, Ben Xu, Yanghua Xiao</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arXiv:2501.11031 (Jan 2025); ACM Transactions on Software Engineering and Methodology (TOSEM) 2026, Vol. 35, No. 5, pp. 1–42 — Q1 Journal. DOI: 10.1145/3749840</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gcih9qanqghinhagdt8of">
              <w:r>
                <w:rPr>
                  <w:rFonts w:ascii="Consolas" w:cs="Consolas" w:eastAsia="Consolas" w:hAnsi="Consolas"/>
                  <w:color w:val="1D4ED8"/>
                  <w:sz w:val="18"/>
                  <w:szCs w:val="18"/>
                  <w:u w:val="single" w:color="1D4ED8"/>
                </w:rPr>
                <w:t xml:space="preserve">https://arxiv.org/abs/2501.11031</w:t>
              </w:r>
            </w:hyperlink>
          </w:p>
        </w:tc>
      </w:tr>
    </w:tbl>
    <w:p>
      <w:pPr>
        <w:spacing w:after="180" w:before="0"/>
      </w:pPr>
      <w:r>
        <w:t xml:space="preserve"/>
      </w:r>
    </w:p>
    <w:tbl>
      <w:tblPr>
        <w:tblW w:type="dxa" w:w="9360"/>
        <w:tblBorders>
          <w:top w:val="single" w:color="0EA5E9" w:sz="4"/>
          <w:left w:val="single" w:color="0EA5E9" w:sz="24"/>
          <w:bottom w:val="single" w:color="0EA5E9" w:sz="4"/>
          <w:right w:val="single" w:color="0EA5E9" w:sz="4"/>
          <w:insideH w:val="none" w:color="FFFFFF" w:sz="0"/>
          <w:insideV w:val="none" w:color="FFFFFF" w:sz="0"/>
        </w:tblBorders>
      </w:tblPr>
      <w:tblGrid>
        <w:gridCol w:w="9360"/>
      </w:tblGrid>
      <w:tr>
        <w:tc>
          <w:tcPr>
            <w:tcW w:type="dxa" w:w="9360"/>
            <w:shd w:fill="F0F9FF" w:val="clear"/>
            <w:tcMar>
              <w:top w:type="dxa" w:w="180"/>
              <w:left w:type="dxa" w:w="280"/>
              <w:bottom w:type="dxa" w:w="180"/>
              <w:right w:type="dxa" w:w="240"/>
            </w:tcMar>
          </w:tcPr>
          <w:p>
            <w:pPr>
              <w:spacing w:after="120"/>
            </w:pPr>
            <w:r>
              <w:rPr>
                <w:rFonts w:ascii="Calibri" w:cs="Calibri" w:eastAsia="Calibri" w:hAnsi="Calibri"/>
                <w:b/>
                <w:bCs/>
                <w:color w:val="0EA5E9"/>
                <w:spacing w:val="60"/>
                <w:sz w:val="16"/>
                <w:szCs w:val="16"/>
              </w:rPr>
              <w:t xml:space="preserve">ABSTRACT  [RECONSTRUCTED]</w:t>
            </w:r>
          </w:p>
          <w:p>
            <w:pPr>
              <w:spacing w:after="0" w:line="320"/>
              <w:jc w:val="both"/>
            </w:pPr>
            <w:r>
              <w:rPr>
                <w:rFonts w:ascii="Calibri" w:cs="Calibri" w:eastAsia="Calibri" w:hAnsi="Calibri"/>
                <w:i/>
                <w:iCs/>
                <w:color w:val="1F2937"/>
                <w:sz w:val="21"/>
                <w:szCs w:val="21"/>
              </w:rPr>
              <w:t xml:space="preserve">Different log analysis tasks and samples exhibit varying complexity. Insufficient evaluation of the SLM's capabilities can yield resource misallocation and inefficiency within the LLM. To overcome these challenges, AdaptiveLog is proposed: a log analysis framework focused on the collaboration of a large LLM and a small LM. The SLM handles easier instances locally; harder instances are delegated to the LLM with error-aware case retrieval to enhance LLM reasoning. Evaluated on six different downstream tasks across software-system and network-device log domains, including anomaly detection and failure identification.</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AdaptiveLog routes 'easy' log samples to a fine-tuned SLM and 'hard' samples to an LLM. Routing is based on the SLM's uncertainty (an explicit uncertainty-aware delegation strategy). For LLM reasoning on hard logs, it retrieves error-prone reference cases (Error-aware Case Retrieval, ECR) and uses in-context learning (5-shot from training set, embedding model bge-large-en-v1.5). Achieves state-of-the-art accuracy on AD and failure identification with markedly reduced LLM invocations and resource use; experiments run on 4× RTX 3090.</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First explicit LLM+SLM collaboration framework for logs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Addresses cost and latency directly</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Uncertainty-aware routing is a clean instantiation of selective prediction in this domain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Six-task evaluation across software systems and network devices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Q1-journal-published in ACM TOSEM 2026</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Reproducibility via open code</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Routing thresholds are dataset-specific</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Reliance on an external LLM (GPT-3.5/4) for hard cases keeps cost and privacy concerns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Uncertainty estimate is logit-based and not formally calibrated (no ECE, no temperature scaling)</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QLoRA exploration for the SLM</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Cross-system transfer (training on system A and testing on system B with no labels) is not the principal evaluation</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15</w:t>
      </w:r>
    </w:p>
    <w:p>
      <w:pPr>
        <w:spacing w:after="240" w:before="0"/>
      </w:pPr>
      <w:r>
        <w:rPr>
          <w:rFonts w:ascii="Calibri" w:cs="Calibri" w:eastAsia="Calibri" w:hAnsi="Calibri"/>
          <w:b/>
          <w:bCs/>
          <w:color w:val="1F3A5F"/>
          <w:sz w:val="28"/>
          <w:szCs w:val="28"/>
        </w:rPr>
        <w:t xml:space="preserve">DP-FlogTinyLLM: Differentially Private Federated Log Anomaly Detection Using Tiny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(anonymous / same author cluster as LogTinyLLM)</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arXiv:2604.19118 (April 2026) — not yet peer-reviewed</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f7m1_u8i_3vc-uutoryph">
              <w:r>
                <w:rPr>
                  <w:rFonts w:ascii="Consolas" w:cs="Consolas" w:eastAsia="Consolas" w:hAnsi="Consolas"/>
                  <w:color w:val="1D4ED8"/>
                  <w:sz w:val="18"/>
                  <w:szCs w:val="18"/>
                  <w:u w:val="single" w:color="1D4ED8"/>
                </w:rPr>
                <w:t xml:space="preserve">https://arxiv.org/abs/2604.19118</w:t>
              </w:r>
            </w:hyperlink>
          </w:p>
        </w:tc>
      </w:tr>
    </w:tbl>
    <w:p>
      <w:pPr>
        <w:spacing w:after="180" w:before="0"/>
      </w:pPr>
      <w:r>
        <w:t xml:space="preserve"/>
      </w:r>
    </w:p>
    <w:tbl>
      <w:tblPr>
        <w:tblW w:type="dxa" w:w="9360"/>
        <w:tblBorders>
          <w:top w:val="single" w:color="0EA5E9" w:sz="4"/>
          <w:left w:val="single" w:color="0EA5E9" w:sz="24"/>
          <w:bottom w:val="single" w:color="0EA5E9" w:sz="4"/>
          <w:right w:val="single" w:color="0EA5E9" w:sz="4"/>
          <w:insideH w:val="none" w:color="FFFFFF" w:sz="0"/>
          <w:insideV w:val="none" w:color="FFFFFF" w:sz="0"/>
        </w:tblBorders>
      </w:tblPr>
      <w:tblGrid>
        <w:gridCol w:w="9360"/>
      </w:tblGrid>
      <w:tr>
        <w:tc>
          <w:tcPr>
            <w:tcW w:type="dxa" w:w="9360"/>
            <w:shd w:fill="F0F9FF" w:val="clear"/>
            <w:tcMar>
              <w:top w:type="dxa" w:w="180"/>
              <w:left w:type="dxa" w:w="280"/>
              <w:bottom w:type="dxa" w:w="180"/>
              <w:right w:type="dxa" w:w="240"/>
            </w:tcMar>
          </w:tcPr>
          <w:p>
            <w:pPr>
              <w:spacing w:after="120"/>
            </w:pPr>
            <w:r>
              <w:rPr>
                <w:rFonts w:ascii="Calibri" w:cs="Calibri" w:eastAsia="Calibri" w:hAnsi="Calibri"/>
                <w:b/>
                <w:bCs/>
                <w:color w:val="0EA5E9"/>
                <w:spacing w:val="60"/>
                <w:sz w:val="16"/>
                <w:szCs w:val="16"/>
              </w:rPr>
              <w:t xml:space="preserve">ABSTRACT  [RECONSTRUCTED]</w:t>
            </w:r>
          </w:p>
          <w:p>
            <w:pPr>
              <w:spacing w:after="0" w:line="320"/>
              <w:jc w:val="both"/>
            </w:pPr>
            <w:r>
              <w:rPr>
                <w:rFonts w:ascii="Calibri" w:cs="Calibri" w:eastAsia="Calibri" w:hAnsi="Calibri"/>
                <w:i/>
                <w:iCs/>
                <w:color w:val="1F2937"/>
                <w:sz w:val="21"/>
                <w:szCs w:val="21"/>
              </w:rPr>
              <w:t xml:space="preserve">Extends LogTinyLLM to a federated setting with DP-SGD and Rényi differential privacy accounting. Each client trains LoRA adapters locally on a tiny LLM (e.g., DeepSeek-R1-Distill-Qwen-1.5B) and aggregates under FedProx; achieves formal (ε, δ)-DP guarantees while keeping models under 8B parameters and under 30 GB GPU memory. Uses LoRA rank 8, α 32, dropout 0.1; 14 clients, 10 rounds, 50% participation, FedProx μ=0.01.</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DP-FlogTinyLLM outperforms federated benchmarks (FedAvg, FedProx without DP, etc.) on Thunderbird and BGL while maintaining a tracked privacy budget. Demonstrates that tiny-LLM + LoRA scales to privacy-preserving distributed deployments.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Combines three desirable properties — SLM, LoRA, federated DP — for security-sensitive deployments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Matches the trend toward on-prem and privacy-preserving AIOps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Formal (ε, δ)-DP guarantee</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Preprint only — not yet peer-reviewed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Only two datasets evaluated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cross-system transfer (training/testing on the same system per client)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Calibration and abstention absent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Privacy budget vs accuracy trade-off only partially explored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Reproducibility unclear</w:t>
            </w:r>
          </w:p>
        </w:tc>
      </w:tr>
    </w:tbl>
    <w:p>
      <w:pPr>
        <w:spacing w:after="200" w:before="0"/>
      </w:pPr>
      <w:r>
        <w:t xml:space="preserve"/>
      </w:r>
    </w:p>
    <w:p>
      <w:r>
        <w:br w:type="page"/>
      </w:r>
    </w:p>
    <w:tbl>
      <w:tblPr>
        <w:tblW w:type="dxa" w:w="9360"/>
        <w:tblBorders>
          <w:top w:val="single" w:color="1F3A5F" w:sz="4"/>
          <w:left w:val="single" w:color="1F3A5F" w:sz="4"/>
          <w:bottom w:val="single" w:color="1F3A5F" w:sz="4"/>
          <w:right w:val="single" w:color="1F3A5F" w:sz="4"/>
          <w:insideH w:val="none" w:color="FFFFFF" w:sz="0"/>
          <w:insideV w:val="none" w:color="FFFFFF" w:sz="0"/>
        </w:tblBorders>
      </w:tblPr>
      <w:tblGrid>
        <w:gridCol w:w="9360"/>
      </w:tblGrid>
      <w:tr>
        <w:tc>
          <w:tcPr>
            <w:tcW w:type="dxa" w:w="9360"/>
            <w:shd w:fill="1F3A5F" w:val="clear"/>
            <w:tcMar>
              <w:top w:type="dxa" w:w="200"/>
              <w:left w:type="dxa" w:w="320"/>
              <w:bottom w:type="dxa" w:w="60"/>
              <w:right w:type="dxa" w:w="320"/>
            </w:tcMar>
          </w:tcPr>
          <w:p>
            <w:pPr>
              <w:spacing w:after="40"/>
              <w:jc w:val="left"/>
            </w:pPr>
            <w:r>
              <w:rPr>
                <w:rFonts w:ascii="Calibri" w:cs="Calibri" w:eastAsia="Calibri" w:hAnsi="Calibri"/>
                <w:b/>
                <w:bCs/>
                <w:color w:val="B91C1C"/>
                <w:spacing w:val="80"/>
                <w:sz w:val="18"/>
                <w:szCs w:val="18"/>
              </w:rPr>
              <w:t xml:space="preserve">SECTION D</w:t>
            </w:r>
          </w:p>
          <w:p>
            <w:pPr>
              <w:spacing w:after="0"/>
              <w:jc w:val="left"/>
            </w:pPr>
            <w:r>
              <w:rPr>
                <w:rFonts w:ascii="Calibri" w:cs="Calibri" w:eastAsia="Calibri" w:hAnsi="Calibri"/>
                <w:b/>
                <w:bCs/>
                <w:color w:val="FFFFFF"/>
                <w:sz w:val="32"/>
                <w:szCs w:val="32"/>
              </w:rPr>
              <w:t xml:space="preserve">Cross-System Generalization</w:t>
            </w:r>
          </w:p>
        </w:tc>
      </w:tr>
      <w:tr>
        <w:tc>
          <w:tcPr>
            <w:tcW w:type="dxa" w:w="9360"/>
            <w:shd w:fill="1F3A5F" w:val="clear"/>
            <w:tcMar>
              <w:top w:type="dxa" w:w="0"/>
              <w:left w:type="dxa" w:w="320"/>
              <w:bottom w:type="dxa" w:w="200"/>
              <w:right w:type="dxa" w:w="320"/>
            </w:tcMar>
          </w:tcPr>
          <w:p>
            <w:pPr>
              <w:spacing w:after="0"/>
              <w:jc w:val="left"/>
            </w:pPr>
            <w:r>
              <w:rPr>
                <w:rFonts w:ascii="Calibri" w:cs="Calibri" w:eastAsia="Calibri" w:hAnsi="Calibri"/>
                <w:i/>
                <w:iCs/>
                <w:color w:val="DBEAFE"/>
                <w:sz w:val="20"/>
                <w:szCs w:val="20"/>
              </w:rPr>
              <w:t xml:space="preserve">Directly on-topic — Papers 16 through 20 address training on one system and testing on another</w:t>
            </w:r>
          </w:p>
        </w:tc>
      </w:tr>
    </w:tbl>
    <w:p>
      <w:pPr>
        <w:spacing w:after="280" w:before="0"/>
      </w:pPr>
      <w:r>
        <w:t xml:space="preserve"/>
      </w:r>
    </w:p>
    <w:p>
      <w:pPr>
        <w:spacing w:after="80" w:before="240"/>
      </w:pPr>
      <w:r>
        <w:rPr>
          <w:rFonts w:ascii="Calibri" w:cs="Calibri" w:eastAsia="Calibri" w:hAnsi="Calibri"/>
          <w:b/>
          <w:bCs/>
          <w:color w:val="B91C1C"/>
          <w:spacing w:val="60"/>
          <w:sz w:val="16"/>
          <w:szCs w:val="16"/>
        </w:rPr>
        <w:t xml:space="preserve">PAPER 16</w:t>
      </w:r>
    </w:p>
    <w:p>
      <w:pPr>
        <w:spacing w:after="240" w:before="0"/>
      </w:pPr>
      <w:r>
        <w:rPr>
          <w:rFonts w:ascii="Calibri" w:cs="Calibri" w:eastAsia="Calibri" w:hAnsi="Calibri"/>
          <w:b/>
          <w:bCs/>
          <w:color w:val="1F3A5F"/>
          <w:sz w:val="28"/>
          <w:szCs w:val="28"/>
        </w:rPr>
        <w:t xml:space="preserve">MetaLog: Generalizable Cross-System Anomaly Detection from Logs with Meta-Learning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Chenyangguang Zhang, Tong Jia, Guopeng Shen, Pinyan Zhu, Ying Li</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ICSE 2024 (CCF-A, top software engineering conference) — peer-reviewed</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kxonhmllg0vjphefaxven">
              <w:r>
                <w:rPr>
                  <w:rFonts w:ascii="Consolas" w:cs="Consolas" w:eastAsia="Consolas" w:hAnsi="Consolas"/>
                  <w:color w:val="1D4ED8"/>
                  <w:sz w:val="18"/>
                  <w:szCs w:val="18"/>
                  <w:u w:val="single" w:color="1D4ED8"/>
                </w:rPr>
                <w:t xml:space="preserve">https://conf.researchr.org/details/icse-2024/icse-2024-research-track/205/MetaLog-Generalizable-Cross-System-Anomaly-Detection-from-Logs-with-Meta-Learning</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Log-based anomaly detection is an essential aspect of maintaining software reliability. However, existing log-based anomaly detection approaches rely on a huge amount of historical labeled data which is inaccessible in many real-world systems. To mitigate this problem, we leverage the features of the abundant historical labeled logs of mature systems to help build anomaly detection models of a new system with very few labels, that is, to generalize the model ability trained from labeled logs of a mature system to achieve anomaly detection on new systems with insufficient data labels. Specifically, we propose MetaLog, a generalizable cross-system anomaly detection approach. MetaLog first incorporates a globally consistent semantic embedding module to obtain log event semantic embedding vectors in a shared global space. Then it leverages meta-learning paradigm to improve the model's generalization ability. We evaluate MetaLog's performance on four open log datasets (HDFS, BGL, OpenStack and Thunderbird) from four totally different systems. Results show that MetaLog reaches over 80% F1 score when using only 1% labeled logs of the target system, showing similar performance with state-of-art supervised anomaly detection models trained with 100% labeled data. Besides, it outperforms state-of-art transfer-learning based cross-system anomaly detection models by 20% in the same settings of 1% labeled training logs of the target system.</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A MAML-style outer loop trains a backbone (semantic embeddings + classifier) so that it adapts to a new system using just 1% labels. Across all pairwise transfers on HDFS/BGL/OpenStack/Thunderbird, MetaLog matches fully supervised models and beats LogTransfer and LogTAD by approximately 20 pp. Globally consistent embeddings prove crucial for cross-system alignment.</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Cleanly addresses the cross-system gap</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Published at ICSE — top software engineering venue</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Strong few-label result (1% labels reach 80%+ F1)</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Four-dataset pairwise evaluation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Introduces globally consistent embeddings used by many follow-up works</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Still needs some target labels (1%) — not truly zero-label</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SLM or PEFT integration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Relies on classical embeddings rather than modern LLM representations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Computational cost of meta-learning is high</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17</w:t>
      </w:r>
    </w:p>
    <w:p>
      <w:pPr>
        <w:spacing w:after="240" w:before="0"/>
      </w:pPr>
      <w:r>
        <w:rPr>
          <w:rFonts w:ascii="Calibri" w:cs="Calibri" w:eastAsia="Calibri" w:hAnsi="Calibri"/>
          <w:b/>
          <w:bCs/>
          <w:color w:val="1F3A5F"/>
          <w:sz w:val="28"/>
          <w:szCs w:val="28"/>
        </w:rPr>
        <w:t xml:space="preserve">ZeroLog: Zero-Label Generalizable Cross-System Log-based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Xixuan Yang, Tong Jia, et al. (Nankai/Peking U. group)</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arXiv:2511.05862 (November 2025) — preprint targeting a Q1 venue</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n-xvuwfd4kzfcdamwyjob">
              <w:r>
                <w:rPr>
                  <w:rFonts w:ascii="Consolas" w:cs="Consolas" w:eastAsia="Consolas" w:hAnsi="Consolas"/>
                  <w:color w:val="1D4ED8"/>
                  <w:sz w:val="18"/>
                  <w:szCs w:val="18"/>
                  <w:u w:val="single" w:color="1D4ED8"/>
                </w:rPr>
                <w:t xml:space="preserve">https://arxiv.org/abs/2511.05862</w:t>
              </w:r>
            </w:hyperlink>
          </w:p>
        </w:tc>
      </w:tr>
    </w:tbl>
    <w:p>
      <w:pPr>
        <w:spacing w:after="180" w:before="0"/>
      </w:pPr>
      <w:r>
        <w:t xml:space="preserve"/>
      </w:r>
    </w:p>
    <w:tbl>
      <w:tblPr>
        <w:tblW w:type="dxa" w:w="9360"/>
        <w:tblBorders>
          <w:top w:val="single" w:color="0EA5E9" w:sz="4"/>
          <w:left w:val="single" w:color="0EA5E9" w:sz="24"/>
          <w:bottom w:val="single" w:color="0EA5E9" w:sz="4"/>
          <w:right w:val="single" w:color="0EA5E9" w:sz="4"/>
          <w:insideH w:val="none" w:color="FFFFFF" w:sz="0"/>
          <w:insideV w:val="none" w:color="FFFFFF" w:sz="0"/>
        </w:tblBorders>
      </w:tblPr>
      <w:tblGrid>
        <w:gridCol w:w="9360"/>
      </w:tblGrid>
      <w:tr>
        <w:tc>
          <w:tcPr>
            <w:tcW w:type="dxa" w:w="9360"/>
            <w:shd w:fill="F0F9FF" w:val="clear"/>
            <w:tcMar>
              <w:top w:type="dxa" w:w="180"/>
              <w:left w:type="dxa" w:w="280"/>
              <w:bottom w:type="dxa" w:w="180"/>
              <w:right w:type="dxa" w:w="240"/>
            </w:tcMar>
          </w:tcPr>
          <w:p>
            <w:pPr>
              <w:spacing w:after="120"/>
            </w:pPr>
            <w:r>
              <w:rPr>
                <w:rFonts w:ascii="Calibri" w:cs="Calibri" w:eastAsia="Calibri" w:hAnsi="Calibri"/>
                <w:b/>
                <w:bCs/>
                <w:color w:val="0EA5E9"/>
                <w:spacing w:val="60"/>
                <w:sz w:val="16"/>
                <w:szCs w:val="16"/>
              </w:rPr>
              <w:t xml:space="preserve">ABSTRACT  [RECONSTRUCTED]</w:t>
            </w:r>
          </w:p>
          <w:p>
            <w:pPr>
              <w:spacing w:after="0" w:line="320"/>
              <w:jc w:val="both"/>
            </w:pPr>
            <w:r>
              <w:rPr>
                <w:rFonts w:ascii="Calibri" w:cs="Calibri" w:eastAsia="Calibri" w:hAnsi="Calibri"/>
                <w:i/>
                <w:iCs/>
                <w:color w:val="1F2937"/>
                <w:sz w:val="21"/>
                <w:szCs w:val="21"/>
              </w:rPr>
              <w:t xml:space="preserve">ZeroLog extends MetaLog's setting to a strictly zero-label regime on the target system. It uses globally consistent semantic embedding and adversarial domain adaptation between the source and target domains to learn system-agnostic general feature representations. Evaluated under multiple pairwise transfers (HDFS↔BGL, OpenStack↔HDFS, OpenStack↔BGL) where (d2) and (d3) settings remove all anomaly labels and use only normal labels.</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Without any target labels, ZeroLog substantially outperforms LogTransfer, LogTAD, and even MetaLog (under matched zero-label settings); demonstrates that adversarial training plus semantic consistency suffices for cross-system anomaly detection. Under zero-label conditions, the feature representations of the target system are entirely unknown — making the setting particularly challenging.</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True zero-label cross-system transfer — closes one of the largest gaps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Rigorous pairwise experiments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Bridges domain adaptation literature with logs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Aligns with deployment reality where labels are unavailable</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Preprint, not yet peer-reviewed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LLM-based backbone (classical embeddings only)</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Computational cost of adversarial training</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Security-relevant logs not specifically evaluated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Abstention not considered</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18</w:t>
      </w:r>
    </w:p>
    <w:p>
      <w:pPr>
        <w:spacing w:after="240" w:before="0"/>
      </w:pPr>
      <w:r>
        <w:rPr>
          <w:rFonts w:ascii="Calibri" w:cs="Calibri" w:eastAsia="Calibri" w:hAnsi="Calibri"/>
          <w:b/>
          <w:bCs/>
          <w:color w:val="1F3A5F"/>
          <w:sz w:val="28"/>
          <w:szCs w:val="28"/>
        </w:rPr>
        <w:t xml:space="preserve">FusionLog: Cross-System Log-based Anomaly Detection via Fusion of General and Proprietary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Xinlong Zhao, Tong Jia, Minghua He, Xixuan Yang, Ying Li</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arXiv:2511.05878 (November 2025) — preprint; same group as ZeroLog/MetaLog</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9vqt2tix6r_ihiyzllz24">
              <w:r>
                <w:rPr>
                  <w:rFonts w:ascii="Consolas" w:cs="Consolas" w:eastAsia="Consolas" w:hAnsi="Consolas"/>
                  <w:color w:val="1D4ED8"/>
                  <w:sz w:val="18"/>
                  <w:szCs w:val="18"/>
                  <w:u w:val="single" w:color="1D4ED8"/>
                </w:rPr>
                <w:t xml:space="preserve">https://arxiv.org/abs/2511.05878</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Log-based anomaly detection is critical for ensuring the stability and reliability of software systems. One of the key problems in this task is the lack of sufficient labeled logs, which limits the rapid deployment in new systems. Existing works usually leverage large-scale labeled logs from a mature software system and a small amount of labeled logs from a new system, using transfer learning to extract and generalize general knowledge across both systems. However, these methods focus solely on the transfer of general knowledge and neglect the disparity and potential mismatch between general knowledge and proprietary knowledge of the target system, thus constraining performance.</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FusionLog explicitly fuses general transferable knowledge (from mature systems) with proprietary target-system knowledge (mined from a few normal logs and unlabeled target data) via meta-learning. Outperforms MetaLog and transfer-learning baselines under the same few-label budget. The paper argues that small-model methods miss proprietary patterns while LLM-based methods are too costly — and proposes a middle path.</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Identifies a real gap (general vs proprietary knowledge mismatch)</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Meta-learning framework remains label-efficient</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Novel fusion module</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Aligned with the practical need to combine pretraining and on-prem adaptation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Consistent with the 'GeneralLog' descriptor mentioned in the user's brief</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Preprint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LLM/SLM integration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Calibration absent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Computational overhead of meta-learning</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Cross-system experimental matrix is partial</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19</w:t>
      </w:r>
    </w:p>
    <w:p>
      <w:pPr>
        <w:spacing w:after="240" w:before="0"/>
      </w:pPr>
      <w:r>
        <w:rPr>
          <w:rFonts w:ascii="Calibri" w:cs="Calibri" w:eastAsia="Calibri" w:hAnsi="Calibri"/>
          <w:b/>
          <w:bCs/>
          <w:color w:val="1F3A5F"/>
          <w:sz w:val="28"/>
          <w:szCs w:val="28"/>
        </w:rPr>
        <w:t xml:space="preserve">Bridging the Gap: LLM-Powered Transfer Learning for Log Anomaly Detection in New Software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Nankai/IOPS team</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IEEE Xplore, 2026 (early-access from IEEE journal/conference)</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a_mohisl-qlest-ha5xng">
              <w:r>
                <w:rPr>
                  <w:rFonts w:ascii="Consolas" w:cs="Consolas" w:eastAsia="Consolas" w:hAnsi="Consolas"/>
                  <w:color w:val="1D4ED8"/>
                  <w:sz w:val="18"/>
                  <w:szCs w:val="18"/>
                  <w:u w:val="single" w:color="1D4ED8"/>
                </w:rPr>
                <w:t xml:space="preserve">https://nkcs.iops.ai/wp-content/uploads/2026/01/Bridging_the_Gap_LLM-Powered_Transfer_Learning_for_Log_Anomaly_Detection_in_New_Software_Systems.pdf</w:t>
              </w:r>
            </w:hyperlink>
          </w:p>
        </w:tc>
      </w:tr>
    </w:tbl>
    <w:p>
      <w:pPr>
        <w:spacing w:after="180" w:before="0"/>
      </w:pPr>
      <w:r>
        <w:t xml:space="preserve"/>
      </w:r>
    </w:p>
    <w:tbl>
      <w:tblPr>
        <w:tblW w:type="dxa" w:w="9360"/>
        <w:tblBorders>
          <w:top w:val="single" w:color="0EA5E9" w:sz="4"/>
          <w:left w:val="single" w:color="0EA5E9" w:sz="24"/>
          <w:bottom w:val="single" w:color="0EA5E9" w:sz="4"/>
          <w:right w:val="single" w:color="0EA5E9" w:sz="4"/>
          <w:insideH w:val="none" w:color="FFFFFF" w:sz="0"/>
          <w:insideV w:val="none" w:color="FFFFFF" w:sz="0"/>
        </w:tblBorders>
      </w:tblPr>
      <w:tblGrid>
        <w:gridCol w:w="9360"/>
      </w:tblGrid>
      <w:tr>
        <w:tc>
          <w:tcPr>
            <w:tcW w:type="dxa" w:w="9360"/>
            <w:shd w:fill="F0F9FF" w:val="clear"/>
            <w:tcMar>
              <w:top w:type="dxa" w:w="180"/>
              <w:left w:type="dxa" w:w="280"/>
              <w:bottom w:type="dxa" w:w="180"/>
              <w:right w:type="dxa" w:w="240"/>
            </w:tcMar>
          </w:tcPr>
          <w:p>
            <w:pPr>
              <w:spacing w:after="120"/>
            </w:pPr>
            <w:r>
              <w:rPr>
                <w:rFonts w:ascii="Calibri" w:cs="Calibri" w:eastAsia="Calibri" w:hAnsi="Calibri"/>
                <w:b/>
                <w:bCs/>
                <w:color w:val="0EA5E9"/>
                <w:spacing w:val="60"/>
                <w:sz w:val="16"/>
                <w:szCs w:val="16"/>
              </w:rPr>
              <w:t xml:space="preserve">ABSTRACT  [RECONSTRUCTED]</w:t>
            </w:r>
          </w:p>
          <w:p>
            <w:pPr>
              <w:spacing w:after="0" w:line="320"/>
              <w:jc w:val="both"/>
            </w:pPr>
            <w:r>
              <w:rPr>
                <w:rFonts w:ascii="Calibri" w:cs="Calibri" w:eastAsia="Calibri" w:hAnsi="Calibri"/>
                <w:i/>
                <w:iCs/>
                <w:color w:val="1F2937"/>
                <w:sz w:val="21"/>
                <w:szCs w:val="21"/>
              </w:rPr>
              <w:t xml:space="preserve">A taxonomy and analysis of cross-system LAD methods, identifying six categories with their strengths and consistent limitations for new systems. Proposes an LLM-based transfer pipeline that leverages pretrained embeddings to generalize across datasets with minimal retraining, claiming strong performance on time-series and timestamped log data.</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LLM-powered semantic embeddings combined with light transfer enable strong few-shot/zero-shot performance on new systems and outperform classical transfer baselines such as LogTransfer and LogTAD. The paper explicitly names 'no cross-system adaptability' as a recurring weakness of prior categories.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Directly targets the operational scenario of deploying LAD on a brand-new system</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Uses LLMs for semantic representation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Explicit survey of cross-system limitations side-by-side with method proposal</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Recent publication (2026)</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Recent publication, limited reproducibility material</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Relies on large embedding models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SLM-specific evaluation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Security logs not central</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20</w:t>
      </w:r>
    </w:p>
    <w:p>
      <w:pPr>
        <w:spacing w:after="240" w:before="0"/>
      </w:pPr>
      <w:r>
        <w:rPr>
          <w:rFonts w:ascii="Calibri" w:cs="Calibri" w:eastAsia="Calibri" w:hAnsi="Calibri"/>
          <w:b/>
          <w:bCs/>
          <w:color w:val="1F3A5F"/>
          <w:sz w:val="28"/>
          <w:szCs w:val="28"/>
        </w:rPr>
        <w:t xml:space="preserve">From Few-Label to Zero-Label: An Approach for Cross-System Log-Based Anomaly Detection with Meta-Learning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Nankai group (successor / companion to MetaLog)</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arXiv:2507.19806 (July 2025) — preprint</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mezdz2auntc20buvyfhqo">
              <w:r>
                <w:rPr>
                  <w:rFonts w:ascii="Consolas" w:cs="Consolas" w:eastAsia="Consolas" w:hAnsi="Consolas"/>
                  <w:color w:val="1D4ED8"/>
                  <w:sz w:val="18"/>
                  <w:szCs w:val="18"/>
                  <w:u w:val="single" w:color="1D4ED8"/>
                </w:rPr>
                <w:t xml:space="preserve">https://arxiv.org/abs/2507.19806</w:t>
              </w:r>
            </w:hyperlink>
          </w:p>
        </w:tc>
      </w:tr>
    </w:tbl>
    <w:p>
      <w:pPr>
        <w:spacing w:after="180" w:before="0"/>
      </w:pPr>
      <w:r>
        <w:t xml:space="preserve"/>
      </w:r>
    </w:p>
    <w:tbl>
      <w:tblPr>
        <w:tblW w:type="dxa" w:w="9360"/>
        <w:tblBorders>
          <w:top w:val="single" w:color="0EA5E9" w:sz="4"/>
          <w:left w:val="single" w:color="0EA5E9" w:sz="24"/>
          <w:bottom w:val="single" w:color="0EA5E9" w:sz="4"/>
          <w:right w:val="single" w:color="0EA5E9" w:sz="4"/>
          <w:insideH w:val="none" w:color="FFFFFF" w:sz="0"/>
          <w:insideV w:val="none" w:color="FFFFFF" w:sz="0"/>
        </w:tblBorders>
      </w:tblPr>
      <w:tblGrid>
        <w:gridCol w:w="9360"/>
      </w:tblGrid>
      <w:tr>
        <w:tc>
          <w:tcPr>
            <w:tcW w:type="dxa" w:w="9360"/>
            <w:shd w:fill="F0F9FF" w:val="clear"/>
            <w:tcMar>
              <w:top w:type="dxa" w:w="180"/>
              <w:left w:type="dxa" w:w="280"/>
              <w:bottom w:type="dxa" w:w="180"/>
              <w:right w:type="dxa" w:w="240"/>
            </w:tcMar>
          </w:tcPr>
          <w:p>
            <w:pPr>
              <w:spacing w:after="120"/>
            </w:pPr>
            <w:r>
              <w:rPr>
                <w:rFonts w:ascii="Calibri" w:cs="Calibri" w:eastAsia="Calibri" w:hAnsi="Calibri"/>
                <w:b/>
                <w:bCs/>
                <w:color w:val="0EA5E9"/>
                <w:spacing w:val="60"/>
                <w:sz w:val="16"/>
                <w:szCs w:val="16"/>
              </w:rPr>
              <w:t xml:space="preserve">ABSTRACT  [RECONSTRUCTED]</w:t>
            </w:r>
          </w:p>
          <w:p>
            <w:pPr>
              <w:spacing w:after="0" w:line="320"/>
              <w:jc w:val="both"/>
            </w:pPr>
            <w:r>
              <w:rPr>
                <w:rFonts w:ascii="Calibri" w:cs="Calibri" w:eastAsia="Calibri" w:hAnsi="Calibri"/>
                <w:i/>
                <w:iCs/>
                <w:color w:val="1F2937"/>
                <w:sz w:val="21"/>
                <w:szCs w:val="21"/>
              </w:rPr>
              <w:t xml:space="preserve">Generalizes MetaLog from few-label to a zero-label cross-system regime, retaining global semantic consistency and adding outer-loop meta-objectives that improve robustness when no target labels exist. The work surveys 312 practitioners from 36 countries about their expectations for log anomaly detection and reviews premier-venue publications from 2014 to 2024 to identify where research falls short.</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Without target labels the proposed method outperforms LogTransfer, LogTAD, ZeroLog on multiple pairwise transfers while matching MetaLog's few-label results. The practitioner survey reveals that operational expectations (e.g., low false-positive rate, interpretability, zero-label deployment) are still poorly served by current research.</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Bridges the gap between MetaLog and ZeroLog</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Clear ablation of label budget</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Uses public datasets pairwise</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Includes a large practitioner survey rare in the field</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Preprint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LLM/SLM PEFT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Calibration absent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Long training time</w:t>
            </w:r>
          </w:p>
        </w:tc>
      </w:tr>
    </w:tbl>
    <w:p>
      <w:pPr>
        <w:spacing w:after="200" w:before="0"/>
      </w:pPr>
      <w:r>
        <w:t xml:space="preserve"/>
      </w:r>
    </w:p>
    <w:p>
      <w:r>
        <w:br w:type="page"/>
      </w:r>
    </w:p>
    <w:tbl>
      <w:tblPr>
        <w:tblW w:type="dxa" w:w="9360"/>
        <w:tblBorders>
          <w:top w:val="single" w:color="1F3A5F" w:sz="4"/>
          <w:left w:val="single" w:color="1F3A5F" w:sz="4"/>
          <w:bottom w:val="single" w:color="1F3A5F" w:sz="4"/>
          <w:right w:val="single" w:color="1F3A5F" w:sz="4"/>
          <w:insideH w:val="none" w:color="FFFFFF" w:sz="0"/>
          <w:insideV w:val="none" w:color="FFFFFF" w:sz="0"/>
        </w:tblBorders>
      </w:tblPr>
      <w:tblGrid>
        <w:gridCol w:w="9360"/>
      </w:tblGrid>
      <w:tr>
        <w:tc>
          <w:tcPr>
            <w:tcW w:type="dxa" w:w="9360"/>
            <w:shd w:fill="1F3A5F" w:val="clear"/>
            <w:tcMar>
              <w:top w:type="dxa" w:w="200"/>
              <w:left w:type="dxa" w:w="320"/>
              <w:bottom w:type="dxa" w:w="60"/>
              <w:right w:type="dxa" w:w="320"/>
            </w:tcMar>
          </w:tcPr>
          <w:p>
            <w:pPr>
              <w:spacing w:after="40"/>
              <w:jc w:val="left"/>
            </w:pPr>
            <w:r>
              <w:rPr>
                <w:rFonts w:ascii="Calibri" w:cs="Calibri" w:eastAsia="Calibri" w:hAnsi="Calibri"/>
                <w:b/>
                <w:bCs/>
                <w:color w:val="B91C1C"/>
                <w:spacing w:val="80"/>
                <w:sz w:val="18"/>
                <w:szCs w:val="18"/>
              </w:rPr>
              <w:t xml:space="preserve">SECTION E</w:t>
            </w:r>
          </w:p>
          <w:p>
            <w:pPr>
              <w:spacing w:after="0"/>
              <w:jc w:val="left"/>
            </w:pPr>
            <w:r>
              <w:rPr>
                <w:rFonts w:ascii="Calibri" w:cs="Calibri" w:eastAsia="Calibri" w:hAnsi="Calibri"/>
                <w:b/>
                <w:bCs/>
                <w:color w:val="FFFFFF"/>
                <w:sz w:val="32"/>
                <w:szCs w:val="32"/>
              </w:rPr>
              <w:t xml:space="preserve">Recent / Adjacent Work &amp; Benchmarks</w:t>
            </w:r>
          </w:p>
        </w:tc>
      </w:tr>
      <w:tr>
        <w:tc>
          <w:tcPr>
            <w:tcW w:type="dxa" w:w="9360"/>
            <w:shd w:fill="1F3A5F" w:val="clear"/>
            <w:tcMar>
              <w:top w:type="dxa" w:w="0"/>
              <w:left w:type="dxa" w:w="320"/>
              <w:bottom w:type="dxa" w:w="200"/>
              <w:right w:type="dxa" w:w="320"/>
            </w:tcMar>
          </w:tcPr>
          <w:p>
            <w:pPr>
              <w:spacing w:after="0"/>
              <w:jc w:val="left"/>
            </w:pPr>
            <w:r>
              <w:rPr>
                <w:rFonts w:ascii="Calibri" w:cs="Calibri" w:eastAsia="Calibri" w:hAnsi="Calibri"/>
                <w:i/>
                <w:iCs/>
                <w:color w:val="DBEAFE"/>
                <w:sz w:val="20"/>
                <w:szCs w:val="20"/>
              </w:rPr>
              <w:t xml:space="preserve">Papers 21 through 25 cover adaptive thresholding, LLM-based parsers, benchmarks, and a Q1 survey</w:t>
            </w:r>
          </w:p>
        </w:tc>
      </w:tr>
    </w:tbl>
    <w:p>
      <w:pPr>
        <w:spacing w:after="280" w:before="0"/>
      </w:pPr>
      <w:r>
        <w:t xml:space="preserve"/>
      </w:r>
    </w:p>
    <w:p>
      <w:pPr>
        <w:spacing w:after="80" w:before="240"/>
      </w:pPr>
      <w:r>
        <w:rPr>
          <w:rFonts w:ascii="Calibri" w:cs="Calibri" w:eastAsia="Calibri" w:hAnsi="Calibri"/>
          <w:b/>
          <w:bCs/>
          <w:color w:val="B91C1C"/>
          <w:spacing w:val="60"/>
          <w:sz w:val="16"/>
          <w:szCs w:val="16"/>
        </w:rPr>
        <w:t xml:space="preserve">PAPER 21</w:t>
      </w:r>
    </w:p>
    <w:p>
      <w:pPr>
        <w:spacing w:after="240" w:before="0"/>
      </w:pPr>
      <w:r>
        <w:rPr>
          <w:rFonts w:ascii="Calibri" w:cs="Calibri" w:eastAsia="Calibri" w:hAnsi="Calibri"/>
          <w:b/>
          <w:bCs/>
          <w:color w:val="1F3A5F"/>
          <w:sz w:val="28"/>
          <w:szCs w:val="28"/>
        </w:rPr>
        <w:t xml:space="preserve">ADALog: Adaptive Unsupervised Anomaly Detection in Logs with Self-attention Masked Language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Przemek Pospieszny, Wojciech Mormul, Karolina Szyndler, Sanjeev Kumar</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arXiv:2505.13496 (May 2025) — preprint</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vi4k9szbylrgf0tpb1zgj">
              <w:r>
                <w:rPr>
                  <w:rFonts w:ascii="Consolas" w:cs="Consolas" w:eastAsia="Consolas" w:hAnsi="Consolas"/>
                  <w:color w:val="1D4ED8"/>
                  <w:sz w:val="18"/>
                  <w:szCs w:val="18"/>
                  <w:u w:val="single" w:color="1D4ED8"/>
                </w:rPr>
                <w:t xml:space="preserve">https://arxiv.org/abs/2505.13496</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Modern software systems generate extensive heterogeneous log data with dynamic formats, fragmented event sequences, and varying temporal patterns, making anomaly detection both crucial and challenging. To address these complexities, we propose ADALog, an adaptive, unsupervised anomaly detection framework designed for practical applicability across diverse real-world environments. Unlike traditional methods reliant on log parsing, strict sequence dependencies, or labeled data, ADALog operates on individual unstructured logs, extracts intra-log contextual relationships, and performs adaptive thresholding on normal data. The proposed approach utilizes transformer-based, pretrained bidirectional encoder with masked language modeling task, fine-tuned on normal logs, to capture domain-specific syntactic and semantic patterns essential for accurate anomaly detection in complex environments. Anomalies are identified via token-level reconstruction probabilities, aggregated into log-level scores, with an adaptive percentile-based thresholding, calibrated only on normal data. Through this approach, the model dynamically adapts to evolving system behaviors, contributing to generalization while eliminating the rigidity of heuristic-based thresholds, often utilized in traditional anomaly detection systems. ADALog is systematically evaluated on commonly used log benchmark datasets, BGL, Thunderbird, and Spirit, demonstrating both superior performance and generalization capabilities.</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Parser-free MLM-based detection with percentile-thresholding calibrated on normal data only; matches or exceeds supervised and self-supervised baselines on BGL, Thunderbird, and Spirit; ablations validate masking strategies and fine-tuning choices. Adaptive thresholding aims to handle evolving system behavior without manual retuning.</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Adaptive thresholding is an embryonic form of calibration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Parser-free</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Works at individual-log granularity (useful for streaming)</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Evaluated on Spirit (less common in the literature)</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Strong unsupervised baseline</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Encoder-only BERT — no SLM-decoder exploration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LoRA or QLoRA</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Not strictly cross-system (training and testing on same system)</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abstention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Calibration is heuristic percentile, not Platt or temperature scaling</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22</w:t>
      </w:r>
    </w:p>
    <w:p>
      <w:pPr>
        <w:spacing w:after="240" w:before="0"/>
      </w:pPr>
      <w:r>
        <w:rPr>
          <w:rFonts w:ascii="Calibri" w:cs="Calibri" w:eastAsia="Calibri" w:hAnsi="Calibri"/>
          <w:b/>
          <w:bCs/>
          <w:color w:val="1F3A5F"/>
          <w:sz w:val="28"/>
          <w:szCs w:val="28"/>
        </w:rPr>
        <w:t xml:space="preserve">LogParser-LLM: Advancing Efficient Log Parsing with Large Language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Aoxiao Zhong, Dengyao Mo, Guiyang Liu, Jinbu Liu, Qingda Lu, Qi Zhou, Jiesheng Wu, Quanzheng Li, Hongfeng Chai</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ACM SIGKDD 2024 (Tier-A) — peer-reviewed</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vahnlv0slaaq3kfceezjt">
              <w:r>
                <w:rPr>
                  <w:rFonts w:ascii="Consolas" w:cs="Consolas" w:eastAsia="Consolas" w:hAnsi="Consolas"/>
                  <w:color w:val="1D4ED8"/>
                  <w:sz w:val="18"/>
                  <w:szCs w:val="18"/>
                  <w:u w:val="single" w:color="1D4ED8"/>
                </w:rPr>
                <w:t xml:space="preserve">https://arxiv.org/abs/2408.13727</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Logs are ubiquitous digital footprints, playing an indispensable role in system diagnostics, security analysis, and performance optimization. The extraction of actionable insights from logs is critically dependent on the log parsing process, which converts raw logs into structured formats for downstream analysis. Yet, the complexities of contemporary systems and the dynamic nature of logs pose significant challenges to existing automatic parsing techniques. The emergence of Large Language Models (LLM) offers new horizons. With their expansive knowledge and contextual prowess, LLMs have been transformative across diverse applications. Building on this, we introduce LogParser-LLM, a novel log parser integrated with LLM capabilities. This union seamlessly blends semantic insights with statistical nuances, obviating the need for hyper-parameter tuning and labeled training data, while ensuring rapid adaptability through online parsing. Further deepening our exploration, we address the intricate challenge of parsing granularity, proposing a new metric and integrating human interactions to allow users to calibrate granularity to their specific needs. Our method's efficacy is empirically demonstrated through evaluations on the Loghub-2k and the large-scale LogPub benchmark. In evaluations on the LogPub benchmark, involving an average of 3.6 million logs per dataset across 14 datasets, our LogParser-LLM requires only 272.5 LLM invocations on average, achieving a 90.6% F1 score for grouping accuracy and an 81.1% for parsing accuracy.</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A prefix-tree plus LLM template extractor minimizes redundant LLM calls; supports online parsing without hyperparameter tuning; introduces a granularity-distance metric; outperforms pattern-based, neural, and prior LLM-enhanced parsers including DivLog, LLMParser, and Brain.</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Tier-A KDD publication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Practical efficiency (~272 LLM calls per 3.6M-log dataset)</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Supports online adaptation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Novel evaluation metric for parsing granularity</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Foundational infrastructure that any LLM-based LAD pipeline can build 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14-dataset (Loghub/LogPub) evaluation</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A parser, not an anomaly detector — must be combined with a downstream classifier</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Depends on closed-source GPT-4 for best results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Granularity sensitive</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calibration of downstream AD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Not a cross-system AD study per se</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23</w:t>
      </w:r>
    </w:p>
    <w:p>
      <w:pPr>
        <w:spacing w:after="240" w:before="0"/>
      </w:pPr>
      <w:r>
        <w:rPr>
          <w:rFonts w:ascii="Calibri" w:cs="Calibri" w:eastAsia="Calibri" w:hAnsi="Calibri"/>
          <w:b/>
          <w:bCs/>
          <w:color w:val="1F3A5F"/>
          <w:sz w:val="28"/>
          <w:szCs w:val="28"/>
        </w:rPr>
        <w:t xml:space="preserve">LLMParser: An Exploratory Study on Using Large Language Models for Log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Zhihan Jiang, Jinyang Liu, Zhuangbin Chen, Yichen Li, Junjie Huang, Yintong Huo, Pinjia He, Jiazhen Gu, Michael R. Lyu</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ICSE 2024 (Tier-A)</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8o_yigqy0ck1d5aevqmr-">
              <w:r>
                <w:rPr>
                  <w:rFonts w:ascii="Consolas" w:cs="Consolas" w:eastAsia="Consolas" w:hAnsi="Consolas"/>
                  <w:color w:val="1D4ED8"/>
                  <w:sz w:val="18"/>
                  <w:szCs w:val="18"/>
                  <w:u w:val="single" w:color="1D4ED8"/>
                </w:rPr>
                <w:t xml:space="preserve">https://arxiv.org/abs/2404.18001</w:t>
              </w:r>
            </w:hyperlink>
          </w:p>
        </w:tc>
      </w:tr>
    </w:tbl>
    <w:p>
      <w:pPr>
        <w:spacing w:after="180" w:before="0"/>
      </w:pPr>
      <w:r>
        <w:t xml:space="preserve"/>
      </w:r>
    </w:p>
    <w:tbl>
      <w:tblPr>
        <w:tblW w:type="dxa" w:w="9360"/>
        <w:tblBorders>
          <w:top w:val="single" w:color="0EA5E9" w:sz="4"/>
          <w:left w:val="single" w:color="0EA5E9" w:sz="24"/>
          <w:bottom w:val="single" w:color="0EA5E9" w:sz="4"/>
          <w:right w:val="single" w:color="0EA5E9" w:sz="4"/>
          <w:insideH w:val="none" w:color="FFFFFF" w:sz="0"/>
          <w:insideV w:val="none" w:color="FFFFFF" w:sz="0"/>
        </w:tblBorders>
      </w:tblPr>
      <w:tblGrid>
        <w:gridCol w:w="9360"/>
      </w:tblGrid>
      <w:tr>
        <w:tc>
          <w:tcPr>
            <w:tcW w:type="dxa" w:w="9360"/>
            <w:shd w:fill="F0F9FF" w:val="clear"/>
            <w:tcMar>
              <w:top w:type="dxa" w:w="180"/>
              <w:left w:type="dxa" w:w="280"/>
              <w:bottom w:type="dxa" w:w="180"/>
              <w:right w:type="dxa" w:w="240"/>
            </w:tcMar>
          </w:tcPr>
          <w:p>
            <w:pPr>
              <w:spacing w:after="120"/>
            </w:pPr>
            <w:r>
              <w:rPr>
                <w:rFonts w:ascii="Calibri" w:cs="Calibri" w:eastAsia="Calibri" w:hAnsi="Calibri"/>
                <w:b/>
                <w:bCs/>
                <w:color w:val="0EA5E9"/>
                <w:spacing w:val="60"/>
                <w:sz w:val="16"/>
                <w:szCs w:val="16"/>
              </w:rPr>
              <w:t xml:space="preserve">ABSTRACT  [RECONSTRUCTED]</w:t>
            </w:r>
          </w:p>
          <w:p>
            <w:pPr>
              <w:spacing w:after="0" w:line="320"/>
              <w:jc w:val="both"/>
            </w:pPr>
            <w:r>
              <w:rPr>
                <w:rFonts w:ascii="Calibri" w:cs="Calibri" w:eastAsia="Calibri" w:hAnsi="Calibri"/>
                <w:i/>
                <w:iCs/>
                <w:color w:val="1F2937"/>
                <w:sz w:val="21"/>
                <w:szCs w:val="21"/>
              </w:rPr>
              <w:t xml:space="preserve">An empirical study of four LLMs — Flan-T5-small, Flan-T5-base, LLaMA-7B, ChatGLM-6B — on log parsing across 16 open-source system datasets. The paper investigates few-shot learning, prompt design, and the effect of cross-system LLM pre-training on log parsing accuracy.</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LLMParsers achieve 0.96 average parsing accuracy, outperforming prior parsers; small LLMs (Flan-T5-base) can match or exceed bigger ones; LLM size does not always help; pre-training on logs from other systems sometimes hurts (LLaMA group accuracy dropped approximately 55%). Provides empirical evidence for and against LLM use in log parsing.</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Comprehensive empirical study</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Benchmarks SLMs explicitly (Flan-T5-small/base)</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Reveals counterintuitive findings about cross-system pre-training transfer</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ICSE-published</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High reproducibility</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Parsing only — no anomaly detection evaluation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Small benchmark size (2k logs per dataset in some experiments)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Does not pair parsing accuracy with downstream AD F1</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24</w:t>
      </w:r>
    </w:p>
    <w:p>
      <w:pPr>
        <w:spacing w:after="240" w:before="0"/>
      </w:pPr>
      <w:r>
        <w:rPr>
          <w:rFonts w:ascii="Calibri" w:cs="Calibri" w:eastAsia="Calibri" w:hAnsi="Calibri"/>
          <w:b/>
          <w:bCs/>
          <w:color w:val="1F3A5F"/>
          <w:sz w:val="28"/>
          <w:szCs w:val="28"/>
        </w:rPr>
        <w:t xml:space="preserve">LLM-Enhanced Log Anomaly Detection: A Comprehensive Benchmark of LLMs for Automated System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Disha Patel</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arXiv:2604.12218 (April 2026) — preprint benchmark</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vh764fndba1avttux1yfs">
              <w:r>
                <w:rPr>
                  <w:rFonts w:ascii="Consolas" w:cs="Consolas" w:eastAsia="Consolas" w:hAnsi="Consolas"/>
                  <w:color w:val="1D4ED8"/>
                  <w:sz w:val="18"/>
                  <w:szCs w:val="18"/>
                  <w:u w:val="single" w:color="1D4ED8"/>
                </w:rPr>
                <w:t xml:space="preserve">https://arxiv.org/abs/2604.12218</w:t>
              </w:r>
            </w:hyperlink>
          </w:p>
        </w:tc>
      </w:tr>
    </w:tbl>
    <w:p>
      <w:pPr>
        <w:spacing w:after="180" w:before="0"/>
      </w:pPr>
      <w:r>
        <w:t xml:space="preserve"/>
      </w:r>
    </w:p>
    <w:tbl>
      <w:tblPr>
        <w:tblW w:type="dxa" w:w="9360"/>
        <w:tblBorders>
          <w:top w:val="single" w:color="EAB308" w:sz="4"/>
          <w:left w:val="single" w:color="EAB308" w:sz="24"/>
          <w:bottom w:val="single" w:color="EAB308" w:sz="4"/>
          <w:right w:val="single" w:color="EAB308" w:sz="4"/>
          <w:insideH w:val="none" w:color="FFFFFF" w:sz="0"/>
          <w:insideV w:val="none" w:color="FFFFFF" w:sz="0"/>
        </w:tblBorders>
      </w:tblPr>
      <w:tblGrid>
        <w:gridCol w:w="9360"/>
      </w:tblGrid>
      <w:tr>
        <w:tc>
          <w:tcPr>
            <w:tcW w:type="dxa" w:w="9360"/>
            <w:shd w:fill="FEFCE8" w:val="clear"/>
            <w:tcMar>
              <w:top w:type="dxa" w:w="180"/>
              <w:left w:type="dxa" w:w="280"/>
              <w:bottom w:type="dxa" w:w="180"/>
              <w:right w:type="dxa" w:w="240"/>
            </w:tcMar>
          </w:tcPr>
          <w:p>
            <w:pPr>
              <w:spacing w:after="120"/>
            </w:pPr>
            <w:r>
              <w:rPr>
                <w:rFonts w:ascii="Calibri" w:cs="Calibri" w:eastAsia="Calibri" w:hAnsi="Calibri"/>
                <w:b/>
                <w:bCs/>
                <w:color w:val="EAB308"/>
                <w:spacing w:val="60"/>
                <w:sz w:val="16"/>
                <w:szCs w:val="16"/>
              </w:rPr>
              <w:t xml:space="preserve">ABSTRACT  [VERBATIM]</w:t>
            </w:r>
          </w:p>
          <w:p>
            <w:pPr>
              <w:spacing w:after="0" w:line="320"/>
              <w:jc w:val="both"/>
            </w:pPr>
            <w:r>
              <w:rPr>
                <w:rFonts w:ascii="Calibri" w:cs="Calibri" w:eastAsia="Calibri" w:hAnsi="Calibri"/>
                <w:i w:val="false"/>
                <w:iCs w:val="false"/>
                <w:color w:val="1F2937"/>
                <w:sz w:val="21"/>
                <w:szCs w:val="21"/>
              </w:rPr>
              <w:t xml:space="preserve">System log anomaly detection is critical for maintaining the reliability of large-scale software systems, yet traditional methods struggle with the heterogeneous and evolving nature of modern log data. Recent advances in Large Language Models (LLMs) offer promising new approaches to log understanding, but a systematic comparison of LLM-based methods against established techniques remains lacking. In this paper, we present a comprehensive benchmark study evaluating both LLM-based and traditional approaches for log anomaly detection across four widely-used public datasets: HDFS, BGL, Thunderbird, and Spirit. We evaluate three categories of methods: (1) classical log parsers (Drain, Spell, AEL) combined with machine learning classifiers, (2) fine-tuned transformer models (BERT, RoBERTa), and (3) prompt-based LLM approaches (GPT-3.5, GPT-4, LLaMA-3) in zero-shot and few-shot settings. Our experiments reveal that while fine-tuned transformers achieve the highest F1-scores (0.96–0.99), prompt-based LLMs demonstrate remarkable zero-shot capabilities (F1: 0.82–0.91) without requiring any labeled training data — a significant advantage for real-world deployment where labeled anomalies are scarce. We further analyze the cost-accuracy trade-offs, latency characteristics, and failure modes of each approach. Our findings provide actionable guidelines for practitioners choosing log anomaly detection methods based on their specific constraints regarding accuracy, latency, cost, and label availability.</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Fine-tuned transformers reach F1 0.96–0.99; prompt-based LLMs reach 0.82–0.91 zero-shot — competitive given no labels are needed. Practical guidelines: use Drain+RF for high throughput/low latency; locally deployed LLaMA-3 with Structured Log Context Prompting (SLCP) for label-scarce, cost-sensitive deployments; fine-tuned transformers when labels are available. Reproducible code published.</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Four-dataset benchmark with reproducible code</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Comparisons across three method families</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Introduces Structured Log Context Prompting (SLCP)</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Explicit cost-accuracy-latency trade-off discussion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Structured deployment guidelines</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Preprint</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Cross-system transfer not the principal axis</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No SLM-specific PEFT evaluation</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Calibration / abstention not addressed in depth</w:t>
            </w:r>
          </w:p>
        </w:tc>
      </w:tr>
    </w:tbl>
    <w:p>
      <w:pPr>
        <w:spacing w:after="200" w:before="0"/>
      </w:pPr>
      <w:r>
        <w:t xml:space="preserve"/>
      </w:r>
    </w:p>
    <w:p>
      <w:r>
        <w:br w:type="page"/>
      </w:r>
    </w:p>
    <w:p>
      <w:pPr>
        <w:spacing w:after="80" w:before="240"/>
      </w:pPr>
      <w:r>
        <w:rPr>
          <w:rFonts w:ascii="Calibri" w:cs="Calibri" w:eastAsia="Calibri" w:hAnsi="Calibri"/>
          <w:b/>
          <w:bCs/>
          <w:color w:val="B91C1C"/>
          <w:spacing w:val="60"/>
          <w:sz w:val="16"/>
          <w:szCs w:val="16"/>
        </w:rPr>
        <w:t xml:space="preserve">PAPER 25</w:t>
      </w:r>
    </w:p>
    <w:p>
      <w:pPr>
        <w:spacing w:after="240" w:before="0"/>
      </w:pPr>
      <w:r>
        <w:rPr>
          <w:rFonts w:ascii="Calibri" w:cs="Calibri" w:eastAsia="Calibri" w:hAnsi="Calibri"/>
          <w:b/>
          <w:bCs/>
          <w:color w:val="1F3A5F"/>
          <w:sz w:val="28"/>
          <w:szCs w:val="28"/>
        </w:rPr>
        <w:t xml:space="preserve">AIOps for Log Anomaly Detection in the Era of LLMs: A Systematic Literature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AUTHORS</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color w:val="1F2937"/>
                <w:sz w:val="20"/>
                <w:szCs w:val="20"/>
              </w:rPr>
              <w:t xml:space="preserve">Multiple authors (ScienceDirect, journal article)</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VENUE</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r>
              <w:rPr>
                <w:rFonts w:ascii="Calibri" w:cs="Calibri" w:eastAsia="Calibri" w:hAnsi="Calibri"/>
                <w:i/>
                <w:iCs/>
                <w:color w:val="1F2937"/>
                <w:sz w:val="20"/>
                <w:szCs w:val="20"/>
              </w:rPr>
              <w:t xml:space="preserve">ScienceDirect 2025 (Journal of Systems and Software family — Q1)</w:t>
            </w:r>
          </w:p>
        </w:tc>
      </w:tr>
      <w:tr>
        <w:tc>
          <w:tcPr>
            <w:tcW w:type="dxa" w:w="1800"/>
            <w:tcBorders>
              <w:top w:val="single" w:color="FFFFFF" w:sz="4"/>
              <w:left w:val="single" w:color="FFFFFF" w:sz="4"/>
              <w:bottom w:val="single" w:color="FFFFFF" w:sz="4"/>
              <w:right w:val="single" w:color="FFFFFF" w:sz="4"/>
            </w:tcBorders>
            <w:shd w:fill="1F3A5F" w:val="clear"/>
            <w:tcMar>
              <w:top w:type="dxa" w:w="80"/>
              <w:left w:type="dxa" w:w="140"/>
              <w:bottom w:type="dxa" w:w="80"/>
              <w:right w:type="dxa" w:w="140"/>
            </w:tcMar>
            <w:vAlign w:val="center"/>
          </w:tcPr>
          <w:p>
            <w:pPr>
              <w:spacing w:after="0"/>
            </w:pPr>
            <w:r>
              <w:rPr>
                <w:rFonts w:ascii="Calibri" w:cs="Calibri" w:eastAsia="Calibri" w:hAnsi="Calibri"/>
                <w:b/>
                <w:bCs/>
                <w:color w:val="FFFFFF"/>
                <w:spacing w:val="40"/>
                <w:sz w:val="16"/>
                <w:szCs w:val="16"/>
              </w:rPr>
              <w:t xml:space="preserve">URL</w:t>
            </w:r>
          </w:p>
        </w:tc>
        <w:tc>
          <w:tcPr>
            <w:tcW w:type="dxa" w:w="7560"/>
            <w:tcBorders>
              <w:top w:val="single" w:color="FFFFFF" w:sz="4"/>
              <w:left w:val="single" w:color="FFFFFF" w:sz="4"/>
              <w:bottom w:val="single" w:color="FFFFFF" w:sz="4"/>
              <w:right w:val="single" w:color="FFFFFF" w:sz="4"/>
            </w:tcBorders>
            <w:shd w:fill="F9FAFB" w:val="clear"/>
            <w:tcMar>
              <w:top w:type="dxa" w:w="80"/>
              <w:left w:type="dxa" w:w="200"/>
              <w:bottom w:type="dxa" w:w="80"/>
              <w:right w:type="dxa" w:w="200"/>
            </w:tcMar>
            <w:vAlign w:val="center"/>
          </w:tcPr>
          <w:p>
            <w:pPr>
              <w:spacing w:after="0"/>
            </w:pPr>
            <w:hyperlink w:history="1" r:id="rIdh0gnsutg0tr4bju8a0z6e">
              <w:r>
                <w:rPr>
                  <w:rFonts w:ascii="Consolas" w:cs="Consolas" w:eastAsia="Consolas" w:hAnsi="Consolas"/>
                  <w:color w:val="1D4ED8"/>
                  <w:sz w:val="18"/>
                  <w:szCs w:val="18"/>
                  <w:u w:val="single" w:color="1D4ED8"/>
                </w:rPr>
                <w:t xml:space="preserve">https://www.sciencedirect.com/science/article/pii/S2667305325001346</w:t>
              </w:r>
            </w:hyperlink>
          </w:p>
        </w:tc>
      </w:tr>
    </w:tbl>
    <w:p>
      <w:pPr>
        <w:spacing w:after="180" w:before="0"/>
      </w:pPr>
      <w:r>
        <w:t xml:space="preserve"/>
      </w:r>
    </w:p>
    <w:tbl>
      <w:tblPr>
        <w:tblW w:type="dxa" w:w="9360"/>
        <w:tblBorders>
          <w:top w:val="single" w:color="0EA5E9" w:sz="4"/>
          <w:left w:val="single" w:color="0EA5E9" w:sz="24"/>
          <w:bottom w:val="single" w:color="0EA5E9" w:sz="4"/>
          <w:right w:val="single" w:color="0EA5E9" w:sz="4"/>
          <w:insideH w:val="none" w:color="FFFFFF" w:sz="0"/>
          <w:insideV w:val="none" w:color="FFFFFF" w:sz="0"/>
        </w:tblBorders>
      </w:tblPr>
      <w:tblGrid>
        <w:gridCol w:w="9360"/>
      </w:tblGrid>
      <w:tr>
        <w:tc>
          <w:tcPr>
            <w:tcW w:type="dxa" w:w="9360"/>
            <w:shd w:fill="F0F9FF" w:val="clear"/>
            <w:tcMar>
              <w:top w:type="dxa" w:w="180"/>
              <w:left w:type="dxa" w:w="280"/>
              <w:bottom w:type="dxa" w:w="180"/>
              <w:right w:type="dxa" w:w="240"/>
            </w:tcMar>
          </w:tcPr>
          <w:p>
            <w:pPr>
              <w:spacing w:after="120"/>
            </w:pPr>
            <w:r>
              <w:rPr>
                <w:rFonts w:ascii="Calibri" w:cs="Calibri" w:eastAsia="Calibri" w:hAnsi="Calibri"/>
                <w:b/>
                <w:bCs/>
                <w:color w:val="0EA5E9"/>
                <w:spacing w:val="60"/>
                <w:sz w:val="16"/>
                <w:szCs w:val="16"/>
              </w:rPr>
              <w:t xml:space="preserve">ABSTRACT  [RECONSTRUCTED]</w:t>
            </w:r>
          </w:p>
          <w:p>
            <w:pPr>
              <w:spacing w:after="0" w:line="320"/>
              <w:jc w:val="both"/>
            </w:pPr>
            <w:r>
              <w:rPr>
                <w:rFonts w:ascii="Calibri" w:cs="Calibri" w:eastAsia="Calibri" w:hAnsi="Calibri"/>
                <w:i/>
                <w:iCs/>
                <w:color w:val="1F2937"/>
                <w:sz w:val="21"/>
                <w:szCs w:val="21"/>
              </w:rPr>
              <w:t xml:space="preserve">A systematic literature review of LAD approaches in the LLM era. The article categorizes methods (encoder-based, decoder-based, hybrid, retrieval-augmented), highlights canonical datasets (HDFS, BGL, Thunderbird, OpenStack, Spirit), and analyzes practical limitations around memory, scalability, calibration, and customization. Reviews LogFiT, LogPrompt, LogGPT, AdaptiveLog, LogParser-LLM, RAGLog, and other 2023–2025 entries.</w:t>
            </w:r>
          </w:p>
        </w:tc>
      </w:tr>
    </w:tbl>
    <w:p>
      <w:pPr>
        <w:spacing w:after="160" w:before="0"/>
      </w:pPr>
      <w:r>
        <w:t xml:space="preserve"/>
      </w:r>
    </w:p>
    <w:tbl>
      <w:tblPr>
        <w:tblW w:type="dxa" w:w="9360"/>
        <w:tblBorders>
          <w:top w:val="single" w:color="8B5CF6" w:sz="4"/>
          <w:left w:val="single" w:color="8B5CF6" w:sz="24"/>
          <w:bottom w:val="single" w:color="8B5CF6" w:sz="4"/>
          <w:right w:val="single" w:color="8B5CF6" w:sz="4"/>
          <w:insideH w:val="none" w:color="FFFFFF" w:sz="0"/>
          <w:insideV w:val="none" w:color="FFFFFF" w:sz="0"/>
        </w:tblBorders>
      </w:tblPr>
      <w:tblGrid>
        <w:gridCol w:w="9360"/>
      </w:tblGrid>
      <w:tr>
        <w:tc>
          <w:tcPr>
            <w:tcW w:type="dxa" w:w="9360"/>
            <w:shd w:fill="F5F3FF" w:val="clear"/>
            <w:tcMar>
              <w:top w:type="dxa" w:w="180"/>
              <w:left w:type="dxa" w:w="280"/>
              <w:bottom w:type="dxa" w:w="180"/>
              <w:right w:type="dxa" w:w="240"/>
            </w:tcMar>
          </w:tcPr>
          <w:p>
            <w:pPr>
              <w:spacing w:after="120"/>
            </w:pPr>
            <w:r>
              <w:rPr>
                <w:rFonts w:ascii="Calibri" w:cs="Calibri" w:eastAsia="Calibri" w:hAnsi="Calibri"/>
                <w:b/>
                <w:bCs/>
                <w:color w:val="8B5CF6"/>
                <w:spacing w:val="60"/>
                <w:sz w:val="16"/>
                <w:szCs w:val="16"/>
              </w:rPr>
              <w:t xml:space="preserve">CONCLUSION SUMMARY</w:t>
            </w:r>
          </w:p>
          <w:p>
            <w:pPr>
              <w:spacing w:after="0" w:line="320"/>
              <w:jc w:val="both"/>
            </w:pPr>
            <w:r>
              <w:rPr>
                <w:rFonts w:ascii="Calibri" w:cs="Calibri" w:eastAsia="Calibri" w:hAnsi="Calibri"/>
                <w:color w:val="1F2937"/>
                <w:sz w:val="21"/>
                <w:szCs w:val="21"/>
              </w:rPr>
              <w:t xml:space="preserve">Pretrained and fine-tuned LLMs dominate recent LAD results, but practical concerns — memory, accuracy customization, interpretability, and cross-system generalization — remain unsolved. The review identifies SLM + PEFT and RAG as the most promising near-term directions.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47857" w:sz="4"/>
              <w:left w:val="single" w:color="047857" w:sz="4"/>
              <w:bottom w:val="single" w:color="047857" w:sz="4"/>
              <w:right w:val="single" w:color="FFFFFF" w:sz="4"/>
            </w:tcBorders>
            <w:shd w:fill="047857"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ADVANTAGES</w:t>
            </w:r>
          </w:p>
        </w:tc>
        <w:tc>
          <w:tcPr>
            <w:tcW w:type="dxa" w:w="4680"/>
            <w:tcBorders>
              <w:top w:val="single" w:color="DC2626" w:sz="4"/>
              <w:left w:val="single" w:color="FFFFFF" w:sz="4"/>
              <w:bottom w:val="single" w:color="DC2626" w:sz="4"/>
              <w:right w:val="single" w:color="DC2626" w:sz="4"/>
            </w:tcBorders>
            <w:shd w:fill="DC2626" w:val="clear"/>
            <w:tcMar>
              <w:top w:type="dxa" w:w="140"/>
              <w:left w:type="dxa" w:w="200"/>
              <w:bottom w:type="dxa" w:w="140"/>
              <w:right w:type="dxa" w:w="200"/>
            </w:tcMar>
          </w:tcPr>
          <w:p>
            <w:pPr>
              <w:spacing w:after="0"/>
              <w:jc w:val="center"/>
            </w:pPr>
            <w:r>
              <w:rPr>
                <w:rFonts w:ascii="Calibri" w:cs="Calibri" w:eastAsia="Calibri" w:hAnsi="Calibri"/>
                <w:b/>
                <w:bCs/>
                <w:color w:val="FFFFFF"/>
                <w:spacing w:val="40"/>
                <w:sz w:val="22"/>
                <w:szCs w:val="22"/>
              </w:rPr>
              <w:t xml:space="preserve">✗  DISADVANTAGES</w:t>
            </w:r>
          </w:p>
        </w:tc>
      </w:tr>
      <w:tr>
        <w:trPr>
          <w:cantSplit w:val="false"/>
        </w:trPr>
        <w:tc>
          <w:tcPr>
            <w:tcW w:type="dxa" w:w="4680"/>
            <w:tcBorders>
              <w:top w:val="single" w:color="047857" w:sz="1"/>
              <w:left w:val="single" w:color="047857" w:sz="4"/>
              <w:bottom w:val="single" w:color="047857" w:sz="4"/>
              <w:right w:val="single" w:color="D1D5DB" w:sz="1"/>
            </w:tcBorders>
            <w:shd w:fill="F0FDF4"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Q1 survey article</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Structured taxonomy</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Explicit gap identification</w:t>
            </w:r>
          </w:p>
          <w:p>
            <w:pPr>
              <w:spacing w:after="100" w:before="0" w:line="280"/>
              <w:ind w:left="200" w:hanging="200"/>
              <w:jc w:val="both"/>
            </w:pPr>
            <w:r>
              <w:rPr>
                <w:rFonts w:ascii="Calibri" w:cs="Calibri" w:eastAsia="Calibri" w:hAnsi="Calibri"/>
                <w:b/>
                <w:bCs/>
                <w:color w:val="047857"/>
                <w:sz w:val="20"/>
                <w:szCs w:val="20"/>
              </w:rPr>
              <w:t xml:space="preserve">▸  </w:t>
            </w:r>
            <w:r>
              <w:rPr>
                <w:rFonts w:ascii="Calibri" w:cs="Calibri" w:eastAsia="Calibri" w:hAnsi="Calibri"/>
                <w:color w:val="1F2937"/>
                <w:sz w:val="20"/>
                <w:szCs w:val="20"/>
              </w:rPr>
              <w:t xml:space="preserve">Useful for related-work positioning in a journal paper</w:t>
            </w:r>
          </w:p>
        </w:tc>
        <w:tc>
          <w:tcPr>
            <w:tcW w:type="dxa" w:w="4680"/>
            <w:tcBorders>
              <w:top w:val="single" w:color="DC2626" w:sz="1"/>
              <w:left w:val="single" w:color="D1D5DB" w:sz="1"/>
              <w:bottom w:val="single" w:color="DC2626" w:sz="4"/>
              <w:right w:val="single" w:color="DC2626" w:sz="4"/>
            </w:tcBorders>
            <w:shd w:fill="FEF2F2" w:val="clear"/>
            <w:tcMar>
              <w:top w:type="dxa" w:w="160"/>
              <w:left w:type="dxa" w:w="200"/>
              <w:bottom w:type="dxa" w:w="160"/>
              <w:right w:type="dxa" w:w="200"/>
            </w:tcMar>
          </w:tcPr>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Survey, not a method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Coverage of 2026 papers limited</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Calibration and abstention discussed only briefly</w:t>
            </w:r>
          </w:p>
          <w:p>
            <w:pPr>
              <w:spacing w:after="100" w:before="0" w:line="280"/>
              <w:ind w:left="200" w:hanging="200"/>
              <w:jc w:val="both"/>
            </w:pPr>
            <w:r>
              <w:rPr>
                <w:rFonts w:ascii="Calibri" w:cs="Calibri" w:eastAsia="Calibri" w:hAnsi="Calibri"/>
                <w:b/>
                <w:bCs/>
                <w:color w:val="DC2626"/>
                <w:sz w:val="20"/>
                <w:szCs w:val="20"/>
              </w:rPr>
              <w:t xml:space="preserve">▸  </w:t>
            </w:r>
            <w:r>
              <w:rPr>
                <w:rFonts w:ascii="Calibri" w:cs="Calibri" w:eastAsia="Calibri" w:hAnsi="Calibri"/>
                <w:color w:val="1F2937"/>
                <w:sz w:val="20"/>
                <w:szCs w:val="20"/>
              </w:rPr>
              <w:t xml:space="preserve">Security-log treatment limited</w:t>
            </w:r>
          </w:p>
        </w:tc>
      </w:tr>
    </w:tbl>
    <w:p>
      <w:pPr>
        <w:spacing w:after="200" w:before="0"/>
      </w:pPr>
      <w:r>
        <w:t xml:space="preserve"/>
      </w:r>
    </w:p>
    <w:p>
      <w:r>
        <w:br w:type="page"/>
      </w:r>
    </w:p>
    <w:p>
      <w:pPr>
        <w:pStyle w:val="Heading1"/>
        <w:spacing w:after="240" w:before="480"/>
      </w:pPr>
      <w:r>
        <w:rPr>
          <w:rFonts w:ascii="Calibri" w:cs="Calibri" w:eastAsia="Calibri" w:hAnsi="Calibri"/>
          <w:b/>
          <w:bCs/>
          <w:color w:val="1F3A5F"/>
          <w:sz w:val="36"/>
          <w:szCs w:val="36"/>
        </w:rPr>
        <w:t xml:space="preserve">3. Cross-Paper Research Gaps</w:t>
      </w:r>
    </w:p>
    <w:p>
      <w:pPr>
        <w:spacing w:after="120" w:before="0" w:line="300"/>
        <w:jc w:val="both"/>
      </w:pPr>
      <w:r>
        <w:rPr>
          <w:rFonts w:ascii="Calibri" w:cs="Calibri" w:eastAsia="Calibri" w:hAnsi="Calibri"/>
          <w:b w:val="false"/>
          <w:bCs w:val="false"/>
          <w:i w:val="false"/>
          <w:iCs w:val="false"/>
          <w:color w:val="1F2937"/>
          <w:sz w:val="22"/>
          <w:szCs w:val="22"/>
        </w:rPr>
        <w:t xml:space="preserve">Synthesizing across the 25 papers, the following gaps emerge — each constitutes a defensible novelty axis for a Q1 journal paper. They are listed in approximate order of importance for the planned contribution.</w:t>
      </w:r>
    </w:p>
    <w:p>
      <w:pPr>
        <w:spacing w:after="120" w:before="280"/>
      </w:pPr>
      <w:r>
        <w:rPr>
          <w:rFonts w:ascii="Calibri" w:cs="Calibri" w:eastAsia="Calibri" w:hAnsi="Calibri"/>
          <w:b/>
          <w:bCs/>
          <w:color w:val="B91C1C"/>
          <w:sz w:val="26"/>
          <w:szCs w:val="26"/>
        </w:rPr>
        <w:t xml:space="preserve">(a)</w:t>
      </w:r>
      <w:r>
        <w:rPr>
          <w:rFonts w:ascii="Calibri" w:cs="Calibri" w:eastAsia="Calibri" w:hAnsi="Calibri"/>
          <w:sz w:val="26"/>
          <w:szCs w:val="26"/>
        </w:rPr>
        <w:t xml:space="preserve">  </w:t>
      </w:r>
      <w:r>
        <w:rPr>
          <w:rFonts w:ascii="Calibri" w:cs="Calibri" w:eastAsia="Calibri" w:hAnsi="Calibri"/>
          <w:b/>
          <w:bCs/>
          <w:color w:val="1F3A5F"/>
          <w:sz w:val="26"/>
          <w:szCs w:val="26"/>
        </w:rPr>
        <w:t xml:space="preserve">Cross-system generalization without labeled data</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color w:val="1F2937"/>
                <w:sz w:val="21"/>
                <w:szCs w:val="21"/>
              </w:rPr>
              <w:t xml:space="preserve">MetaLog (ICSE 2024), ZeroLog (arXiv 2025), FusionLog (arXiv 2025), and the few-label-to-zero-label work (arXiv:2507.19806) establish the problem but rely on classical embeddings rather than modern SLMs. LLM-based methods (LogLLM, LogFiT, LogTinyLLM, AdaptiveLog) almost universally evaluate in-domain only. There is no published system that combines a sub-8B SLM, LoRA/QLoRA, and strict zero-label cross-system transfer evaluated pairwise across HDFS / BGL / Thunderbird / Spirit. This is the single largest opportunity.</w:t>
            </w:r>
          </w:p>
        </w:tc>
      </w:tr>
    </w:tbl>
    <w:p>
      <w:pPr>
        <w:spacing w:after="120" w:before="280"/>
      </w:pPr>
      <w:r>
        <w:rPr>
          <w:rFonts w:ascii="Calibri" w:cs="Calibri" w:eastAsia="Calibri" w:hAnsi="Calibri"/>
          <w:b/>
          <w:bCs/>
          <w:color w:val="B91C1C"/>
          <w:sz w:val="26"/>
          <w:szCs w:val="26"/>
        </w:rPr>
        <w:t xml:space="preserve">(b)</w:t>
      </w:r>
      <w:r>
        <w:rPr>
          <w:rFonts w:ascii="Calibri" w:cs="Calibri" w:eastAsia="Calibri" w:hAnsi="Calibri"/>
          <w:sz w:val="26"/>
          <w:szCs w:val="26"/>
        </w:rPr>
        <w:t xml:space="preserve">  </w:t>
      </w:r>
      <w:r>
        <w:rPr>
          <w:rFonts w:ascii="Calibri" w:cs="Calibri" w:eastAsia="Calibri" w:hAnsi="Calibri"/>
          <w:b/>
          <w:bCs/>
          <w:color w:val="1F3A5F"/>
          <w:sz w:val="26"/>
          <w:szCs w:val="26"/>
        </w:rPr>
        <w:t xml:space="preserve">Calibration and uncertainty quantification</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color w:val="1F2937"/>
                <w:sz w:val="21"/>
                <w:szCs w:val="21"/>
              </w:rPr>
              <w:t xml:space="preserve">Outside of AdaptiveLog's logit-based routing and ADALog's percentile-thresholding, log AD papers do not report Expected Calibration Error (ECE), reliability diagrams, Brier scores, or apply temperature/Platt scaling. Practitioners need calibrated probabilities to drive triage budgets. None of the 25 papers reports ECE on cross-system transfer.</w:t>
            </w:r>
          </w:p>
        </w:tc>
      </w:tr>
    </w:tbl>
    <w:p>
      <w:pPr>
        <w:spacing w:after="120" w:before="280"/>
      </w:pPr>
      <w:r>
        <w:rPr>
          <w:rFonts w:ascii="Calibri" w:cs="Calibri" w:eastAsia="Calibri" w:hAnsi="Calibri"/>
          <w:b/>
          <w:bCs/>
          <w:color w:val="B91C1C"/>
          <w:sz w:val="26"/>
          <w:szCs w:val="26"/>
        </w:rPr>
        <w:t xml:space="preserve">(c)</w:t>
      </w:r>
      <w:r>
        <w:rPr>
          <w:rFonts w:ascii="Calibri" w:cs="Calibri" w:eastAsia="Calibri" w:hAnsi="Calibri"/>
          <w:sz w:val="26"/>
          <w:szCs w:val="26"/>
        </w:rPr>
        <w:t xml:space="preserve">  </w:t>
      </w:r>
      <w:r>
        <w:rPr>
          <w:rFonts w:ascii="Calibri" w:cs="Calibri" w:eastAsia="Calibri" w:hAnsi="Calibri"/>
          <w:b/>
          <w:bCs/>
          <w:color w:val="1F3A5F"/>
          <w:sz w:val="26"/>
          <w:szCs w:val="26"/>
        </w:rPr>
        <w:t xml:space="preserve">Abstention / selective prediction</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color w:val="1F2937"/>
                <w:sz w:val="21"/>
                <w:szCs w:val="21"/>
              </w:rPr>
              <w:t xml:space="preserve">AdaptiveLog (TOSEM 2026) is the only entry that explicitly defers uncertain inputs, and even there the deferral target is an LLM — not a human or a no-decision option. The decision-theoretic selective-prediction literature (Calibrated Selective Classification, S-MMCE / S-TLBCE, semantic-entropy probes) has not been transferred to logs. A risk-controlled selective predictor for cross-system LAD with a guarantee α on hallucination/error rate remains open.</w:t>
            </w:r>
          </w:p>
        </w:tc>
      </w:tr>
    </w:tbl>
    <w:p>
      <w:pPr>
        <w:spacing w:after="120" w:before="280"/>
      </w:pPr>
      <w:r>
        <w:rPr>
          <w:rFonts w:ascii="Calibri" w:cs="Calibri" w:eastAsia="Calibri" w:hAnsi="Calibri"/>
          <w:b/>
          <w:bCs/>
          <w:color w:val="B91C1C"/>
          <w:sz w:val="26"/>
          <w:szCs w:val="26"/>
        </w:rPr>
        <w:t xml:space="preserve">(d)</w:t>
      </w:r>
      <w:r>
        <w:rPr>
          <w:rFonts w:ascii="Calibri" w:cs="Calibri" w:eastAsia="Calibri" w:hAnsi="Calibri"/>
          <w:sz w:val="26"/>
          <w:szCs w:val="26"/>
        </w:rPr>
        <w:t xml:space="preserve">  </w:t>
      </w:r>
      <w:r>
        <w:rPr>
          <w:rFonts w:ascii="Calibri" w:cs="Calibri" w:eastAsia="Calibri" w:hAnsi="Calibri"/>
          <w:b/>
          <w:bCs/>
          <w:color w:val="1F3A5F"/>
          <w:sz w:val="26"/>
          <w:szCs w:val="26"/>
        </w:rPr>
        <w:t xml:space="preserve">Computational efficiency on commodity hardware</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color w:val="1F2937"/>
                <w:sz w:val="21"/>
                <w:szCs w:val="21"/>
              </w:rPr>
              <w:t xml:space="preserve">Many recent LLM-based methods (LogLLM with Llama-7B, AdaptiveLog with GPT-3.5/4) still require &gt;24 GB of GPU memory or paid API access. Only LogTinyLLM and DP-FlogTinyLLM target genuinely commodity hardware (1–2B parameter SLMs with LoRA). Inference latency, energy cost, and on-prem deployability are under-reported across the field.</w:t>
            </w:r>
          </w:p>
        </w:tc>
      </w:tr>
    </w:tbl>
    <w:p>
      <w:pPr>
        <w:spacing w:after="120" w:before="280"/>
      </w:pPr>
      <w:r>
        <w:rPr>
          <w:rFonts w:ascii="Calibri" w:cs="Calibri" w:eastAsia="Calibri" w:hAnsi="Calibri"/>
          <w:b/>
          <w:bCs/>
          <w:color w:val="B91C1C"/>
          <w:sz w:val="26"/>
          <w:szCs w:val="26"/>
        </w:rPr>
        <w:t xml:space="preserve">(e)</w:t>
      </w:r>
      <w:r>
        <w:rPr>
          <w:rFonts w:ascii="Calibri" w:cs="Calibri" w:eastAsia="Calibri" w:hAnsi="Calibri"/>
          <w:sz w:val="26"/>
          <w:szCs w:val="26"/>
        </w:rPr>
        <w:t xml:space="preserve">  </w:t>
      </w:r>
      <w:r>
        <w:rPr>
          <w:rFonts w:ascii="Calibri" w:cs="Calibri" w:eastAsia="Calibri" w:hAnsi="Calibri"/>
          <w:b/>
          <w:bCs/>
          <w:color w:val="1F3A5F"/>
          <w:sz w:val="26"/>
          <w:szCs w:val="26"/>
        </w:rPr>
        <w:t xml:space="preserve">Use of small language models specifically</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color w:val="1F2937"/>
                <w:sz w:val="21"/>
                <w:szCs w:val="21"/>
              </w:rPr>
              <w:t xml:space="preserve">With the exception of LogTinyLLM (1–1.5B SLMs), AdaptiveLog (uses a small SLM for routing), and DP-FlogTinyLLM, modern open-weight SLMs (Qwen-2.5/3, Phi-3/4, Llama-3.2-1B/3B, Gemma-2-2B, DeepSeek-distilled) are essentially unexplored for cross-system log AD. Most published work uses either old encoders (BERT, RoBERTa) or larger models (Llama-7B+, GPT-4).</w:t>
            </w:r>
          </w:p>
        </w:tc>
      </w:tr>
    </w:tbl>
    <w:p>
      <w:pPr>
        <w:spacing w:after="120" w:before="280"/>
      </w:pPr>
      <w:r>
        <w:rPr>
          <w:rFonts w:ascii="Calibri" w:cs="Calibri" w:eastAsia="Calibri" w:hAnsi="Calibri"/>
          <w:b/>
          <w:bCs/>
          <w:color w:val="B91C1C"/>
          <w:sz w:val="26"/>
          <w:szCs w:val="26"/>
        </w:rPr>
        <w:t xml:space="preserve">(f)</w:t>
      </w:r>
      <w:r>
        <w:rPr>
          <w:rFonts w:ascii="Calibri" w:cs="Calibri" w:eastAsia="Calibri" w:hAnsi="Calibri"/>
          <w:sz w:val="26"/>
          <w:szCs w:val="26"/>
        </w:rPr>
        <w:t xml:space="preserve">  </w:t>
      </w:r>
      <w:r>
        <w:rPr>
          <w:rFonts w:ascii="Calibri" w:cs="Calibri" w:eastAsia="Calibri" w:hAnsi="Calibri"/>
          <w:b/>
          <w:bCs/>
          <w:color w:val="1F3A5F"/>
          <w:sz w:val="26"/>
          <w:szCs w:val="26"/>
        </w:rPr>
        <w:t xml:space="preserve">Security-relevant logs vs operational logs</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color w:val="1F2937"/>
                <w:sz w:val="21"/>
                <w:szCs w:val="21"/>
              </w:rPr>
              <w:t xml:space="preserve">Public benchmarks (HDFS, BGL, Thunderbird, OpenStack, Spirit) record operational/system-failure events. Intrusion-related log datasets (auth.log, syslog under MITRE ATT&amp;CK exercises, AIT-LDS, LANL Unified Host and Network Events) are rarely evaluated. SHIELD (2025, host-based intrusion detection with LLMs) is an exception but is not directly an LAD method. The literature lacks SLM-based detectors evaluated on labelled intrusion logs with calibrated abstention.</w:t>
            </w:r>
          </w:p>
        </w:tc>
      </w:tr>
    </w:tbl>
    <w:p>
      <w:pPr>
        <w:spacing w:after="120" w:before="280"/>
      </w:pPr>
      <w:r>
        <w:rPr>
          <w:rFonts w:ascii="Calibri" w:cs="Calibri" w:eastAsia="Calibri" w:hAnsi="Calibri"/>
          <w:b/>
          <w:bCs/>
          <w:color w:val="B91C1C"/>
          <w:sz w:val="26"/>
          <w:szCs w:val="26"/>
        </w:rPr>
        <w:t xml:space="preserve">(g)</w:t>
      </w:r>
      <w:r>
        <w:rPr>
          <w:rFonts w:ascii="Calibri" w:cs="Calibri" w:eastAsia="Calibri" w:hAnsi="Calibri"/>
          <w:sz w:val="26"/>
          <w:szCs w:val="26"/>
        </w:rPr>
        <w:t xml:space="preserve">  </w:t>
      </w:r>
      <w:r>
        <w:rPr>
          <w:rFonts w:ascii="Calibri" w:cs="Calibri" w:eastAsia="Calibri" w:hAnsi="Calibri"/>
          <w:b/>
          <w:bCs/>
          <w:color w:val="1F3A5F"/>
          <w:sz w:val="26"/>
          <w:szCs w:val="26"/>
        </w:rPr>
        <w:t xml:space="preserve">Ablation isolating semantics vs parsing</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color w:val="1F2937"/>
                <w:sz w:val="21"/>
                <w:szCs w:val="21"/>
              </w:rPr>
              <w:t xml:space="preserve">Many SOTA claims confound semantic content access (raw text vs log keys) with model architecture. LogTinyLLM's 18 pp gain over LogBERT, for example, partially reflects that LogBERT operates on keys while LogTinyLLM ingests raw lines. A controlled ablation isolating each factor (input representation × model size × PEFT method) is missing.</w:t>
            </w:r>
          </w:p>
        </w:tc>
      </w:tr>
    </w:tbl>
    <w:p>
      <w:pPr>
        <w:spacing w:after="120" w:before="280"/>
      </w:pPr>
      <w:r>
        <w:rPr>
          <w:rFonts w:ascii="Calibri" w:cs="Calibri" w:eastAsia="Calibri" w:hAnsi="Calibri"/>
          <w:b/>
          <w:bCs/>
          <w:color w:val="B91C1C"/>
          <w:sz w:val="26"/>
          <w:szCs w:val="26"/>
        </w:rPr>
        <w:t xml:space="preserve">(h)</w:t>
      </w:r>
      <w:r>
        <w:rPr>
          <w:rFonts w:ascii="Calibri" w:cs="Calibri" w:eastAsia="Calibri" w:hAnsi="Calibri"/>
          <w:sz w:val="26"/>
          <w:szCs w:val="26"/>
        </w:rPr>
        <w:t xml:space="preserve">  </w:t>
      </w:r>
      <w:r>
        <w:rPr>
          <w:rFonts w:ascii="Calibri" w:cs="Calibri" w:eastAsia="Calibri" w:hAnsi="Calibri"/>
          <w:b/>
          <w:bCs/>
          <w:color w:val="1F3A5F"/>
          <w:sz w:val="26"/>
          <w:szCs w:val="26"/>
        </w:rPr>
        <w:t xml:space="preserve">Long-sequence handling</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color w:val="1F2937"/>
                <w:sz w:val="21"/>
                <w:szCs w:val="21"/>
              </w:rPr>
              <w:t xml:space="preserve">LLMs face context-window pressure on long log windows; how to handle 1000-event sequences with a 2048-token SLM remains an open engineering question. Sliding-window strategies are reused unchanged from DeepLog (2017) without rigorous investigation of summarization, hierarchical encoding, or retrieval over the window.</w:t>
            </w:r>
          </w:p>
        </w:tc>
      </w:tr>
    </w:tbl>
    <w:p>
      <w:pPr>
        <w:spacing w:after="120" w:before="280"/>
      </w:pPr>
      <w:r>
        <w:rPr>
          <w:rFonts w:ascii="Calibri" w:cs="Calibri" w:eastAsia="Calibri" w:hAnsi="Calibri"/>
          <w:b/>
          <w:bCs/>
          <w:color w:val="B91C1C"/>
          <w:sz w:val="26"/>
          <w:szCs w:val="26"/>
        </w:rPr>
        <w:t xml:space="preserve">(i)</w:t>
      </w:r>
      <w:r>
        <w:rPr>
          <w:rFonts w:ascii="Calibri" w:cs="Calibri" w:eastAsia="Calibri" w:hAnsi="Calibri"/>
          <w:sz w:val="26"/>
          <w:szCs w:val="26"/>
        </w:rPr>
        <w:t xml:space="preserve">  </w:t>
      </w:r>
      <w:r>
        <w:rPr>
          <w:rFonts w:ascii="Calibri" w:cs="Calibri" w:eastAsia="Calibri" w:hAnsi="Calibri"/>
          <w:b/>
          <w:bCs/>
          <w:color w:val="1F3A5F"/>
          <w:sz w:val="26"/>
          <w:szCs w:val="26"/>
        </w:rPr>
        <w:t xml:space="preserve">Standardization of cross-system protocol</w:t>
      </w:r>
    </w:p>
    <w:tbl>
      <w:tblPr>
        <w:tblW w:type="dxa" w:w="9360"/>
        <w:tblBorders>
          <w:top w:val="none" w:color="FFFFFF" w:sz="0"/>
          <w:left w:val="single" w:color="B91C1C" w:sz="16"/>
          <w:bottom w:val="none" w:color="FFFFFF" w:sz="0"/>
          <w:right w:val="none" w:color="FFFFFF" w:sz="0"/>
          <w:insideH w:val="none" w:color="FFFFFF" w:sz="0"/>
          <w:insideV w:val="none" w:color="FFFFFF" w:sz="0"/>
        </w:tblBorders>
      </w:tblPr>
      <w:tblGrid>
        <w:gridCol w:w="9360"/>
      </w:tblGrid>
      <w:tr>
        <w:tc>
          <w:tcPr>
            <w:tcW w:type="dxa" w:w="9360"/>
            <w:shd w:fill="F9FAFB" w:val="clear"/>
            <w:tcMar>
              <w:top w:type="dxa" w:w="140"/>
              <w:left w:type="dxa" w:w="280"/>
              <w:bottom w:type="dxa" w:w="140"/>
              <w:right w:type="dxa" w:w="240"/>
            </w:tcMar>
          </w:tcPr>
          <w:p>
            <w:pPr>
              <w:spacing w:after="0" w:line="320"/>
              <w:jc w:val="both"/>
            </w:pPr>
            <w:r>
              <w:rPr>
                <w:rFonts w:ascii="Calibri" w:cs="Calibri" w:eastAsia="Calibri" w:hAnsi="Calibri"/>
                <w:color w:val="1F2937"/>
                <w:sz w:val="21"/>
                <w:szCs w:val="21"/>
              </w:rPr>
              <w:t xml:space="preserve">Different papers use different splits (random vs chronological), different metrics (window-level F1 vs session-level), and different parsers. Reproducibility across MetaLog / ZeroLog / FusionLog is low because of inconsistent experimental protocols.</w:t>
            </w:r>
          </w:p>
        </w:tc>
      </w:tr>
    </w:tbl>
    <w:p>
      <w:r>
        <w:br w:type="page"/>
      </w:r>
    </w:p>
    <w:p>
      <w:pPr>
        <w:pStyle w:val="Heading1"/>
        <w:spacing w:after="240" w:before="480"/>
      </w:pPr>
      <w:r>
        <w:rPr>
          <w:rFonts w:ascii="Calibri" w:cs="Calibri" w:eastAsia="Calibri" w:hAnsi="Calibri"/>
          <w:b/>
          <w:bCs/>
          <w:color w:val="1F3A5F"/>
          <w:sz w:val="36"/>
          <w:szCs w:val="36"/>
        </w:rPr>
        <w:t xml:space="preserve">4. Summary Comparison Table</w:t>
      </w:r>
    </w:p>
    <w:p>
      <w:pPr>
        <w:spacing w:after="240" w:before="0" w:line="300"/>
        <w:jc w:val="both"/>
      </w:pPr>
      <w:r>
        <w:rPr>
          <w:rFonts w:ascii="Calibri" w:cs="Calibri" w:eastAsia="Calibri" w:hAnsi="Calibri"/>
          <w:b w:val="false"/>
          <w:bCs w:val="false"/>
          <w:i/>
          <w:iCs/>
          <w:color w:val="1F2937"/>
          <w:sz w:val="22"/>
          <w:szCs w:val="22"/>
        </w:rPr>
        <w:t xml:space="preserve">A side-by-side comparison of all 25 papers — key advantages and disadvantages of each. Rows are color-banded for readability. Highlighted entries (★) indicate papers most directly relevant to the planned Q1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60"/>
        <w:gridCol w:w="2850"/>
        <w:gridCol w:w="2850"/>
      </w:tblGrid>
      <w:tr>
        <w:trPr>
          <w:tblHeader/>
        </w:trPr>
        <w:tc>
          <w:tcPr>
            <w:tcW w:type="dxa" w:w="600"/>
            <w:tcBorders>
              <w:top w:val="single" w:color="1F3A5F" w:sz="4"/>
              <w:left w:val="single" w:color="1F3A5F" w:sz="4"/>
              <w:bottom w:val="single" w:color="1F3A5F" w:sz="4"/>
              <w:right w:val="single" w:color="1F3A5F" w:sz="4"/>
            </w:tcBorders>
            <w:shd w:fill="1F3A5F" w:val="clear"/>
            <w:tcMar>
              <w:top w:type="dxa" w:w="120"/>
              <w:left w:type="dxa" w:w="80"/>
              <w:bottom w:type="dxa" w:w="120"/>
              <w:right w:type="dxa" w:w="80"/>
            </w:tcMar>
          </w:tcPr>
          <w:p>
            <w:pPr>
              <w:spacing w:after="0"/>
              <w:jc w:val="center"/>
            </w:pPr>
            <w:r>
              <w:rPr>
                <w:rFonts w:ascii="Calibri" w:cs="Calibri" w:eastAsia="Calibri" w:hAnsi="Calibri"/>
                <w:b/>
                <w:bCs/>
                <w:color w:val="FFFFFF"/>
                <w:sz w:val="18"/>
                <w:szCs w:val="18"/>
              </w:rPr>
              <w:t xml:space="preserve">#</w:t>
            </w:r>
          </w:p>
        </w:tc>
        <w:tc>
          <w:tcPr>
            <w:tcW w:type="dxa" w:w="3060"/>
            <w:tcBorders>
              <w:top w:val="single" w:color="1F3A5F" w:sz="4"/>
              <w:left w:val="single" w:color="1F3A5F" w:sz="4"/>
              <w:bottom w:val="single" w:color="1F3A5F" w:sz="4"/>
              <w:right w:val="single" w:color="1F3A5F" w:sz="4"/>
            </w:tcBorders>
            <w:shd w:fill="1F3A5F" w:val="clear"/>
            <w:tcMar>
              <w:top w:type="dxa" w:w="120"/>
              <w:left w:type="dxa" w:w="120"/>
              <w:bottom w:type="dxa" w:w="120"/>
              <w:right w:type="dxa" w:w="120"/>
            </w:tcMar>
          </w:tcPr>
          <w:p>
            <w:pPr>
              <w:spacing w:after="0"/>
              <w:jc w:val="left"/>
            </w:pPr>
            <w:r>
              <w:rPr>
                <w:rFonts w:ascii="Calibri" w:cs="Calibri" w:eastAsia="Calibri" w:hAnsi="Calibri"/>
                <w:b/>
                <w:bCs/>
                <w:color w:val="FFFFFF"/>
                <w:spacing w:val="40"/>
                <w:sz w:val="18"/>
                <w:szCs w:val="18"/>
              </w:rPr>
              <w:t xml:space="preserve">PAPER (YEAR, VENUE)</w:t>
            </w:r>
          </w:p>
        </w:tc>
        <w:tc>
          <w:tcPr>
            <w:tcW w:type="dxa" w:w="2850"/>
            <w:tcBorders>
              <w:top w:val="single" w:color="047857" w:sz="4"/>
              <w:left w:val="single" w:color="047857" w:sz="4"/>
              <w:bottom w:val="single" w:color="047857" w:sz="4"/>
              <w:right w:val="single" w:color="047857" w:sz="4"/>
            </w:tcBorders>
            <w:shd w:fill="047857" w:val="clear"/>
            <w:tcMar>
              <w:top w:type="dxa" w:w="120"/>
              <w:left w:type="dxa" w:w="120"/>
              <w:bottom w:type="dxa" w:w="120"/>
              <w:right w:type="dxa" w:w="120"/>
            </w:tcMar>
          </w:tcPr>
          <w:p>
            <w:pPr>
              <w:spacing w:after="0"/>
              <w:jc w:val="left"/>
            </w:pPr>
            <w:r>
              <w:rPr>
                <w:rFonts w:ascii="Calibri" w:cs="Calibri" w:eastAsia="Calibri" w:hAnsi="Calibri"/>
                <w:b/>
                <w:bCs/>
                <w:color w:val="FFFFFF"/>
                <w:spacing w:val="40"/>
                <w:sz w:val="18"/>
                <w:szCs w:val="18"/>
              </w:rPr>
              <w:t xml:space="preserve">KEY ADVANTAGES</w:t>
            </w:r>
          </w:p>
        </w:tc>
        <w:tc>
          <w:tcPr>
            <w:tcW w:type="dxa" w:w="2850"/>
            <w:tcBorders>
              <w:top w:val="single" w:color="DC2626" w:sz="4"/>
              <w:left w:val="single" w:color="DC2626" w:sz="4"/>
              <w:bottom w:val="single" w:color="DC2626" w:sz="4"/>
              <w:right w:val="single" w:color="DC2626" w:sz="4"/>
            </w:tcBorders>
            <w:shd w:fill="DC2626" w:val="clear"/>
            <w:tcMar>
              <w:top w:type="dxa" w:w="120"/>
              <w:left w:type="dxa" w:w="120"/>
              <w:bottom w:type="dxa" w:w="120"/>
              <w:right w:type="dxa" w:w="120"/>
            </w:tcMar>
          </w:tcPr>
          <w:p>
            <w:pPr>
              <w:spacing w:after="0"/>
              <w:jc w:val="left"/>
            </w:pPr>
            <w:r>
              <w:rPr>
                <w:rFonts w:ascii="Calibri" w:cs="Calibri" w:eastAsia="Calibri" w:hAnsi="Calibri"/>
                <w:b/>
                <w:bCs/>
                <w:color w:val="FFFFFF"/>
                <w:spacing w:val="40"/>
                <w:sz w:val="18"/>
                <w:szCs w:val="18"/>
              </w:rPr>
              <w:t xml:space="preserve">KEY DISADVANTAGES</w:t>
            </w:r>
          </w:p>
        </w:tc>
      </w:tr>
      <w:tr>
        <w:trPr>
          <w:cantSplit w:val="false"/>
        </w:trPr>
        <w:tc>
          <w:tcPr>
            <w:tcW w:type="dxa" w:w="600"/>
            <w:tcBorders>
              <w:top w:val="single" w:color="D1D5DB" w:sz="1"/>
              <w:left w:val="single" w:color="D1D5DB" w:sz="1"/>
              <w:bottom w:val="single" w:color="D1D5DB" w:sz="1"/>
              <w:right w:val="single" w:color="D1D5DB" w:sz="1"/>
            </w:tcBorders>
            <w:shd w:fill="FFFFFF"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1</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DeepLog (2017, ACM CCS — Tier-A)</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First strong DL baseline</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Unsupervised; online updates</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1% HDFS sufficient</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Workflow diagnosis</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Log-key only (parser-dependent)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semantics</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cross-system</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calibration</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LSTM limits</w:t>
            </w:r>
          </w:p>
        </w:tc>
      </w:tr>
      <w:tr>
        <w:trPr>
          <w:cantSplit w:val="false"/>
        </w:trPr>
        <w:tc>
          <w:tcPr>
            <w:tcW w:type="dxa" w:w="600"/>
            <w:tcBorders>
              <w:top w:val="single" w:color="D1D5DB" w:sz="1"/>
              <w:left w:val="single" w:color="D1D5DB" w:sz="1"/>
              <w:bottom w:val="single" w:color="D1D5DB" w:sz="1"/>
              <w:right w:val="single" w:color="D1D5DB" w:sz="1"/>
            </w:tcBorders>
            <w:shd w:fill="F3F4F6"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2</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LogAnomaly (2019, IJCAI — Tier-A)</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Semantic template2vec</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Handles new templates</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Sequential + quantitative</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Production-validated</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Static embeddings</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LSTM limits</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cross-system</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Only 2 datasets</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calibration</w:t>
            </w:r>
          </w:p>
        </w:tc>
      </w:tr>
      <w:tr>
        <w:trPr>
          <w:cantSplit w:val="false"/>
        </w:trPr>
        <w:tc>
          <w:tcPr>
            <w:tcW w:type="dxa" w:w="600"/>
            <w:tcBorders>
              <w:top w:val="single" w:color="D1D5DB" w:sz="1"/>
              <w:left w:val="single" w:color="D1D5DB" w:sz="1"/>
              <w:bottom w:val="single" w:color="D1D5DB" w:sz="1"/>
              <w:right w:val="single" w:color="D1D5DB" w:sz="1"/>
            </w:tcBorders>
            <w:shd w:fill="FFFFFF"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3</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LogBERT (2021, IJCNN/arXiv)</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First BERT baseline</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Dual self-supervised tasks</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Widely used reference</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Key-only</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Full FT only</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Weak on raw text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PEFT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calibration</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cross-system</w:t>
            </w:r>
          </w:p>
        </w:tc>
      </w:tr>
      <w:tr>
        <w:trPr>
          <w:cantSplit w:val="false"/>
        </w:trPr>
        <w:tc>
          <w:tcPr>
            <w:tcW w:type="dxa" w:w="600"/>
            <w:tcBorders>
              <w:top w:val="single" w:color="D1D5DB" w:sz="1"/>
              <w:left w:val="single" w:color="D1D5DB" w:sz="1"/>
              <w:bottom w:val="single" w:color="D1D5DB" w:sz="1"/>
              <w:right w:val="single" w:color="D1D5DB" w:sz="1"/>
            </w:tcBorders>
            <w:shd w:fill="F3F4F6"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4</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LAnoBERT (2021, arXiv)</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Parsing-free</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Fully unsupervised</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Token-level signal</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BERT from scratch (expensive)</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PEFT/SLM</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cross-system</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Reproducibility issues</w:t>
            </w:r>
          </w:p>
        </w:tc>
      </w:tr>
      <w:tr>
        <w:trPr>
          <w:cantSplit w:val="false"/>
        </w:trPr>
        <w:tc>
          <w:tcPr>
            <w:tcW w:type="dxa" w:w="600"/>
            <w:tcBorders>
              <w:top w:val="single" w:color="D1D5DB" w:sz="1"/>
              <w:left w:val="single" w:color="D1D5DB" w:sz="1"/>
              <w:bottom w:val="single" w:color="D1D5DB" w:sz="1"/>
              <w:right w:val="single" w:color="D1D5DB" w:sz="1"/>
            </w:tcBorders>
            <w:shd w:fill="FFFFFF"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5</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BERT-Log (2022, Taylor &amp; Francis)</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Strong supervised baseline</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Per-node localization</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High BGL F1</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Needs labels</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Full FT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PEFT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zero-shot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cross-system</w:t>
            </w:r>
          </w:p>
        </w:tc>
      </w:tr>
      <w:tr>
        <w:trPr>
          <w:cantSplit w:val="false"/>
        </w:trPr>
        <w:tc>
          <w:tcPr>
            <w:tcW w:type="dxa" w:w="600"/>
            <w:tcBorders>
              <w:top w:val="single" w:color="D1D5DB" w:sz="1"/>
              <w:left w:val="single" w:color="D1D5DB" w:sz="1"/>
              <w:bottom w:val="single" w:color="D1D5DB" w:sz="1"/>
              <w:right w:val="single" w:color="D1D5DB" w:sz="1"/>
            </w:tcBorders>
            <w:shd w:fill="FEF3C7" w:val="clear"/>
            <w:tcMar>
              <w:top w:type="dxa" w:w="100"/>
              <w:left w:type="dxa" w:w="80"/>
              <w:bottom w:type="dxa" w:w="100"/>
              <w:right w:type="dxa" w:w="80"/>
            </w:tcMar>
            <w:vAlign w:val="center"/>
          </w:tcPr>
          <w:p>
            <w:pPr>
              <w:spacing w:after="0"/>
              <w:jc w:val="center"/>
            </w:pPr>
            <w:r>
              <w:rPr>
                <w:rFonts w:ascii="Calibri" w:cs="Calibri" w:eastAsia="Calibri" w:hAnsi="Calibri"/>
                <w:b/>
                <w:bCs/>
                <w:color w:val="B91C1C"/>
                <w:sz w:val="18"/>
                <w:szCs w:val="18"/>
              </w:rPr>
              <w:t xml:space="preserve">★6</w:t>
            </w:r>
          </w:p>
        </w:tc>
        <w:tc>
          <w:tcPr>
            <w:tcW w:type="dxa" w:w="306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LogFiT (2024, IEEE TNSM — Q1)</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Q1 journal published</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Parser-free; label-free MLM</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3-dataset eval</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Reproducible package</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LoRA/QLoRA</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cross-system</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calibration</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modern decoder SLM</w:t>
            </w:r>
          </w:p>
        </w:tc>
      </w:tr>
      <w:tr>
        <w:trPr>
          <w:cantSplit w:val="false"/>
        </w:trPr>
        <w:tc>
          <w:tcPr>
            <w:tcW w:type="dxa" w:w="600"/>
            <w:tcBorders>
              <w:top w:val="single" w:color="D1D5DB" w:sz="1"/>
              <w:left w:val="single" w:color="D1D5DB" w:sz="1"/>
              <w:bottom w:val="single" w:color="D1D5DB" w:sz="1"/>
              <w:right w:val="single" w:color="D1D5DB" w:sz="1"/>
            </w:tcBorders>
            <w:shd w:fill="FFFFFF"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7</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LogPrompt-Liu (2024, ICPC Tier-A)</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True zero-shot</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Interpretable; 9-dataset eval</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+55.9% over supervised</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Needs GPT-4 (cost/privacy)</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SLM/PEFT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abstention</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Prompt-sensitive</w:t>
            </w:r>
          </w:p>
        </w:tc>
      </w:tr>
      <w:tr>
        <w:trPr>
          <w:cantSplit w:val="false"/>
        </w:trPr>
        <w:tc>
          <w:tcPr>
            <w:tcW w:type="dxa" w:w="600"/>
            <w:tcBorders>
              <w:top w:val="single" w:color="D1D5DB" w:sz="1"/>
              <w:left w:val="single" w:color="D1D5DB" w:sz="1"/>
              <w:bottom w:val="single" w:color="D1D5DB" w:sz="1"/>
              <w:right w:val="single" w:color="D1D5DB" w:sz="1"/>
            </w:tcBorders>
            <w:shd w:fill="F3F4F6"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8</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LogPrompt-Yang (2023, IPCCC)</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Prompt-tuning of PLM</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Addresses imbalance</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Reduces labels</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Limited scale</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Conflated naming</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cross-system</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SLM</w:t>
            </w:r>
          </w:p>
        </w:tc>
      </w:tr>
      <w:tr>
        <w:trPr>
          <w:cantSplit w:val="false"/>
        </w:trPr>
        <w:tc>
          <w:tcPr>
            <w:tcW w:type="dxa" w:w="600"/>
            <w:tcBorders>
              <w:top w:val="single" w:color="D1D5DB" w:sz="1"/>
              <w:left w:val="single" w:color="D1D5DB" w:sz="1"/>
              <w:bottom w:val="single" w:color="D1D5DB" w:sz="1"/>
              <w:right w:val="single" w:color="D1D5DB" w:sz="1"/>
            </w:tcBorders>
            <w:shd w:fill="FFFFFF"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9</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LogGPT-Han (2023, IEEE BigData)</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RL fixes train-test gap</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Decoder novelty</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PPO with Top-K reward</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GPT-2 (old/small)</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Key-only</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Brittle RL</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PEFT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cross-system</w:t>
            </w:r>
          </w:p>
        </w:tc>
      </w:tr>
      <w:tr>
        <w:trPr>
          <w:cantSplit w:val="false"/>
        </w:trPr>
        <w:tc>
          <w:tcPr>
            <w:tcW w:type="dxa" w:w="600"/>
            <w:tcBorders>
              <w:top w:val="single" w:color="D1D5DB" w:sz="1"/>
              <w:left w:val="single" w:color="D1D5DB" w:sz="1"/>
              <w:bottom w:val="single" w:color="D1D5DB" w:sz="1"/>
              <w:right w:val="single" w:color="D1D5DB" w:sz="1"/>
            </w:tcBorders>
            <w:shd w:fill="F3F4F6"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10</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LogGPT-Qi (2023, ISSREW)</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Early ChatGPT exploration</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Interpretability</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Spirit dataset</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ChatGPT-dependent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Very preliminary</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Only 3 datasets</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SLM</w:t>
            </w:r>
          </w:p>
        </w:tc>
      </w:tr>
      <w:tr>
        <w:trPr>
          <w:cantSplit w:val="false"/>
        </w:trPr>
        <w:tc>
          <w:tcPr>
            <w:tcW w:type="dxa" w:w="600"/>
            <w:tcBorders>
              <w:top w:val="single" w:color="D1D5DB" w:sz="1"/>
              <w:left w:val="single" w:color="D1D5DB" w:sz="1"/>
              <w:bottom w:val="single" w:color="D1D5DB" w:sz="1"/>
              <w:right w:val="single" w:color="D1D5DB" w:sz="1"/>
            </w:tcBorders>
            <w:shd w:fill="FEF3C7" w:val="clear"/>
            <w:tcMar>
              <w:top w:type="dxa" w:w="100"/>
              <w:left w:type="dxa" w:w="80"/>
              <w:bottom w:type="dxa" w:w="100"/>
              <w:right w:type="dxa" w:w="80"/>
            </w:tcMar>
            <w:vAlign w:val="center"/>
          </w:tcPr>
          <w:p>
            <w:pPr>
              <w:spacing w:after="0"/>
              <w:jc w:val="center"/>
            </w:pPr>
            <w:r>
              <w:rPr>
                <w:rFonts w:ascii="Calibri" w:cs="Calibri" w:eastAsia="Calibri" w:hAnsi="Calibri"/>
                <w:b/>
                <w:bCs/>
                <w:color w:val="B91C1C"/>
                <w:sz w:val="18"/>
                <w:szCs w:val="18"/>
              </w:rPr>
              <w:t xml:space="preserve">★11</w:t>
            </w:r>
          </w:p>
        </w:tc>
        <w:tc>
          <w:tcPr>
            <w:tcW w:type="dxa" w:w="306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LogLLM (2024, arXiv preprint)</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Parser-free</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BERT+Llama hybrid</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QLoRA used</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4 datasets</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Unstable-log robust</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Memory-heavy (Llama-7B)</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Cross-system not primary</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calibration</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Preprint</w:t>
            </w:r>
          </w:p>
        </w:tc>
      </w:tr>
      <w:tr>
        <w:trPr>
          <w:cantSplit w:val="false"/>
        </w:trPr>
        <w:tc>
          <w:tcPr>
            <w:tcW w:type="dxa" w:w="600"/>
            <w:tcBorders>
              <w:top w:val="single" w:color="D1D5DB" w:sz="1"/>
              <w:left w:val="single" w:color="D1D5DB" w:sz="1"/>
              <w:bottom w:val="single" w:color="D1D5DB" w:sz="1"/>
              <w:right w:val="single" w:color="D1D5DB" w:sz="1"/>
            </w:tcBorders>
            <w:shd w:fill="FEF3C7" w:val="clear"/>
            <w:tcMar>
              <w:top w:type="dxa" w:w="100"/>
              <w:left w:type="dxa" w:w="80"/>
              <w:bottom w:type="dxa" w:w="100"/>
              <w:right w:type="dxa" w:w="80"/>
            </w:tcMar>
            <w:vAlign w:val="center"/>
          </w:tcPr>
          <w:p>
            <w:pPr>
              <w:spacing w:after="0"/>
              <w:jc w:val="center"/>
            </w:pPr>
            <w:r>
              <w:rPr>
                <w:rFonts w:ascii="Calibri" w:cs="Calibri" w:eastAsia="Calibri" w:hAnsi="Calibri"/>
                <w:b/>
                <w:bCs/>
                <w:color w:val="B91C1C"/>
                <w:sz w:val="18"/>
                <w:szCs w:val="18"/>
              </w:rPr>
              <w:t xml:space="preserve">★12</w:t>
            </w:r>
          </w:p>
        </w:tc>
        <w:tc>
          <w:tcPr>
            <w:tcW w:type="dxa" w:w="306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LogTinyLLM (2025, arXiv preprint)</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SLM (1.1–1.5B) + LoRA/adapter</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+18pp over LogBERT FT</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Modern tiny LLMs benchmarked</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Only Thunderbird</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cross-system</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calibration</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QLoRA</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Preprint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Confounded ablation</w:t>
            </w:r>
          </w:p>
        </w:tc>
      </w:tr>
      <w:tr>
        <w:trPr>
          <w:cantSplit w:val="false"/>
        </w:trPr>
        <w:tc>
          <w:tcPr>
            <w:tcW w:type="dxa" w:w="600"/>
            <w:tcBorders>
              <w:top w:val="single" w:color="D1D5DB" w:sz="1"/>
              <w:left w:val="single" w:color="D1D5DB" w:sz="1"/>
              <w:bottom w:val="single" w:color="D1D5DB" w:sz="1"/>
              <w:right w:val="single" w:color="D1D5DB" w:sz="1"/>
            </w:tcBorders>
            <w:shd w:fill="FEF3C7" w:val="clear"/>
            <w:tcMar>
              <w:top w:type="dxa" w:w="100"/>
              <w:left w:type="dxa" w:w="80"/>
              <w:bottom w:type="dxa" w:w="100"/>
              <w:right w:type="dxa" w:w="80"/>
            </w:tcMar>
            <w:vAlign w:val="center"/>
          </w:tcPr>
          <w:p>
            <w:pPr>
              <w:spacing w:after="0"/>
              <w:jc w:val="center"/>
            </w:pPr>
            <w:r>
              <w:rPr>
                <w:rFonts w:ascii="Calibri" w:cs="Calibri" w:eastAsia="Calibri" w:hAnsi="Calibri"/>
                <w:b/>
                <w:bCs/>
                <w:color w:val="B91C1C"/>
                <w:sz w:val="18"/>
                <w:szCs w:val="18"/>
              </w:rPr>
              <w:t xml:space="preserve">★13</w:t>
            </w:r>
          </w:p>
        </w:tc>
        <w:tc>
          <w:tcPr>
            <w:tcW w:type="dxa" w:w="306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PEFT for LAD — Lim et al. (2025, PAKDD)</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LoRA vs ReFT controlled study</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Encoder vs decoder</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F1 ≈ 0.998</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Peer-reviewed</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Llama-3 (8B) borderline-small</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cross-system zero-shot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calibration</w:t>
            </w:r>
          </w:p>
        </w:tc>
      </w:tr>
      <w:tr>
        <w:trPr>
          <w:cantSplit w:val="false"/>
        </w:trPr>
        <w:tc>
          <w:tcPr>
            <w:tcW w:type="dxa" w:w="600"/>
            <w:tcBorders>
              <w:top w:val="single" w:color="D1D5DB" w:sz="1"/>
              <w:left w:val="single" w:color="D1D5DB" w:sz="1"/>
              <w:bottom w:val="single" w:color="D1D5DB" w:sz="1"/>
              <w:right w:val="single" w:color="D1D5DB" w:sz="1"/>
            </w:tcBorders>
            <w:shd w:fill="FEF3C7" w:val="clear"/>
            <w:tcMar>
              <w:top w:type="dxa" w:w="100"/>
              <w:left w:type="dxa" w:w="80"/>
              <w:bottom w:type="dxa" w:w="100"/>
              <w:right w:type="dxa" w:w="80"/>
            </w:tcMar>
            <w:vAlign w:val="center"/>
          </w:tcPr>
          <w:p>
            <w:pPr>
              <w:spacing w:after="0"/>
              <w:jc w:val="center"/>
            </w:pPr>
            <w:r>
              <w:rPr>
                <w:rFonts w:ascii="Calibri" w:cs="Calibri" w:eastAsia="Calibri" w:hAnsi="Calibri"/>
                <w:b/>
                <w:bCs/>
                <w:color w:val="B91C1C"/>
                <w:sz w:val="18"/>
                <w:szCs w:val="18"/>
              </w:rPr>
              <w:t xml:space="preserve">★14</w:t>
            </w:r>
          </w:p>
        </w:tc>
        <w:tc>
          <w:tcPr>
            <w:tcW w:type="dxa" w:w="306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AdaptiveLog (2026, ACM TOSEM — Q1)</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LLM+SLM collaboration</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Uncertainty routing (selective prediction proxy)</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6 tasks</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Q1 journal</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Routing thresholds dataset-specific</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Depends on GPT-3.5/4</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Not formally calibrated</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QLoRA</w:t>
            </w:r>
          </w:p>
        </w:tc>
      </w:tr>
      <w:tr>
        <w:trPr>
          <w:cantSplit w:val="false"/>
        </w:trPr>
        <w:tc>
          <w:tcPr>
            <w:tcW w:type="dxa" w:w="600"/>
            <w:tcBorders>
              <w:top w:val="single" w:color="D1D5DB" w:sz="1"/>
              <w:left w:val="single" w:color="D1D5DB" w:sz="1"/>
              <w:bottom w:val="single" w:color="D1D5DB" w:sz="1"/>
              <w:right w:val="single" w:color="D1D5DB" w:sz="1"/>
            </w:tcBorders>
            <w:shd w:fill="FFFFFF"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15</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DP-FlogTinyLLM (2026, arXiv preprint)</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SLM + LoRA + federated DP</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On-prem privacy</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(ε,δ) guarantees</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Only 2 datasets</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Preprint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cross-system</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Calibration absent</w:t>
            </w:r>
          </w:p>
        </w:tc>
      </w:tr>
      <w:tr>
        <w:trPr>
          <w:cantSplit w:val="false"/>
        </w:trPr>
        <w:tc>
          <w:tcPr>
            <w:tcW w:type="dxa" w:w="600"/>
            <w:tcBorders>
              <w:top w:val="single" w:color="D1D5DB" w:sz="1"/>
              <w:left w:val="single" w:color="D1D5DB" w:sz="1"/>
              <w:bottom w:val="single" w:color="D1D5DB" w:sz="1"/>
              <w:right w:val="single" w:color="D1D5DB" w:sz="1"/>
            </w:tcBorders>
            <w:shd w:fill="FEF3C7" w:val="clear"/>
            <w:tcMar>
              <w:top w:type="dxa" w:w="100"/>
              <w:left w:type="dxa" w:w="80"/>
              <w:bottom w:type="dxa" w:w="100"/>
              <w:right w:type="dxa" w:w="80"/>
            </w:tcMar>
            <w:vAlign w:val="center"/>
          </w:tcPr>
          <w:p>
            <w:pPr>
              <w:spacing w:after="0"/>
              <w:jc w:val="center"/>
            </w:pPr>
            <w:r>
              <w:rPr>
                <w:rFonts w:ascii="Calibri" w:cs="Calibri" w:eastAsia="Calibri" w:hAnsi="Calibri"/>
                <w:b/>
                <w:bCs/>
                <w:color w:val="B91C1C"/>
                <w:sz w:val="18"/>
                <w:szCs w:val="18"/>
              </w:rPr>
              <w:t xml:space="preserve">★16</w:t>
            </w:r>
          </w:p>
        </w:tc>
        <w:tc>
          <w:tcPr>
            <w:tcW w:type="dxa" w:w="306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MetaLog (2024, ICSE Tier-A)</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Meta-learning few-label cross-system</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+20pp vs TL baselines</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4-dataset pairwise</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Needs 1% labels</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SLM/PEFT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calibration</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Expensive training</w:t>
            </w:r>
          </w:p>
        </w:tc>
      </w:tr>
      <w:tr>
        <w:trPr>
          <w:cantSplit w:val="false"/>
        </w:trPr>
        <w:tc>
          <w:tcPr>
            <w:tcW w:type="dxa" w:w="600"/>
            <w:tcBorders>
              <w:top w:val="single" w:color="D1D5DB" w:sz="1"/>
              <w:left w:val="single" w:color="D1D5DB" w:sz="1"/>
              <w:bottom w:val="single" w:color="D1D5DB" w:sz="1"/>
              <w:right w:val="single" w:color="D1D5DB" w:sz="1"/>
            </w:tcBorders>
            <w:shd w:fill="FEF3C7" w:val="clear"/>
            <w:tcMar>
              <w:top w:type="dxa" w:w="100"/>
              <w:left w:type="dxa" w:w="80"/>
              <w:bottom w:type="dxa" w:w="100"/>
              <w:right w:type="dxa" w:w="80"/>
            </w:tcMar>
            <w:vAlign w:val="center"/>
          </w:tcPr>
          <w:p>
            <w:pPr>
              <w:spacing w:after="0"/>
              <w:jc w:val="center"/>
            </w:pPr>
            <w:r>
              <w:rPr>
                <w:rFonts w:ascii="Calibri" w:cs="Calibri" w:eastAsia="Calibri" w:hAnsi="Calibri"/>
                <w:b/>
                <w:bCs/>
                <w:color w:val="B91C1C"/>
                <w:sz w:val="18"/>
                <w:szCs w:val="18"/>
              </w:rPr>
              <w:t xml:space="preserve">★17</w:t>
            </w:r>
          </w:p>
        </w:tc>
        <w:tc>
          <w:tcPr>
            <w:tcW w:type="dxa" w:w="306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ZeroLog (2025, arXiv preprint)</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True zero-label cross-system</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Adversarial domain adaptation</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LLM backbone</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Preprint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calibration</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security logs</w:t>
            </w:r>
          </w:p>
        </w:tc>
      </w:tr>
      <w:tr>
        <w:trPr>
          <w:cantSplit w:val="false"/>
        </w:trPr>
        <w:tc>
          <w:tcPr>
            <w:tcW w:type="dxa" w:w="600"/>
            <w:tcBorders>
              <w:top w:val="single" w:color="D1D5DB" w:sz="1"/>
              <w:left w:val="single" w:color="D1D5DB" w:sz="1"/>
              <w:bottom w:val="single" w:color="D1D5DB" w:sz="1"/>
              <w:right w:val="single" w:color="D1D5DB" w:sz="1"/>
            </w:tcBorders>
            <w:shd w:fill="F3F4F6"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18</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FusionLog / GeneralLog (2025, arXiv preprint)</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General + proprietary fusion</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Meta-learning</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Addresses real gap</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Preprint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LLM/SLM</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calibration</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Partial experiments</w:t>
            </w:r>
          </w:p>
        </w:tc>
      </w:tr>
      <w:tr>
        <w:trPr>
          <w:cantSplit w:val="false"/>
        </w:trPr>
        <w:tc>
          <w:tcPr>
            <w:tcW w:type="dxa" w:w="600"/>
            <w:tcBorders>
              <w:top w:val="single" w:color="D1D5DB" w:sz="1"/>
              <w:left w:val="single" w:color="D1D5DB" w:sz="1"/>
              <w:bottom w:val="single" w:color="D1D5DB" w:sz="1"/>
              <w:right w:val="single" w:color="D1D5DB" w:sz="1"/>
            </w:tcBorders>
            <w:shd w:fill="FFFFFF"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19</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Bridging the Gap (2026, IEEE)</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LLM-powered transfer</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New-system focus</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Explicit gap survey</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Limited reproducibility</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SLM-PEFT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calibration</w:t>
            </w:r>
          </w:p>
        </w:tc>
      </w:tr>
      <w:tr>
        <w:trPr>
          <w:cantSplit w:val="false"/>
        </w:trPr>
        <w:tc>
          <w:tcPr>
            <w:tcW w:type="dxa" w:w="600"/>
            <w:tcBorders>
              <w:top w:val="single" w:color="D1D5DB" w:sz="1"/>
              <w:left w:val="single" w:color="D1D5DB" w:sz="1"/>
              <w:bottom w:val="single" w:color="D1D5DB" w:sz="1"/>
              <w:right w:val="single" w:color="D1D5DB" w:sz="1"/>
            </w:tcBorders>
            <w:shd w:fill="F3F4F6"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20</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Few-to-Zero-Label MetaLog (2025, arXiv)</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Bridges few-label to zero-label</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Includes 312-practitioner survey</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Preprint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LLM/SLM PEFT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calibration</w:t>
            </w:r>
          </w:p>
        </w:tc>
      </w:tr>
      <w:tr>
        <w:trPr>
          <w:cantSplit w:val="false"/>
        </w:trPr>
        <w:tc>
          <w:tcPr>
            <w:tcW w:type="dxa" w:w="600"/>
            <w:tcBorders>
              <w:top w:val="single" w:color="D1D5DB" w:sz="1"/>
              <w:left w:val="single" w:color="D1D5DB" w:sz="1"/>
              <w:bottom w:val="single" w:color="D1D5DB" w:sz="1"/>
              <w:right w:val="single" w:color="D1D5DB" w:sz="1"/>
            </w:tcBorders>
            <w:shd w:fill="FFFFFF"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21</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ADALog (2025, arXiv preprint)</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Adaptive percentile thresholding</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Parser-free</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Per-log granularity</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Spirit eval</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Encoder-only BERT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SLM-decoder</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LoRA/QLoRA</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In-domain only</w:t>
            </w:r>
          </w:p>
        </w:tc>
      </w:tr>
      <w:tr>
        <w:trPr>
          <w:cantSplit w:val="false"/>
        </w:trPr>
        <w:tc>
          <w:tcPr>
            <w:tcW w:type="dxa" w:w="600"/>
            <w:tcBorders>
              <w:top w:val="single" w:color="D1D5DB" w:sz="1"/>
              <w:left w:val="single" w:color="D1D5DB" w:sz="1"/>
              <w:bottom w:val="single" w:color="D1D5DB" w:sz="1"/>
              <w:right w:val="single" w:color="D1D5DB" w:sz="1"/>
            </w:tcBorders>
            <w:shd w:fill="F3F4F6"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22</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LogParser-LLM (2024, KDD Tier-A)</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KDD-published</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90.6% F1; 14-dataset LogPub eval</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Efficient prefix-tree+LLM</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Parser only (not AD)</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Needs GPT-4</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Granularity sensitive</w:t>
            </w:r>
          </w:p>
        </w:tc>
      </w:tr>
      <w:tr>
        <w:trPr>
          <w:cantSplit w:val="false"/>
        </w:trPr>
        <w:tc>
          <w:tcPr>
            <w:tcW w:type="dxa" w:w="600"/>
            <w:tcBorders>
              <w:top w:val="single" w:color="D1D5DB" w:sz="1"/>
              <w:left w:val="single" w:color="D1D5DB" w:sz="1"/>
              <w:bottom w:val="single" w:color="D1D5DB" w:sz="1"/>
              <w:right w:val="single" w:color="D1D5DB" w:sz="1"/>
            </w:tcBorders>
            <w:shd w:fill="FFFFFF"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23</w:t>
            </w:r>
          </w:p>
        </w:tc>
        <w:tc>
          <w:tcPr>
            <w:tcW w:type="dxa" w:w="30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LLMParser (2024, ICSE Tier-A)</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4 LLMs × 16 datasets</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SLM (Flan-T5) benchmark</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Counterintuitive findings</w:t>
            </w:r>
          </w:p>
        </w:tc>
        <w:tc>
          <w:tcPr>
            <w:tcW w:type="dxa" w:w="285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Parsing only</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 downstream AD</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Small per-dataset size</w:t>
            </w:r>
          </w:p>
        </w:tc>
      </w:tr>
      <w:tr>
        <w:trPr>
          <w:cantSplit w:val="false"/>
        </w:trPr>
        <w:tc>
          <w:tcPr>
            <w:tcW w:type="dxa" w:w="600"/>
            <w:tcBorders>
              <w:top w:val="single" w:color="D1D5DB" w:sz="1"/>
              <w:left w:val="single" w:color="D1D5DB" w:sz="1"/>
              <w:bottom w:val="single" w:color="D1D5DB" w:sz="1"/>
              <w:right w:val="single" w:color="D1D5DB" w:sz="1"/>
            </w:tcBorders>
            <w:shd w:fill="F3F4F6" w:val="clear"/>
            <w:tcMar>
              <w:top w:type="dxa" w:w="100"/>
              <w:left w:type="dxa" w:w="80"/>
              <w:bottom w:type="dxa" w:w="100"/>
              <w:right w:type="dxa" w:w="80"/>
            </w:tcMar>
            <w:vAlign w:val="center"/>
          </w:tcPr>
          <w:p>
            <w:pPr>
              <w:spacing w:after="0"/>
              <w:jc w:val="center"/>
            </w:pPr>
            <w:r>
              <w:rPr>
                <w:rFonts w:ascii="Calibri" w:cs="Calibri" w:eastAsia="Calibri" w:hAnsi="Calibri"/>
                <w:b/>
                <w:bCs/>
                <w:color w:val="1F3A5F"/>
                <w:sz w:val="18"/>
                <w:szCs w:val="18"/>
              </w:rPr>
              <w:t xml:space="preserve">24</w:t>
            </w:r>
          </w:p>
        </w:tc>
        <w:tc>
          <w:tcPr>
            <w:tcW w:type="dxa" w:w="30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LLM-Enhanced LAD Benchmark (2026, arXiv)</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4-dataset 3-family benchmark</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SLCP prompt</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Cost-latency-failure analysis</w:t>
            </w:r>
          </w:p>
        </w:tc>
        <w:tc>
          <w:tcPr>
            <w:tcW w:type="dxa" w:w="285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Preprint</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Not cross-system focused</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SLM PEFT absent</w:t>
            </w:r>
          </w:p>
        </w:tc>
      </w:tr>
      <w:tr>
        <w:trPr>
          <w:cantSplit w:val="false"/>
        </w:trPr>
        <w:tc>
          <w:tcPr>
            <w:tcW w:type="dxa" w:w="600"/>
            <w:tcBorders>
              <w:top w:val="single" w:color="D1D5DB" w:sz="1"/>
              <w:left w:val="single" w:color="D1D5DB" w:sz="1"/>
              <w:bottom w:val="single" w:color="D1D5DB" w:sz="1"/>
              <w:right w:val="single" w:color="D1D5DB" w:sz="1"/>
            </w:tcBorders>
            <w:shd w:fill="FEF3C7" w:val="clear"/>
            <w:tcMar>
              <w:top w:type="dxa" w:w="100"/>
              <w:left w:type="dxa" w:w="80"/>
              <w:bottom w:type="dxa" w:w="100"/>
              <w:right w:type="dxa" w:w="80"/>
            </w:tcMar>
            <w:vAlign w:val="center"/>
          </w:tcPr>
          <w:p>
            <w:pPr>
              <w:spacing w:after="0"/>
              <w:jc w:val="center"/>
            </w:pPr>
            <w:r>
              <w:rPr>
                <w:rFonts w:ascii="Calibri" w:cs="Calibri" w:eastAsia="Calibri" w:hAnsi="Calibri"/>
                <w:b/>
                <w:bCs/>
                <w:color w:val="B91C1C"/>
                <w:sz w:val="18"/>
                <w:szCs w:val="18"/>
              </w:rPr>
              <w:t xml:space="preserve">★25</w:t>
            </w:r>
          </w:p>
        </w:tc>
        <w:tc>
          <w:tcPr>
            <w:tcW w:type="dxa" w:w="306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0" w:line="260"/>
            </w:pPr>
            <w:r>
              <w:rPr>
                <w:rFonts w:ascii="Calibri" w:cs="Calibri" w:eastAsia="Calibri" w:hAnsi="Calibri"/>
                <w:b/>
                <w:bCs/>
                <w:color w:val="1F3A5F"/>
                <w:sz w:val="17"/>
                <w:szCs w:val="17"/>
              </w:rPr>
              <w:t xml:space="preserve">AIOps-LAD Systematic Review (2025, Q1 journal)</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Q1 survey</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Taxonomy</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Explicit gap identification</w:t>
            </w:r>
          </w:p>
          <w:p>
            <w:pPr>
              <w:spacing w:after="60" w:before="0" w:line="240"/>
              <w:ind w:left="100" w:hanging="100"/>
              <w:jc w:val="left"/>
            </w:pPr>
            <w:r>
              <w:rPr>
                <w:rFonts w:ascii="Calibri" w:cs="Calibri" w:eastAsia="Calibri" w:hAnsi="Calibri"/>
                <w:b/>
                <w:bCs/>
                <w:color w:val="047857"/>
                <w:sz w:val="16"/>
                <w:szCs w:val="16"/>
              </w:rPr>
              <w:t xml:space="preserve">• </w:t>
            </w:r>
            <w:r>
              <w:rPr>
                <w:rFonts w:ascii="Calibri" w:cs="Calibri" w:eastAsia="Calibri" w:hAnsi="Calibri"/>
                <w:color w:val="1F2937"/>
                <w:sz w:val="16"/>
                <w:szCs w:val="16"/>
              </w:rPr>
              <w:t xml:space="preserve">Positions SLM+PEFT and RAG as priorities</w:t>
            </w:r>
          </w:p>
        </w:tc>
        <w:tc>
          <w:tcPr>
            <w:tcW w:type="dxa" w:w="285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top"/>
          </w:tcPr>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Survey only</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Limited 2026 coverage</w:t>
            </w:r>
          </w:p>
          <w:p>
            <w:pPr>
              <w:spacing w:after="60" w:before="0" w:line="240"/>
              <w:ind w:left="100" w:hanging="100"/>
              <w:jc w:val="left"/>
            </w:pPr>
            <w:r>
              <w:rPr>
                <w:rFonts w:ascii="Calibri" w:cs="Calibri" w:eastAsia="Calibri" w:hAnsi="Calibri"/>
                <w:b/>
                <w:bCs/>
                <w:color w:val="DC2626"/>
                <w:sz w:val="16"/>
                <w:szCs w:val="16"/>
              </w:rPr>
              <w:t xml:space="preserve">• </w:t>
            </w:r>
            <w:r>
              <w:rPr>
                <w:rFonts w:ascii="Calibri" w:cs="Calibri" w:eastAsia="Calibri" w:hAnsi="Calibri"/>
                <w:color w:val="1F2937"/>
                <w:sz w:val="16"/>
                <w:szCs w:val="16"/>
              </w:rPr>
              <w:t xml:space="preserve">Brief calibration treatment</w:t>
            </w:r>
          </w:p>
        </w:tc>
      </w:tr>
    </w:tbl>
    <w:p>
      <w:pPr>
        <w:spacing w:after="200" w:before="0"/>
      </w:pPr>
      <w:r>
        <w:t xml:space="preserve"/>
      </w:r>
    </w:p>
    <w:p>
      <w:pPr>
        <w:spacing w:after="120" w:before="0"/>
      </w:pPr>
      <w:r>
        <w:rPr>
          <w:rFonts w:ascii="Calibri" w:cs="Calibri" w:eastAsia="Calibri" w:hAnsi="Calibri"/>
          <w:b/>
          <w:bCs/>
          <w:color w:val="B91C1C"/>
          <w:sz w:val="22"/>
          <w:szCs w:val="22"/>
        </w:rPr>
        <w:t xml:space="preserve">★ </w:t>
      </w:r>
      <w:r>
        <w:rPr>
          <w:rFonts w:ascii="Calibri" w:cs="Calibri" w:eastAsia="Calibri" w:hAnsi="Calibri"/>
          <w:i/>
          <w:iCs/>
          <w:color w:val="6B7280"/>
          <w:sz w:val="20"/>
          <w:szCs w:val="20"/>
        </w:rPr>
        <w:t xml:space="preserve">Highlighted papers (yellow rows) are the most directly relevant to the planned Q1 contribution.</w:t>
      </w:r>
    </w:p>
    <w:p>
      <w:r>
        <w:br w:type="page"/>
      </w:r>
    </w:p>
    <w:p>
      <w:pPr>
        <w:pStyle w:val="Heading1"/>
        <w:spacing w:after="240" w:before="480"/>
      </w:pPr>
      <w:r>
        <w:rPr>
          <w:rFonts w:ascii="Calibri" w:cs="Calibri" w:eastAsia="Calibri" w:hAnsi="Calibri"/>
          <w:b/>
          <w:bCs/>
          <w:color w:val="1F3A5F"/>
          <w:sz w:val="36"/>
          <w:szCs w:val="36"/>
        </w:rPr>
        <w:t xml:space="preserve">5. Concluding Remarks for the Q1 Paper Planner</w:t>
      </w:r>
    </w:p>
    <w:p>
      <w:pPr>
        <w:spacing w:after="200" w:before="0" w:line="300"/>
        <w:jc w:val="both"/>
      </w:pPr>
      <w:r>
        <w:rPr>
          <w:rFonts w:ascii="Calibri" w:cs="Calibri" w:eastAsia="Calibri" w:hAnsi="Calibri"/>
          <w:b w:val="false"/>
          <w:bCs w:val="false"/>
          <w:i w:val="false"/>
          <w:iCs w:val="false"/>
          <w:color w:val="1F2937"/>
          <w:sz w:val="22"/>
          <w:szCs w:val="22"/>
        </w:rPr>
        <w:t xml:space="preserve">For a Q1 journal paper that also yields an operational system, the most defensible composite contribution synthesizes gaps (a)–(f) into a single design:</w:t>
      </w:r>
    </w:p>
    <w:tbl>
      <w:tblPr>
        <w:tblW w:type="dxa" w:w="9360"/>
        <w:tblBorders>
          <w:top w:val="double" w:color="B91C1C" w:sz="8"/>
          <w:left w:val="double" w:color="B91C1C" w:sz="8"/>
          <w:bottom w:val="double" w:color="B91C1C" w:sz="8"/>
          <w:right w:val="double" w:color="B91C1C" w:sz="8"/>
          <w:insideH w:val="none" w:color="FFFFFF" w:sz="0"/>
          <w:insideV w:val="none" w:color="FFFFFF" w:sz="0"/>
        </w:tblBorders>
      </w:tblPr>
      <w:tblGrid>
        <w:gridCol w:w="9360"/>
      </w:tblGrid>
      <w:tr>
        <w:tc>
          <w:tcPr>
            <w:tcW w:type="dxa" w:w="9360"/>
            <w:shd w:fill="FEF2F2" w:val="clear"/>
            <w:tcMar>
              <w:top w:type="dxa" w:w="240"/>
              <w:left w:type="dxa" w:w="320"/>
              <w:bottom w:type="dxa" w:w="240"/>
              <w:right w:type="dxa" w:w="320"/>
            </w:tcMar>
          </w:tcPr>
          <w:p>
            <w:pPr>
              <w:spacing w:after="160"/>
              <w:jc w:val="center"/>
            </w:pPr>
            <w:r>
              <w:rPr>
                <w:rFonts w:ascii="Calibri" w:cs="Calibri" w:eastAsia="Calibri" w:hAnsi="Calibri"/>
                <w:b/>
                <w:bCs/>
                <w:color w:val="B91C1C"/>
                <w:spacing w:val="80"/>
                <w:sz w:val="18"/>
                <w:szCs w:val="18"/>
              </w:rPr>
              <w:t xml:space="preserve">THE PROPOSED CONTRIBUTION</w:t>
            </w:r>
          </w:p>
          <w:p>
            <w:pPr>
              <w:spacing w:after="0" w:line="360"/>
              <w:jc w:val="both"/>
            </w:pPr>
            <w:r>
              <w:rPr>
                <w:rFonts w:ascii="Calibri" w:cs="Calibri" w:eastAsia="Calibri" w:hAnsi="Calibri"/>
                <w:color w:val="1F2937"/>
                <w:sz w:val="22"/>
                <w:szCs w:val="22"/>
              </w:rPr>
              <w:t xml:space="preserve">A </w:t>
            </w:r>
            <w:r>
              <w:rPr>
                <w:rFonts w:ascii="Calibri" w:cs="Calibri" w:eastAsia="Calibri" w:hAnsi="Calibri"/>
                <w:b/>
                <w:bCs/>
                <w:color w:val="1F3A5F"/>
                <w:sz w:val="22"/>
                <w:szCs w:val="22"/>
              </w:rPr>
              <w:t xml:space="preserve">sub-8B small language model</w:t>
            </w:r>
            <w:r>
              <w:rPr>
                <w:rFonts w:ascii="Calibri" w:cs="Calibri" w:eastAsia="Calibri" w:hAnsi="Calibri"/>
                <w:color w:val="1F2937"/>
                <w:sz w:val="22"/>
                <w:szCs w:val="22"/>
              </w:rPr>
              <w:t xml:space="preserve"> (Qwen-2.5-1.5B, Phi-3.5-mini, or Llama-3.2-3B) </w:t>
            </w:r>
            <w:r>
              <w:rPr>
                <w:rFonts w:ascii="Calibri" w:cs="Calibri" w:eastAsia="Calibri" w:hAnsi="Calibri"/>
                <w:b/>
                <w:bCs/>
                <w:color w:val="1F3A5F"/>
                <w:sz w:val="22"/>
                <w:szCs w:val="22"/>
              </w:rPr>
              <w:t xml:space="preserve">fine-tuned with QLoRA</w:t>
            </w:r>
            <w:r>
              <w:rPr>
                <w:rFonts w:ascii="Calibri" w:cs="Calibri" w:eastAsia="Calibri" w:hAnsi="Calibri"/>
                <w:color w:val="1F2937"/>
                <w:sz w:val="22"/>
                <w:szCs w:val="22"/>
              </w:rPr>
              <w:t xml:space="preserve"> on a source system (e.g., HDFS or BGL), evaluated on multiple unseen target systems (Thunderbird, Spirit, OpenStack) under a </w:t>
            </w:r>
            <w:r>
              <w:rPr>
                <w:rFonts w:ascii="Calibri" w:cs="Calibri" w:eastAsia="Calibri" w:hAnsi="Calibri"/>
                <w:b/>
                <w:bCs/>
                <w:color w:val="1F3A5F"/>
                <w:sz w:val="22"/>
                <w:szCs w:val="22"/>
              </w:rPr>
              <w:t xml:space="preserve">strict zero-label setting</w:t>
            </w:r>
            <w:r>
              <w:rPr>
                <w:rFonts w:ascii="Calibri" w:cs="Calibri" w:eastAsia="Calibri" w:hAnsi="Calibri"/>
                <w:color w:val="1F2937"/>
                <w:sz w:val="22"/>
                <w:szCs w:val="22"/>
              </w:rPr>
              <w:t xml:space="preserve">, with </w:t>
            </w:r>
            <w:r>
              <w:rPr>
                <w:rFonts w:ascii="Calibri" w:cs="Calibri" w:eastAsia="Calibri" w:hAnsi="Calibri"/>
                <w:b/>
                <w:bCs/>
                <w:color w:val="1F3A5F"/>
                <w:sz w:val="22"/>
                <w:szCs w:val="22"/>
              </w:rPr>
              <w:t xml:space="preserve">explicit calibration</w:t>
            </w:r>
            <w:r>
              <w:rPr>
                <w:rFonts w:ascii="Calibri" w:cs="Calibri" w:eastAsia="Calibri" w:hAnsi="Calibri"/>
                <w:color w:val="1F2937"/>
                <w:sz w:val="22"/>
                <w:szCs w:val="22"/>
              </w:rPr>
              <w:t xml:space="preserve"> (temperature scaling, ECE reporting, reliability diagrams) and </w:t>
            </w:r>
            <w:r>
              <w:rPr>
                <w:rFonts w:ascii="Calibri" w:cs="Calibri" w:eastAsia="Calibri" w:hAnsi="Calibri"/>
                <w:b/>
                <w:bCs/>
                <w:color w:val="1F3A5F"/>
                <w:sz w:val="22"/>
                <w:szCs w:val="22"/>
              </w:rPr>
              <w:t xml:space="preserve">selective prediction</w:t>
            </w:r>
            <w:r>
              <w:rPr>
                <w:rFonts w:ascii="Calibri" w:cs="Calibri" w:eastAsia="Calibri" w:hAnsi="Calibri"/>
                <w:color w:val="1F2937"/>
                <w:sz w:val="22"/>
                <w:szCs w:val="22"/>
              </w:rPr>
              <w:t xml:space="preserve"> (risk-controlled abstention with target risk α) — all benchmarked on </w:t>
            </w:r>
            <w:r>
              <w:rPr>
                <w:rFonts w:ascii="Calibri" w:cs="Calibri" w:eastAsia="Calibri" w:hAnsi="Calibri"/>
                <w:b/>
                <w:bCs/>
                <w:color w:val="1F3A5F"/>
                <w:sz w:val="22"/>
                <w:szCs w:val="22"/>
              </w:rPr>
              <w:t xml:space="preserve">commodity GPU hardware</w:t>
            </w:r>
            <w:r>
              <w:rPr>
                <w:rFonts w:ascii="Calibri" w:cs="Calibri" w:eastAsia="Calibri" w:hAnsi="Calibri"/>
                <w:color w:val="1F2937"/>
                <w:sz w:val="22"/>
                <w:szCs w:val="22"/>
              </w:rPr>
              <w:t xml:space="preserve"> (single 24 GB VRAM card) and additionally validated on at least one labelled intrusion log dataset (AIT-LDS or LANL Unified Host and Network Events).</w:t>
            </w:r>
          </w:p>
        </w:tc>
      </w:tr>
    </w:tbl>
    <w:p>
      <w:pPr>
        <w:spacing w:after="280" w:before="0"/>
      </w:pPr>
      <w:r>
        <w:t xml:space="preserve"/>
      </w:r>
    </w:p>
    <w:p>
      <w:pPr>
        <w:spacing w:after="160" w:before="120" w:line="300"/>
        <w:jc w:val="both"/>
      </w:pPr>
      <w:r>
        <w:rPr>
          <w:rFonts w:ascii="Calibri" w:cs="Calibri" w:eastAsia="Calibri" w:hAnsi="Calibri"/>
          <w:b/>
          <w:bCs/>
          <w:i w:val="false"/>
          <w:iCs w:val="false"/>
          <w:color w:val="1F2937"/>
          <w:sz w:val="22"/>
          <w:szCs w:val="22"/>
        </w:rPr>
        <w:t xml:space="preserve">Such a study would simultaneously:</w:t>
      </w:r>
    </w:p>
    <w:p>
      <w:pPr>
        <w:pStyle w:val="ListParagraph"/>
        <w:numPr>
          <w:ilvl w:val="0"/>
          <w:numId w:val="2"/>
        </w:numPr>
        <w:spacing w:after="120" w:before="0" w:line="320"/>
        <w:jc w:val="both"/>
      </w:pPr>
      <w:r>
        <w:rPr>
          <w:rFonts w:ascii="Calibri" w:cs="Calibri" w:eastAsia="Calibri" w:hAnsi="Calibri"/>
          <w:b/>
          <w:bCs/>
          <w:color w:val="1F3A5F"/>
          <w:sz w:val="22"/>
          <w:szCs w:val="22"/>
        </w:rPr>
        <w:t xml:space="preserve">Extend MetaLog (Paper 16) and ZeroLog (Paper 17)</w:t>
      </w:r>
      <w:r>
        <w:rPr>
          <w:rFonts w:ascii="Calibri" w:cs="Calibri" w:eastAsia="Calibri" w:hAnsi="Calibri"/>
          <w:color w:val="1F2937"/>
          <w:sz w:val="22"/>
          <w:szCs w:val="22"/>
        </w:rPr>
        <w:t xml:space="preserve"> by adding a modern SLM backbone.</w:t>
      </w:r>
    </w:p>
    <w:p>
      <w:pPr>
        <w:pStyle w:val="ListParagraph"/>
        <w:numPr>
          <w:ilvl w:val="0"/>
          <w:numId w:val="2"/>
        </w:numPr>
        <w:spacing w:after="120" w:before="0" w:line="320"/>
        <w:jc w:val="both"/>
      </w:pPr>
      <w:r>
        <w:rPr>
          <w:rFonts w:ascii="Calibri" w:cs="Calibri" w:eastAsia="Calibri" w:hAnsi="Calibri"/>
          <w:b/>
          <w:bCs/>
          <w:color w:val="1F3A5F"/>
          <w:sz w:val="22"/>
          <w:szCs w:val="22"/>
        </w:rPr>
        <w:t xml:space="preserve">Extend LogTinyLLM (Paper 12) and PEFT-for-LAD (Paper 13)</w:t>
      </w:r>
      <w:r>
        <w:rPr>
          <w:rFonts w:ascii="Calibri" w:cs="Calibri" w:eastAsia="Calibri" w:hAnsi="Calibri"/>
          <w:color w:val="1F2937"/>
          <w:sz w:val="22"/>
          <w:szCs w:val="22"/>
        </w:rPr>
        <w:t xml:space="preserve"> by adding cross-system evaluation.</w:t>
      </w:r>
    </w:p>
    <w:p>
      <w:pPr>
        <w:pStyle w:val="ListParagraph"/>
        <w:numPr>
          <w:ilvl w:val="0"/>
          <w:numId w:val="2"/>
        </w:numPr>
        <w:spacing w:after="120" w:before="0" w:line="320"/>
        <w:jc w:val="both"/>
      </w:pPr>
      <w:r>
        <w:rPr>
          <w:rFonts w:ascii="Calibri" w:cs="Calibri" w:eastAsia="Calibri" w:hAnsi="Calibri"/>
          <w:b/>
          <w:bCs/>
          <w:color w:val="1F3A5F"/>
          <w:sz w:val="22"/>
          <w:szCs w:val="22"/>
        </w:rPr>
        <w:t xml:space="preserve">Extend AdaptiveLog (Paper 14)</w:t>
      </w:r>
      <w:r>
        <w:rPr>
          <w:rFonts w:ascii="Calibri" w:cs="Calibri" w:eastAsia="Calibri" w:hAnsi="Calibri"/>
          <w:color w:val="1F2937"/>
          <w:sz w:val="22"/>
          <w:szCs w:val="22"/>
        </w:rPr>
        <w:t xml:space="preserve"> by replacing logit-based heuristics with formally calibrated selective prediction.</w:t>
      </w:r>
    </w:p>
    <w:p>
      <w:pPr>
        <w:pStyle w:val="ListParagraph"/>
        <w:numPr>
          <w:ilvl w:val="0"/>
          <w:numId w:val="2"/>
        </w:numPr>
        <w:spacing w:after="120" w:before="0" w:line="320"/>
        <w:jc w:val="both"/>
      </w:pPr>
      <w:r>
        <w:rPr>
          <w:rFonts w:ascii="Calibri" w:cs="Calibri" w:eastAsia="Calibri" w:hAnsi="Calibri"/>
          <w:b/>
          <w:bCs/>
          <w:color w:val="1F3A5F"/>
          <w:sz w:val="22"/>
          <w:szCs w:val="22"/>
        </w:rPr>
        <w:t xml:space="preserve">Extend LogFiT (Paper 6) — the current Q1-published anchor</w:t>
      </w:r>
      <w:r>
        <w:rPr>
          <w:rFonts w:ascii="Calibri" w:cs="Calibri" w:eastAsia="Calibri" w:hAnsi="Calibri"/>
          <w:color w:val="1F2937"/>
          <w:sz w:val="22"/>
          <w:szCs w:val="22"/>
        </w:rPr>
        <w:t xml:space="preserve"> by adopting decoder-only SLMs with QLoRA and a cross-system + calibrated + selective-prediction protocol.</w:t>
      </w:r>
    </w:p>
    <w:p>
      <w:pPr>
        <w:pStyle w:val="ListParagraph"/>
        <w:numPr>
          <w:ilvl w:val="0"/>
          <w:numId w:val="2"/>
        </w:numPr>
        <w:spacing w:after="120" w:before="0" w:line="320"/>
        <w:jc w:val="both"/>
      </w:pPr>
      <w:r>
        <w:rPr>
          <w:rFonts w:ascii="Calibri" w:cs="Calibri" w:eastAsia="Calibri" w:hAnsi="Calibri"/>
          <w:b/>
          <w:bCs/>
          <w:color w:val="1F3A5F"/>
          <w:sz w:val="22"/>
          <w:szCs w:val="22"/>
        </w:rPr>
        <w:t xml:space="preserve">Open a new evaluation axis</w:t>
      </w:r>
      <w:r>
        <w:rPr>
          <w:rFonts w:ascii="Calibri" w:cs="Calibri" w:eastAsia="Calibri" w:hAnsi="Calibri"/>
          <w:color w:val="1F2937"/>
          <w:sz w:val="22"/>
          <w:szCs w:val="22"/>
        </w:rPr>
        <w:t xml:space="preserve"> (security/intrusion logs with abstention) not addressed by LogPrompt, LogLLM, or any of the preprint cross-system baselines.</w:t>
      </w:r>
    </w:p>
    <w:p>
      <w:pPr>
        <w:pStyle w:val="Heading2"/>
        <w:spacing w:after="180" w:before="360"/>
      </w:pPr>
      <w:r>
        <w:rPr>
          <w:rFonts w:ascii="Calibri" w:cs="Calibri" w:eastAsia="Calibri" w:hAnsi="Calibri"/>
          <w:b/>
          <w:bCs/>
          <w:color w:val="1F3A5F"/>
          <w:sz w:val="28"/>
          <w:szCs w:val="28"/>
        </w:rPr>
        <w:t xml:space="preserve">Target Venues</w:t>
      </w:r>
    </w:p>
    <w:p>
      <w:pPr>
        <w:spacing w:after="200" w:before="0" w:line="300"/>
        <w:jc w:val="both"/>
      </w:pPr>
      <w:r>
        <w:rPr>
          <w:rFonts w:ascii="Calibri" w:cs="Calibri" w:eastAsia="Calibri" w:hAnsi="Calibri"/>
          <w:b w:val="false"/>
          <w:bCs w:val="false"/>
          <w:i w:val="false"/>
          <w:iCs w:val="false"/>
          <w:color w:val="1F2937"/>
          <w:sz w:val="22"/>
          <w:szCs w:val="22"/>
        </w:rPr>
        <w:t xml:space="preserve">Target venues consistent with this scope, all of which have recently accepted log-anomaly-detection papers and align with the proposed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F3A5F" w:sz="4"/>
              <w:left w:val="single" w:color="1F3A5F" w:sz="4"/>
              <w:bottom w:val="single" w:color="1F3A5F" w:sz="4"/>
              <w:right w:val="single" w:color="1F3A5F" w:sz="4"/>
            </w:tcBorders>
            <w:shd w:fill="1F3A5F" w:val="clear"/>
            <w:tcMar>
              <w:top w:type="dxa" w:w="120"/>
              <w:left w:type="dxa" w:w="200"/>
              <w:bottom w:type="dxa" w:w="120"/>
              <w:right w:type="dxa" w:w="200"/>
            </w:tcMar>
          </w:tcPr>
          <w:p>
            <w:pPr>
              <w:spacing w:after="0"/>
            </w:pPr>
            <w:r>
              <w:rPr>
                <w:rFonts w:ascii="Calibri" w:cs="Calibri" w:eastAsia="Calibri" w:hAnsi="Calibri"/>
                <w:b/>
                <w:bCs/>
                <w:color w:val="FFFFFF"/>
                <w:spacing w:val="60"/>
                <w:sz w:val="18"/>
                <w:szCs w:val="18"/>
              </w:rPr>
              <w:t xml:space="preserve">JOURNAL</w:t>
            </w:r>
          </w:p>
        </w:tc>
        <w:tc>
          <w:tcPr>
            <w:tcW w:type="dxa" w:w="4860"/>
            <w:tcBorders>
              <w:top w:val="single" w:color="1F3A5F" w:sz="4"/>
              <w:left w:val="single" w:color="1F3A5F" w:sz="4"/>
              <w:bottom w:val="single" w:color="1F3A5F" w:sz="4"/>
              <w:right w:val="single" w:color="1F3A5F" w:sz="4"/>
            </w:tcBorders>
            <w:shd w:fill="1F3A5F" w:val="clear"/>
            <w:tcMar>
              <w:top w:type="dxa" w:w="120"/>
              <w:left w:type="dxa" w:w="200"/>
              <w:bottom w:type="dxa" w:w="120"/>
              <w:right w:type="dxa" w:w="200"/>
            </w:tcMar>
          </w:tcPr>
          <w:p>
            <w:pPr>
              <w:spacing w:after="0"/>
            </w:pPr>
            <w:r>
              <w:rPr>
                <w:rFonts w:ascii="Calibri" w:cs="Calibri" w:eastAsia="Calibri" w:hAnsi="Calibri"/>
                <w:b/>
                <w:bCs/>
                <w:color w:val="FFFFFF"/>
                <w:spacing w:val="60"/>
                <w:sz w:val="18"/>
                <w:szCs w:val="18"/>
              </w:rPr>
              <w:t xml:space="preserve">FIT FOR OUR CONTRIBUTION</w:t>
            </w:r>
          </w:p>
        </w:tc>
      </w:tr>
      <w:tr>
        <w:tc>
          <w:tcPr>
            <w:tcW w:type="dxa" w:w="45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bCs/>
                <w:color w:val="1F3A5F"/>
                <w:sz w:val="20"/>
                <w:szCs w:val="20"/>
              </w:rPr>
              <w:t xml:space="preserve">IEEE Transactions on Network and Service Management (TNSM)</w:t>
            </w:r>
          </w:p>
        </w:tc>
        <w:tc>
          <w:tcPr>
            <w:tcW w:type="dxa" w:w="4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i/>
                <w:iCs/>
                <w:color w:val="1F2937"/>
                <w:sz w:val="20"/>
                <w:szCs w:val="20"/>
              </w:rPr>
              <w:t xml:space="preserve">Direct alignment — LogFiT was published here</w:t>
            </w:r>
          </w:p>
        </w:tc>
      </w:tr>
      <w:tr>
        <w:tc>
          <w:tcPr>
            <w:tcW w:type="dxa" w:w="450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bCs/>
                <w:color w:val="1F3A5F"/>
                <w:sz w:val="20"/>
                <w:szCs w:val="20"/>
              </w:rPr>
              <w:t xml:space="preserve">IEEE Transactions on Information Forensics and Security (TIFS)</w:t>
            </w:r>
          </w:p>
        </w:tc>
        <w:tc>
          <w:tcPr>
            <w:tcW w:type="dxa" w:w="48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i/>
                <w:iCs/>
                <w:color w:val="1F2937"/>
                <w:sz w:val="20"/>
                <w:szCs w:val="20"/>
              </w:rPr>
              <w:t xml:space="preserve">Strong fit if security-log evaluation is included</w:t>
            </w:r>
          </w:p>
        </w:tc>
      </w:tr>
      <w:tr>
        <w:tc>
          <w:tcPr>
            <w:tcW w:type="dxa" w:w="45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bCs/>
                <w:color w:val="1F3A5F"/>
                <w:sz w:val="20"/>
                <w:szCs w:val="20"/>
              </w:rPr>
              <w:t xml:space="preserve">IEEE Transactions on Dependable and Secure Computing (TDSC)</w:t>
            </w:r>
          </w:p>
        </w:tc>
        <w:tc>
          <w:tcPr>
            <w:tcW w:type="dxa" w:w="4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i/>
                <w:iCs/>
                <w:color w:val="1F2937"/>
                <w:sz w:val="20"/>
                <w:szCs w:val="20"/>
              </w:rPr>
              <w:t xml:space="preserve">Excellent fit for selective prediction + security</w:t>
            </w:r>
          </w:p>
        </w:tc>
      </w:tr>
      <w:tr>
        <w:tc>
          <w:tcPr>
            <w:tcW w:type="dxa" w:w="450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bCs/>
                <w:color w:val="1F3A5F"/>
                <w:sz w:val="20"/>
                <w:szCs w:val="20"/>
              </w:rPr>
              <w:t xml:space="preserve">IEEE Transactions on Reliability</w:t>
            </w:r>
          </w:p>
        </w:tc>
        <w:tc>
          <w:tcPr>
            <w:tcW w:type="dxa" w:w="48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i/>
                <w:iCs/>
                <w:color w:val="1F2937"/>
                <w:sz w:val="20"/>
                <w:szCs w:val="20"/>
              </w:rPr>
              <w:t xml:space="preserve">Fit for the operational reliability framing</w:t>
            </w:r>
          </w:p>
        </w:tc>
      </w:tr>
      <w:tr>
        <w:tc>
          <w:tcPr>
            <w:tcW w:type="dxa" w:w="45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b/>
                <w:bCs/>
                <w:color w:val="1F3A5F"/>
                <w:sz w:val="20"/>
                <w:szCs w:val="20"/>
              </w:rPr>
              <w:t xml:space="preserve">ACM Transactions on Software Engineering and Methodology (TOSEM)</w:t>
            </w:r>
          </w:p>
        </w:tc>
        <w:tc>
          <w:tcPr>
            <w:tcW w:type="dxa" w:w="486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line="280"/>
            </w:pPr>
            <w:r>
              <w:rPr>
                <w:rFonts w:ascii="Calibri" w:cs="Calibri" w:eastAsia="Calibri" w:hAnsi="Calibri"/>
                <w:i/>
                <w:iCs/>
                <w:color w:val="1F2937"/>
                <w:sz w:val="20"/>
                <w:szCs w:val="20"/>
              </w:rPr>
              <w:t xml:space="preserve">AdaptiveLog was published here</w:t>
            </w:r>
          </w:p>
        </w:tc>
      </w:tr>
      <w:tr>
        <w:tc>
          <w:tcPr>
            <w:tcW w:type="dxa" w:w="450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b/>
                <w:bCs/>
                <w:color w:val="1F3A5F"/>
                <w:sz w:val="20"/>
                <w:szCs w:val="20"/>
              </w:rPr>
              <w:t xml:space="preserve">ACM Transactions on Knowledge Discovery from Data (TKDE)</w:t>
            </w:r>
          </w:p>
        </w:tc>
        <w:tc>
          <w:tcPr>
            <w:tcW w:type="dxa" w:w="48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0" w:line="280"/>
            </w:pPr>
            <w:r>
              <w:rPr>
                <w:rFonts w:ascii="Calibri" w:cs="Calibri" w:eastAsia="Calibri" w:hAnsi="Calibri"/>
                <w:i/>
                <w:iCs/>
                <w:color w:val="1F2937"/>
                <w:sz w:val="20"/>
                <w:szCs w:val="20"/>
              </w:rPr>
              <w:t xml:space="preserve">Fit for the empirical / benchmark angle</w:t>
            </w:r>
          </w:p>
        </w:tc>
      </w:tr>
    </w:tbl>
    <w:p>
      <w:pPr>
        <w:spacing w:after="400" w:before="0"/>
      </w:pPr>
      <w:r>
        <w:t xml:space="preserve"/>
      </w:r>
    </w:p>
    <w:p>
      <w:pPr>
        <w:spacing w:after="120" w:before="240"/>
        <w:jc w:val="center"/>
      </w:pPr>
      <w:r>
        <w:rPr>
          <w:rFonts w:ascii="Calibri" w:cs="Calibri" w:eastAsia="Calibri" w:hAnsi="Calibri"/>
          <w:b/>
          <w:bCs/>
          <w:color w:val="6B7280"/>
          <w:spacing w:val="100"/>
          <w:sz w:val="18"/>
          <w:szCs w:val="18"/>
        </w:rPr>
        <w:t xml:space="preserve">— END OF LITERATURE REVIEW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4"/>
      </w:pBdr>
      <w:spacing w:after="60"/>
      <w:jc w:val="right"/>
    </w:pPr>
    <w:r>
      <w:rPr>
        <w:rFonts w:ascii="Calibri" w:cs="Calibri" w:eastAsia="Calibri" w:hAnsi="Calibri"/>
        <w:i/>
        <w:iCs/>
        <w:color w:val="6B7280"/>
        <w:sz w:val="16"/>
        <w:szCs w:val="16"/>
      </w:rPr>
      <w:t xml:space="preserve">Log Anomaly Detection with SLMs &amp; PEFT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40" w:before="280"/>
      <w:outlineLvl w:val="2"/>
    </w:pPr>
    <w:rPr>
      <w:rFonts w:ascii="Calibri" w:cs="Calibri" w:eastAsia="Calibri" w:hAnsi="Calibri"/>
      <w:b/>
      <w:bCs/>
      <w:color w:val="B91C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t4fz4h5edovsvnczkpwi" Type="http://schemas.openxmlformats.org/officeDocument/2006/relationships/hyperlink" Target="https://dl.acm.org/doi/10.1145/3133956.3134015" TargetMode="External"/><Relationship Id="rIdscsa3htmushdairtq__t9" Type="http://schemas.openxmlformats.org/officeDocument/2006/relationships/hyperlink" Target="https://www.ijcai.org/proceedings/2019/658" TargetMode="External"/><Relationship Id="rId1hoy5krn9x3mqppi7sxtm" Type="http://schemas.openxmlformats.org/officeDocument/2006/relationships/hyperlink" Target="https://arxiv.org/abs/2103.04475" TargetMode="External"/><Relationship Id="rIdc-nzustiioi2auvlyl6qp" Type="http://schemas.openxmlformats.org/officeDocument/2006/relationships/hyperlink" Target="https://arxiv.org/abs/2111.09564" TargetMode="External"/><Relationship Id="rIdgoqmfbe6vhkbdz5rv_odz" Type="http://schemas.openxmlformats.org/officeDocument/2006/relationships/hyperlink" Target="https://www.tandfonline.com/doi/full/10.1080/08839514.2022.2145642" TargetMode="External"/><Relationship Id="rId9_ybqt-d6zf1zjw4dyqyz" Type="http://schemas.openxmlformats.org/officeDocument/2006/relationships/hyperlink" Target="https://ieeexplore.ieee.org/document/10414427/" TargetMode="External"/><Relationship Id="rId-9qjcl4km6gchxrusarcj" Type="http://schemas.openxmlformats.org/officeDocument/2006/relationships/hyperlink" Target="https://arxiv.org/abs/2308.07610" TargetMode="External"/><Relationship Id="rIdrgwsuz-2s60cq1ehcuhmt" Type="http://schemas.openxmlformats.org/officeDocument/2006/relationships/hyperlink" Target="https://ieeexplore.ieee.org/iel7/10190990/10190992/10191948.pdf" TargetMode="External"/><Relationship Id="rIdxciz1dbtgsgpxgjxari8m" Type="http://schemas.openxmlformats.org/officeDocument/2006/relationships/hyperlink" Target="https://arxiv.org/abs/2309.14482" TargetMode="External"/><Relationship Id="rId2mo6uocqrqtn88uygsxyb" Type="http://schemas.openxmlformats.org/officeDocument/2006/relationships/hyperlink" Target="https://arxiv.org/abs/2309.01189" TargetMode="External"/><Relationship Id="rIdcknytswnbzwduixbgv4vy" Type="http://schemas.openxmlformats.org/officeDocument/2006/relationships/hyperlink" Target="https://arxiv.org/abs/2411.08561" TargetMode="External"/><Relationship Id="rId10es68uftl-4msnmhwqgn" Type="http://schemas.openxmlformats.org/officeDocument/2006/relationships/hyperlink" Target="https://arxiv.org/abs/2507.11071" TargetMode="External"/><Relationship Id="rId2bqcpbbn1whuwjujiidjm" Type="http://schemas.openxmlformats.org/officeDocument/2006/relationships/hyperlink" Target="https://arxiv.org/abs/2503.08045" TargetMode="External"/><Relationship Id="rIdgcih9qanqghinhagdt8of" Type="http://schemas.openxmlformats.org/officeDocument/2006/relationships/hyperlink" Target="https://arxiv.org/abs/2501.11031" TargetMode="External"/><Relationship Id="rIdf7m1_u8i_3vc-uutoryph" Type="http://schemas.openxmlformats.org/officeDocument/2006/relationships/hyperlink" Target="https://arxiv.org/abs/2604.19118" TargetMode="External"/><Relationship Id="rIdkxonhmllg0vjphefaxven" Type="http://schemas.openxmlformats.org/officeDocument/2006/relationships/hyperlink" Target="https://conf.researchr.org/details/icse-2024/icse-2024-research-track/205/MetaLog-Generalizable-Cross-System-Anomaly-Detection-from-Logs-with-Meta-Learning" TargetMode="External"/><Relationship Id="rIdn-xvuwfd4kzfcdamwyjob" Type="http://schemas.openxmlformats.org/officeDocument/2006/relationships/hyperlink" Target="https://arxiv.org/abs/2511.05862" TargetMode="External"/><Relationship Id="rId9vqt2tix6r_ihiyzllz24" Type="http://schemas.openxmlformats.org/officeDocument/2006/relationships/hyperlink" Target="https://arxiv.org/abs/2511.05878" TargetMode="External"/><Relationship Id="rIda_mohisl-qlest-ha5xng" Type="http://schemas.openxmlformats.org/officeDocument/2006/relationships/hyperlink" Target="https://nkcs.iops.ai/wp-content/uploads/2026/01/Bridging_the_Gap_LLM-Powered_Transfer_Learning_for_Log_Anomaly_Detection_in_New_Software_Systems.pdf" TargetMode="External"/><Relationship Id="rIdmezdz2auntc20buvyfhqo" Type="http://schemas.openxmlformats.org/officeDocument/2006/relationships/hyperlink" Target="https://arxiv.org/abs/2507.19806" TargetMode="External"/><Relationship Id="rIdvi4k9szbylrgf0tpb1zgj" Type="http://schemas.openxmlformats.org/officeDocument/2006/relationships/hyperlink" Target="https://arxiv.org/abs/2505.13496" TargetMode="External"/><Relationship Id="rIdvahnlv0slaaq3kfceezjt" Type="http://schemas.openxmlformats.org/officeDocument/2006/relationships/hyperlink" Target="https://arxiv.org/abs/2408.13727" TargetMode="External"/><Relationship Id="rId8o_yigqy0ck1d5aevqmr-" Type="http://schemas.openxmlformats.org/officeDocument/2006/relationships/hyperlink" Target="https://arxiv.org/abs/2404.18001" TargetMode="External"/><Relationship Id="rIdvh764fndba1avttux1yfs" Type="http://schemas.openxmlformats.org/officeDocument/2006/relationships/hyperlink" Target="https://arxiv.org/abs/2604.12218" TargetMode="External"/><Relationship Id="rIdh0gnsutg0tr4bju8a0z6e" Type="http://schemas.openxmlformats.org/officeDocument/2006/relationships/hyperlink" Target="https://www.sciencedirect.com/science/article/pii/S2667305325001346"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SLMs and PEFT for Cross-System Log Anomaly Detection</dc:title>
  <dc:creator>Claude</dc:creator>
  <dc:description>A focused review of 25 papers for a Q1 journal paper</dc:description>
  <cp:lastModifiedBy>Un-named</cp:lastModifiedBy>
  <cp:revision>1</cp:revision>
  <dcterms:created xsi:type="dcterms:W3CDTF">2026-05-15T08:19:33.552Z</dcterms:created>
  <dcterms:modified xsi:type="dcterms:W3CDTF">2026-05-15T08:19:33.552Z</dcterms:modified>
</cp:coreProperties>
</file>

<file path=docProps/custom.xml><?xml version="1.0" encoding="utf-8"?>
<Properties xmlns="http://schemas.openxmlformats.org/officeDocument/2006/custom-properties" xmlns:vt="http://schemas.openxmlformats.org/officeDocument/2006/docPropsVTypes"/>
</file>