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i w:val="false"/>
          <w:iCs w:val="false"/>
          <w:caps w:val="false"/>
          <w:color w:val="B91C1C"/>
          <w:spacing w:val="100"/>
          <w:sz w:val="24"/>
          <w:szCs w:val="24"/>
        </w:rPr>
        <w:t xml:space="preserve">RESEARCH PROPOSAL</w:t>
      </w:r>
    </w:p>
    <w:p>
      <w:pPr>
        <w:spacing w:after="60" w:before="0"/>
        <w:jc w:val="center"/>
      </w:pPr>
      <w:r>
        <w:rPr>
          <w:rFonts w:ascii="Calibri" w:cs="Calibri" w:eastAsia="Calibri" w:hAnsi="Calibri"/>
          <w:b/>
          <w:bCs/>
          <w:i w:val="false"/>
          <w:iCs w:val="false"/>
          <w:caps w:val="false"/>
          <w:color w:val="1F3A5F"/>
          <w:sz w:val="40"/>
          <w:szCs w:val="40"/>
        </w:rPr>
        <w:t xml:space="preserve">Two Candidate Method-Combination</w:t>
      </w:r>
    </w:p>
    <w:p>
      <w:pPr>
        <w:spacing w:after="60" w:before="0"/>
        <w:jc w:val="center"/>
      </w:pPr>
      <w:r>
        <w:rPr>
          <w:rFonts w:ascii="Calibri" w:cs="Calibri" w:eastAsia="Calibri" w:hAnsi="Calibri"/>
          <w:b/>
          <w:bCs/>
          <w:i w:val="false"/>
          <w:iCs w:val="false"/>
          <w:caps w:val="false"/>
          <w:color w:val="1F3A5F"/>
          <w:sz w:val="40"/>
          <w:szCs w:val="40"/>
        </w:rPr>
        <w:t xml:space="preserve">Strategies for a Cross-System Log</w:t>
      </w:r>
    </w:p>
    <w:p>
      <w:pPr>
        <w:spacing w:after="480" w:before="0"/>
        <w:jc w:val="center"/>
      </w:pPr>
      <w:r>
        <w:rPr>
          <w:rFonts w:ascii="Calibri" w:cs="Calibri" w:eastAsia="Calibri" w:hAnsi="Calibri"/>
          <w:b/>
          <w:bCs/>
          <w:i w:val="false"/>
          <w:iCs w:val="false"/>
          <w:caps w:val="false"/>
          <w:color w:val="1F3A5F"/>
          <w:sz w:val="40"/>
          <w:szCs w:val="40"/>
        </w:rPr>
        <w:t xml:space="preserve">Anomaly Detection Study</w:t>
      </w:r>
    </w:p>
    <w:p>
      <w:pPr>
        <w:spacing w:after="360" w:before="240"/>
        <w:jc w:val="center"/>
      </w:pPr>
      <w:r>
        <w:rPr>
          <w:rFonts w:ascii="Calibri" w:cs="Calibri" w:eastAsia="Calibri" w:hAnsi="Calibri"/>
          <w:b w:val="false"/>
          <w:bCs w:val="false"/>
          <w:i w:val="false"/>
          <w:iCs w:val="false"/>
          <w:caps w:val="false"/>
          <w:color w:val="B91C1C"/>
          <w:sz w:val="28"/>
          <w:szCs w:val="28"/>
        </w:rPr>
        <w:t xml:space="preserve">❖   ❖   ❖</w:t>
      </w:r>
    </w:p>
    <w:p>
      <w:pPr>
        <w:spacing w:after="120" w:before="120"/>
        <w:jc w:val="center"/>
      </w:pPr>
      <w:r>
        <w:rPr>
          <w:rFonts w:ascii="Calibri" w:cs="Calibri" w:eastAsia="Calibri" w:hAnsi="Calibri"/>
          <w:b w:val="false"/>
          <w:bCs w:val="false"/>
          <w:i/>
          <w:iCs/>
          <w:caps w:val="false"/>
          <w:color w:val="6B7280"/>
          <w:sz w:val="22"/>
          <w:szCs w:val="22"/>
        </w:rPr>
        <w:t xml:space="preserve">Method Selection Stage</w:t>
      </w:r>
    </w:p>
    <w:p>
      <w:pPr>
        <w:spacing w:after="120" w:before="60"/>
        <w:jc w:val="center"/>
      </w:pPr>
      <w:r>
        <w:rPr>
          <w:rFonts w:ascii="Calibri" w:cs="Calibri" w:eastAsia="Calibri" w:hAnsi="Calibri"/>
          <w:b w:val="false"/>
          <w:bCs w:val="false"/>
          <w:i/>
          <w:iCs/>
          <w:caps w:val="false"/>
          <w:color w:val="6B7280"/>
          <w:sz w:val="22"/>
          <w:szCs w:val="22"/>
        </w:rPr>
        <w:t xml:space="preserve">A follow-up to the literature review of 25 papers</w:t>
      </w:r>
    </w:p>
    <w:p>
      <w:pPr>
        <w:spacing w:after="480"/>
      </w:pPr>
      <w:r>
        <w:rPr>
          <w:rFonts w:ascii="Calibri" w:cs="Calibri" w:eastAsia="Calibri" w:hAnsi="Calibri"/>
          <w:b w:val="false"/>
          <w:bCs w:val="false"/>
          <w:i w:val="false"/>
          <w:iCs w:val="false"/>
          <w:caps w:val="false"/>
          <w:color w:val="1F2937"/>
          <w:sz w:val="22"/>
          <w:szCs w:val="22"/>
        </w:rPr>
        <w:t xml:space="preserve"/>
      </w:r>
    </w:p>
    <w:tbl>
      <w:tblPr>
        <w:tblW w:type="dxa" w:w="8000"/>
        <w:jc w:val="center"/>
        <w:tblBorders>
          <w:top w:val="double" w:color="1F3A5F" w:sz="6"/>
          <w:left w:val="none" w:color="FFFFFF" w:sz="0"/>
          <w:bottom w:val="double" w:color="1F3A5F" w:sz="6"/>
          <w:right w:val="none" w:color="FFFFFF" w:sz="0"/>
          <w:insideH w:val="none" w:color="FFFFFF" w:sz="0"/>
          <w:insideV w:val="none" w:color="FFFFFF" w:sz="0"/>
        </w:tblBorders>
      </w:tblPr>
      <w:tblGrid>
        <w:gridCol w:w="8000"/>
      </w:tblGrid>
      <w:tr>
        <w:tc>
          <w:tcPr>
            <w:tcW w:type="dxa" w:w="8000"/>
            <w:shd w:fill="F9FAFB" w:val="clear"/>
            <w:tcMar>
              <w:top w:type="dxa" w:w="240"/>
              <w:left w:type="dxa" w:w="360"/>
              <w:bottom w:type="dxa" w:w="240"/>
              <w:right w:type="dxa" w:w="360"/>
            </w:tcMar>
          </w:tcPr>
          <w:p>
            <w:pPr>
              <w:spacing w:after="140"/>
              <w:jc w:val="center"/>
            </w:pPr>
            <w:r>
              <w:rPr>
                <w:rFonts w:ascii="Calibri" w:cs="Calibri" w:eastAsia="Calibri" w:hAnsi="Calibri"/>
                <w:b/>
                <w:bCs/>
                <w:i w:val="false"/>
                <w:iCs w:val="false"/>
                <w:caps w:val="false"/>
                <w:color w:val="B91C1C"/>
                <w:spacing w:val="80"/>
                <w:sz w:val="17"/>
                <w:szCs w:val="17"/>
              </w:rPr>
              <w:t xml:space="preserve">PURPOSE OF THIS DOCUMENT</w:t>
            </w:r>
          </w:p>
          <w:p>
            <w:pPr>
              <w:spacing w:after="0" w:line="320"/>
              <w:jc w:val="center"/>
            </w:pPr>
            <w:r>
              <w:rPr>
                <w:rFonts w:ascii="Calibri" w:cs="Calibri" w:eastAsia="Calibri" w:hAnsi="Calibri"/>
                <w:b w:val="false"/>
                <w:bCs w:val="false"/>
                <w:i w:val="false"/>
                <w:iCs w:val="false"/>
                <w:caps w:val="false"/>
                <w:color w:val="1F2937"/>
                <w:sz w:val="21"/>
                <w:szCs w:val="21"/>
              </w:rPr>
              <w:t xml:space="preserve">Following the literature review previously submitted, this document presents two carefully selected method-combination strategies. Both candidates address documented research gaps and are scientifically defensible. The final selection of a direction is left to your judgment.</w:t>
            </w:r>
          </w:p>
        </w:tc>
      </w:tr>
    </w:tbl>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Contents</w:t>
      </w:r>
    </w:p>
    <w:p>
      <w:pPr>
        <w:spacing w:after="80" w:before="80"/>
      </w:pPr>
      <w:r>
        <w:rPr>
          <w:rFonts w:ascii="Calibri" w:cs="Calibri" w:eastAsia="Calibri" w:hAnsi="Calibri"/>
          <w:b w:val="false"/>
          <w:bCs w:val="false"/>
          <w:i w:val="false"/>
          <w:iCs w:val="false"/>
          <w:caps w:val="false"/>
          <w:color w:val="1F2937"/>
          <w:sz w:val="22"/>
          <w:szCs w:val="22"/>
        </w:rPr>
        <w:t xml:space="preserve">1.  Introduction</w:t>
      </w:r>
    </w:p>
    <w:p>
      <w:pPr>
        <w:spacing w:after="80" w:before="80"/>
      </w:pPr>
      <w:r>
        <w:rPr>
          <w:rFonts w:ascii="Calibri" w:cs="Calibri" w:eastAsia="Calibri" w:hAnsi="Calibri"/>
          <w:b w:val="false"/>
          <w:bCs w:val="false"/>
          <w:i w:val="false"/>
          <w:iCs w:val="false"/>
          <w:caps w:val="false"/>
          <w:color w:val="1F2937"/>
          <w:sz w:val="22"/>
          <w:szCs w:val="22"/>
        </w:rPr>
        <w:t xml:space="preserve">2.  Decision Factors Applied to Candidate Selection</w:t>
      </w:r>
    </w:p>
    <w:p>
      <w:pPr>
        <w:spacing w:after="80" w:before="80"/>
      </w:pPr>
      <w:r>
        <w:rPr>
          <w:rFonts w:ascii="Calibri" w:cs="Calibri" w:eastAsia="Calibri" w:hAnsi="Calibri"/>
          <w:b w:val="false"/>
          <w:bCs w:val="false"/>
          <w:i w:val="false"/>
          <w:iCs w:val="false"/>
          <w:caps w:val="false"/>
          <w:color w:val="1F2937"/>
          <w:sz w:val="22"/>
          <w:szCs w:val="22"/>
        </w:rPr>
        <w:t xml:space="preserve">3.  The Strongest Recent Works in the Reviewed Literature</w:t>
      </w:r>
    </w:p>
    <w:p>
      <w:pPr>
        <w:spacing w:after="80" w:before="80"/>
      </w:pPr>
      <w:r>
        <w:rPr>
          <w:rFonts w:ascii="Calibri" w:cs="Calibri" w:eastAsia="Calibri" w:hAnsi="Calibri"/>
          <w:b w:val="false"/>
          <w:bCs w:val="false"/>
          <w:i w:val="false"/>
          <w:iCs w:val="false"/>
          <w:caps w:val="false"/>
          <w:color w:val="1F2937"/>
          <w:sz w:val="22"/>
          <w:szCs w:val="22"/>
        </w:rPr>
        <w:t xml:space="preserve">4.  The Cross-Cutting Gap That Both Candidates Address</w:t>
      </w:r>
    </w:p>
    <w:p>
      <w:pPr>
        <w:spacing w:after="80" w:before="80"/>
      </w:pPr>
      <w:r>
        <w:rPr>
          <w:rFonts w:ascii="Calibri" w:cs="Calibri" w:eastAsia="Calibri" w:hAnsi="Calibri"/>
          <w:b w:val="false"/>
          <w:bCs w:val="false"/>
          <w:i w:val="false"/>
          <w:iCs w:val="false"/>
          <w:caps w:val="false"/>
          <w:color w:val="1F2937"/>
          <w:sz w:val="22"/>
          <w:szCs w:val="22"/>
        </w:rPr>
        <w:t xml:space="preserve">5.  Candidate Strategy One — Modernizing LogFiT</w:t>
      </w:r>
    </w:p>
    <w:p>
      <w:pPr>
        <w:spacing w:after="80" w:before="80"/>
      </w:pPr>
      <w:r>
        <w:rPr>
          <w:rFonts w:ascii="Calibri" w:cs="Calibri" w:eastAsia="Calibri" w:hAnsi="Calibri"/>
          <w:b w:val="false"/>
          <w:bCs w:val="false"/>
          <w:i w:val="false"/>
          <w:iCs w:val="false"/>
          <w:caps w:val="false"/>
          <w:color w:val="1F2937"/>
          <w:sz w:val="22"/>
          <w:szCs w:val="22"/>
        </w:rPr>
        <w:t xml:space="preserve">6.  Candidate Strategy Two — Hybrid Pipeline with Small Decoders</w:t>
      </w:r>
    </w:p>
    <w:p>
      <w:pPr>
        <w:spacing w:after="80" w:before="80"/>
      </w:pPr>
      <w:r>
        <w:rPr>
          <w:rFonts w:ascii="Calibri" w:cs="Calibri" w:eastAsia="Calibri" w:hAnsi="Calibri"/>
          <w:b w:val="false"/>
          <w:bCs w:val="false"/>
          <w:i w:val="false"/>
          <w:iCs w:val="false"/>
          <w:caps w:val="false"/>
          <w:color w:val="1F2937"/>
          <w:sz w:val="22"/>
          <w:szCs w:val="22"/>
        </w:rPr>
        <w:t xml:space="preserve">7.  Side-by-Side Comparison</w:t>
      </w:r>
    </w:p>
    <w:p>
      <w:pPr>
        <w:spacing w:after="80" w:before="80"/>
      </w:pPr>
      <w:r>
        <w:rPr>
          <w:rFonts w:ascii="Calibri" w:cs="Calibri" w:eastAsia="Calibri" w:hAnsi="Calibri"/>
          <w:b w:val="false"/>
          <w:bCs w:val="false"/>
          <w:i w:val="false"/>
          <w:iCs w:val="false"/>
          <w:caps w:val="false"/>
          <w:color w:val="1F2937"/>
          <w:sz w:val="22"/>
          <w:szCs w:val="22"/>
        </w:rPr>
        <w:t xml:space="preserve">8.  Recommendation and Next Step</w:t>
      </w:r>
    </w:p>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1.  Introduction</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Following your guidance to combine the strongest recent methods into a single improved approach, this document presents two carefully selected candidate strategies. Both strategies are derived directly from the literature review previously submitted, in which twenty-five papers spanning 2017 through 2026 were analyzed in depth.</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Rather than commit immediately to a single direction, this document opens the decision for joint consideration. Both candidates have been filtered against a consistent set of research criteria, both target real gaps identified in the literature, and both lead to a coherent contribution suitable for submission to a recognized international journal. Detailed reasoning, expected contributions, and a preliminary execution roadmap are provided for each.</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The recommendation at the end of this document reflects a balance between scientific novelty, implementation realism, and venue alignment — but the final selection is left to your judgment.</w:t>
      </w:r>
    </w:p>
    <w:p>
      <w:pPr>
        <w:pStyle w:val="Heading1"/>
        <w:spacing w:after="240" w:before="480"/>
      </w:pPr>
      <w:r>
        <w:rPr>
          <w:rFonts w:ascii="Calibri" w:cs="Calibri" w:eastAsia="Calibri" w:hAnsi="Calibri"/>
          <w:b/>
          <w:bCs/>
          <w:i w:val="false"/>
          <w:iCs w:val="false"/>
          <w:caps w:val="false"/>
          <w:color w:val="1F3A5F"/>
          <w:sz w:val="32"/>
          <w:szCs w:val="32"/>
        </w:rPr>
        <w:t xml:space="preserve">2.  Decision Factors Applied to Candidate Selection</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The two candidates were not chosen at random. A consistent set of criteria was applied across the twenty-five reviewed papers to identify which combinations would most likely yield a publishable contribution with a measurable step of improvement. The following six factors guided the selection:</w:t>
      </w:r>
    </w:p>
    <w:p>
      <w:pPr>
        <w:spacing w:after="120"/>
      </w:pPr>
      <w:r>
        <w:rPr>
          <w:rFonts w:ascii="Calibri" w:cs="Calibri" w:eastAsia="Calibri" w:hAnsi="Calibri"/>
          <w:b w:val="false"/>
          <w:bCs w:val="false"/>
          <w:i w:val="false"/>
          <w:iCs w:val="false"/>
          <w:caps w:val="false"/>
          <w:color w:val="1F2937"/>
          <w:sz w:val="22"/>
          <w:szCs w:val="22"/>
        </w:rPr>
        <w:t xml:space="preserve"/>
      </w:r>
    </w:p>
    <w:p>
      <w:pPr>
        <w:spacing w:after="100" w:before="240"/>
      </w:pPr>
      <w:r>
        <w:rPr>
          <w:rFonts w:ascii="Calibri" w:cs="Calibri" w:eastAsia="Calibri" w:hAnsi="Calibri"/>
          <w:b/>
          <w:bCs/>
          <w:i w:val="false"/>
          <w:iCs w:val="false"/>
          <w:caps w:val="false"/>
          <w:color w:val="B91C1C"/>
          <w:sz w:val="22"/>
          <w:szCs w:val="22"/>
        </w:rPr>
        <w:t xml:space="preserve">1.</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Novelty</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combined method must not duplicate any single existing paper. It must offer a genuinely new configuration that the reviewed literature has not yet explored as a unified framework.</w:t>
            </w:r>
          </w:p>
        </w:tc>
      </w:tr>
    </w:tbl>
    <w:p>
      <w:pPr>
        <w:spacing w:after="100" w:before="240"/>
      </w:pPr>
      <w:r>
        <w:rPr>
          <w:rFonts w:ascii="Calibri" w:cs="Calibri" w:eastAsia="Calibri" w:hAnsi="Calibri"/>
          <w:b/>
          <w:bCs/>
          <w:i w:val="false"/>
          <w:iCs w:val="false"/>
          <w:caps w:val="false"/>
          <w:color w:val="B91C1C"/>
          <w:sz w:val="22"/>
          <w:szCs w:val="22"/>
        </w:rPr>
        <w:t xml:space="preserve">2.</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Coverage of a Real Research Gap</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Following the gap analysis in the literature review, the candidate should address one of the documented gaps — particularly the absence of cross-system evaluation in small-language-model approaches, the absence of calibration and uncertainty quantification, and the limited evaluation of recent modern decoder-only models on log data.</w:t>
            </w:r>
          </w:p>
        </w:tc>
      </w:tr>
    </w:tbl>
    <w:p>
      <w:pPr>
        <w:spacing w:after="100" w:before="240"/>
      </w:pPr>
      <w:r>
        <w:rPr>
          <w:rFonts w:ascii="Calibri" w:cs="Calibri" w:eastAsia="Calibri" w:hAnsi="Calibri"/>
          <w:b/>
          <w:bCs/>
          <w:i w:val="false"/>
          <w:iCs w:val="false"/>
          <w:caps w:val="false"/>
          <w:color w:val="B91C1C"/>
          <w:sz w:val="22"/>
          <w:szCs w:val="22"/>
        </w:rPr>
        <w:t xml:space="preserve">3.</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A Documented Step of Improvement</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combined approach must offer a measurable, defensible improvement over the strongest individual baseline — not merely a marginal change. The improvement should arise from a principled methodological combination, not from incidental engineering choices.</w:t>
            </w:r>
          </w:p>
        </w:tc>
      </w:tr>
    </w:tbl>
    <w:p>
      <w:pPr>
        <w:spacing w:after="100" w:before="240"/>
      </w:pPr>
      <w:r>
        <w:rPr>
          <w:rFonts w:ascii="Calibri" w:cs="Calibri" w:eastAsia="Calibri" w:hAnsi="Calibri"/>
          <w:b/>
          <w:bCs/>
          <w:i w:val="false"/>
          <w:iCs w:val="false"/>
          <w:caps w:val="false"/>
          <w:color w:val="B91C1C"/>
          <w:sz w:val="22"/>
          <w:szCs w:val="22"/>
        </w:rPr>
        <w:t xml:space="preserve">4.</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Evaluation Across Multiple Datasets</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Single-dataset evaluation is no longer acceptable in this research area. The candidate must support evaluation on at least three benchmark datasets (HDFS, BGL, Thunderbird) with a clean cross-system protocol.</w:t>
            </w:r>
          </w:p>
        </w:tc>
      </w:tr>
    </w:tbl>
    <w:p>
      <w:pPr>
        <w:spacing w:after="100" w:before="240"/>
      </w:pPr>
      <w:r>
        <w:rPr>
          <w:rFonts w:ascii="Calibri" w:cs="Calibri" w:eastAsia="Calibri" w:hAnsi="Calibri"/>
          <w:b/>
          <w:bCs/>
          <w:i w:val="false"/>
          <w:iCs w:val="false"/>
          <w:caps w:val="false"/>
          <w:color w:val="B91C1C"/>
          <w:sz w:val="22"/>
          <w:szCs w:val="22"/>
        </w:rPr>
        <w:t xml:space="preserve">5.</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Alignment with a Recognized International Venue</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proposed contribution must align in scope and rigor with venues that have recently accepted log-anomaly-detection work — particularly IEEE Transactions on Network and Service Management, IEEE Open Journal of the Computer Society, and ACM Transactions on Software Engineering and Methodology, which have published the strongest comparable works.</w:t>
            </w:r>
          </w:p>
        </w:tc>
      </w:tr>
    </w:tbl>
    <w:p>
      <w:pPr>
        <w:spacing w:after="100" w:before="240"/>
      </w:pPr>
      <w:r>
        <w:rPr>
          <w:rFonts w:ascii="Calibri" w:cs="Calibri" w:eastAsia="Calibri" w:hAnsi="Calibri"/>
          <w:b/>
          <w:bCs/>
          <w:i w:val="false"/>
          <w:iCs w:val="false"/>
          <w:caps w:val="false"/>
          <w:color w:val="B91C1C"/>
          <w:sz w:val="22"/>
          <w:szCs w:val="22"/>
        </w:rPr>
        <w:t xml:space="preserve">6.</w:t>
      </w:r>
      <w:r>
        <w:rPr>
          <w:rFonts w:ascii="Calibri" w:cs="Calibri" w:eastAsia="Calibri" w:hAnsi="Calibri"/>
          <w:b w:val="false"/>
          <w:bCs w:val="false"/>
          <w:i w:val="false"/>
          <w:iCs w:val="false"/>
          <w:caps w:val="false"/>
          <w:color w:val="1F2937"/>
          <w:sz w:val="22"/>
          <w:szCs w:val="22"/>
        </w:rPr>
        <w:t xml:space="preserve">  </w:t>
      </w:r>
      <w:r>
        <w:rPr>
          <w:rFonts w:ascii="Calibri" w:cs="Calibri" w:eastAsia="Calibri" w:hAnsi="Calibri"/>
          <w:b/>
          <w:bCs/>
          <w:i w:val="false"/>
          <w:iCs w:val="false"/>
          <w:caps w:val="false"/>
          <w:color w:val="1F3A5F"/>
          <w:sz w:val="22"/>
          <w:szCs w:val="22"/>
        </w:rPr>
        <w:t xml:space="preserve">Methodological Soundness and Reproducibility</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candidate must rely on methods with sufficient documentation in the literature so that the experimental protocol, baselines, and metrics can be implemented faithfully. Reproducibility is itself a publication criterion at top venues.</w:t>
            </w:r>
          </w:p>
        </w:tc>
      </w:tr>
    </w:tbl>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3.  The Strongest Recent Works in the Reviewed Literature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Before describing the candidate combinations, it is useful to revisit which recent papers stood out in the literature review as the strongest individual contributions. This grounding ensures that the chosen combinations build on what is already known to work.</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Five recent works (2024–2025) emerged as particularly strong on different dimensions:</w:t>
      </w:r>
    </w:p>
    <w:p>
      <w:pPr>
        <w:spacing w:after="160"/>
      </w:pPr>
      <w:r>
        <w:rPr>
          <w:rFonts w:ascii="Calibri" w:cs="Calibri" w:eastAsia="Calibri" w:hAnsi="Calibri"/>
          <w:b w:val="false"/>
          <w:bCs w:val="false"/>
          <w:i w:val="false"/>
          <w:iCs w:val="false"/>
          <w:caps w:val="false"/>
          <w:color w:val="1F2937"/>
          <w:sz w:val="22"/>
          <w:szCs w:val="22"/>
        </w:rPr>
        <w:t xml:space="preserve"/>
      </w:r>
    </w:p>
    <w:p>
      <w:pPr>
        <w:spacing w:after="100" w:before="280"/>
      </w:pPr>
      <w:r>
        <w:rPr>
          <w:rFonts w:ascii="Calibri" w:cs="Calibri" w:eastAsia="Calibri" w:hAnsi="Calibri"/>
          <w:b/>
          <w:bCs/>
          <w:i w:val="false"/>
          <w:iCs w:val="false"/>
          <w:caps w:val="false"/>
          <w:color w:val="B91C1C"/>
          <w:sz w:val="22"/>
          <w:szCs w:val="22"/>
        </w:rPr>
        <w:t xml:space="preserve">▣  </w:t>
      </w:r>
      <w:r>
        <w:rPr>
          <w:rFonts w:ascii="Calibri" w:cs="Calibri" w:eastAsia="Calibri" w:hAnsi="Calibri"/>
          <w:b/>
          <w:bCs/>
          <w:i w:val="false"/>
          <w:iCs w:val="false"/>
          <w:caps w:val="false"/>
          <w:color w:val="1F3A5F"/>
          <w:sz w:val="22"/>
          <w:szCs w:val="22"/>
        </w:rPr>
        <w:t xml:space="preserve">LogFiT — Almodovar et al., IEEE TNSM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7857" w:sz="4"/>
              <w:left w:val="single" w:color="047857" w:sz="4"/>
              <w:bottom w:val="single" w:color="047857" w:sz="4"/>
              <w:right w:val="single" w:color="FFFFFF" w:sz="1"/>
            </w:tcBorders>
            <w:shd w:fill="047857"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STRENGTH</w:t>
            </w:r>
          </w:p>
        </w:tc>
        <w:tc>
          <w:tcPr>
            <w:tcW w:type="dxa" w:w="4680"/>
            <w:tcBorders>
              <w:top w:val="single" w:color="C2410C" w:sz="4"/>
              <w:left w:val="single" w:color="FFFFFF" w:sz="1"/>
              <w:bottom w:val="single" w:color="C2410C" w:sz="4"/>
              <w:right w:val="single" w:color="C2410C" w:sz="4"/>
            </w:tcBorders>
            <w:shd w:fill="C2410C"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REMAINING GAP</w:t>
            </w:r>
          </w:p>
        </w:tc>
      </w:tr>
      <w:t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Published in a Q1 journal (IEEE Transactions on Network and Service Management). Parser-free, label-free, and uses masked-token prediction on a pretrained BERT-based backbone. Demonstrates that fine-tuned pretrained language models can outperform DeepLog and LogBERT without templates or labels.</w:t>
            </w:r>
          </w:p>
        </w:tc>
        <w:tc>
          <w:tcPr>
            <w:tcW w:type="dxa" w:w="4680"/>
            <w:tcBorders>
              <w:top w:val="single" w:color="C2410C" w:sz="1"/>
              <w:left w:val="single" w:color="D1D5DB" w:sz="1"/>
              <w:bottom w:val="single" w:color="C2410C" w:sz="4"/>
              <w:right w:val="single" w:color="C2410C" w:sz="4"/>
            </w:tcBorders>
            <w:shd w:fill="FEF2F2"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Uses an older encoder (LongFormer / BERT family), does not employ any parameter-efficient fine-tuning, does not explore modern small decoder-only language models, and does not evaluate cross-system generalization.</w:t>
            </w:r>
          </w:p>
        </w:tc>
      </w:tr>
    </w:tbl>
    <w:p>
      <w:pPr>
        <w:spacing w:after="0" w:before="80"/>
        <w:jc w:val="right"/>
      </w:pPr>
      <w:r>
        <w:rPr>
          <w:rFonts w:ascii="Calibri" w:cs="Calibri" w:eastAsia="Calibri" w:hAnsi="Calibri"/>
          <w:b w:val="false"/>
          <w:bCs w:val="false"/>
          <w:i/>
          <w:iCs/>
          <w:caps w:val="false"/>
          <w:color w:val="6B7280"/>
          <w:sz w:val="18"/>
          <w:szCs w:val="18"/>
        </w:rPr>
        <w:t xml:space="preserve">(See Paper 6 in the previously submitted literature review.)</w:t>
      </w:r>
    </w:p>
    <w:p>
      <w:pPr>
        <w:spacing w:after="100" w:before="280"/>
      </w:pPr>
      <w:r>
        <w:rPr>
          <w:rFonts w:ascii="Calibri" w:cs="Calibri" w:eastAsia="Calibri" w:hAnsi="Calibri"/>
          <w:b/>
          <w:bCs/>
          <w:i w:val="false"/>
          <w:iCs w:val="false"/>
          <w:caps w:val="false"/>
          <w:color w:val="B91C1C"/>
          <w:sz w:val="22"/>
          <w:szCs w:val="22"/>
        </w:rPr>
        <w:t xml:space="preserve">▣  </w:t>
      </w:r>
      <w:r>
        <w:rPr>
          <w:rFonts w:ascii="Calibri" w:cs="Calibri" w:eastAsia="Calibri" w:hAnsi="Calibri"/>
          <w:b/>
          <w:bCs/>
          <w:i w:val="false"/>
          <w:iCs w:val="false"/>
          <w:caps w:val="false"/>
          <w:color w:val="1F3A5F"/>
          <w:sz w:val="22"/>
          <w:szCs w:val="22"/>
        </w:rPr>
        <w:t xml:space="preserve">LogLLM — Guan et al.,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7857" w:sz="4"/>
              <w:left w:val="single" w:color="047857" w:sz="4"/>
              <w:bottom w:val="single" w:color="047857" w:sz="4"/>
              <w:right w:val="single" w:color="FFFFFF" w:sz="1"/>
            </w:tcBorders>
            <w:shd w:fill="047857"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STRENGTH</w:t>
            </w:r>
          </w:p>
        </w:tc>
        <w:tc>
          <w:tcPr>
            <w:tcW w:type="dxa" w:w="4680"/>
            <w:tcBorders>
              <w:top w:val="single" w:color="C2410C" w:sz="4"/>
              <w:left w:val="single" w:color="FFFFFF" w:sz="1"/>
              <w:bottom w:val="single" w:color="C2410C" w:sz="4"/>
              <w:right w:val="single" w:color="C2410C" w:sz="4"/>
            </w:tcBorders>
            <w:shd w:fill="C2410C"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REMAINING GAP</w:t>
            </w:r>
          </w:p>
        </w:tc>
      </w:tr>
      <w:t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Combines a BERT encoder with a Llama decoder through a learned projector, trained with QLoRA in a three-stage pipeline. Parser-free, evaluated on four datasets (HDFS, BGL, Thunderbird, Liberty), and demonstrates explicit robustness to unstable logs (template drift).</w:t>
            </w:r>
          </w:p>
        </w:tc>
        <w:tc>
          <w:tcPr>
            <w:tcW w:type="dxa" w:w="4680"/>
            <w:tcBorders>
              <w:top w:val="single" w:color="C2410C" w:sz="1"/>
              <w:left w:val="single" w:color="D1D5DB" w:sz="1"/>
              <w:bottom w:val="single" w:color="C2410C" w:sz="4"/>
              <w:right w:val="single" w:color="C2410C" w:sz="4"/>
            </w:tcBorders>
            <w:shd w:fill="FEF2F2"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Backbone is Llama-7B, which is on the upper end of what can be called 'small'. Cross-system transfer is not the primary axis of evaluation, calibration is not addressed, and selective prediction (abstention) is absent.</w:t>
            </w:r>
          </w:p>
        </w:tc>
      </w:tr>
    </w:tbl>
    <w:p>
      <w:pPr>
        <w:spacing w:after="0" w:before="80"/>
        <w:jc w:val="right"/>
      </w:pPr>
      <w:r>
        <w:rPr>
          <w:rFonts w:ascii="Calibri" w:cs="Calibri" w:eastAsia="Calibri" w:hAnsi="Calibri"/>
          <w:b w:val="false"/>
          <w:bCs w:val="false"/>
          <w:i/>
          <w:iCs/>
          <w:caps w:val="false"/>
          <w:color w:val="6B7280"/>
          <w:sz w:val="18"/>
          <w:szCs w:val="18"/>
        </w:rPr>
        <w:t xml:space="preserve">(See Paper 11 in the previously submitted literature review.)</w:t>
      </w:r>
    </w:p>
    <w:p>
      <w:pPr>
        <w:spacing w:after="100" w:before="280"/>
      </w:pPr>
      <w:r>
        <w:rPr>
          <w:rFonts w:ascii="Calibri" w:cs="Calibri" w:eastAsia="Calibri" w:hAnsi="Calibri"/>
          <w:b/>
          <w:bCs/>
          <w:i w:val="false"/>
          <w:iCs w:val="false"/>
          <w:caps w:val="false"/>
          <w:color w:val="B91C1C"/>
          <w:sz w:val="22"/>
          <w:szCs w:val="22"/>
        </w:rPr>
        <w:t xml:space="preserve">▣  </w:t>
      </w:r>
      <w:r>
        <w:rPr>
          <w:rFonts w:ascii="Calibri" w:cs="Calibri" w:eastAsia="Calibri" w:hAnsi="Calibri"/>
          <w:b/>
          <w:bCs/>
          <w:i w:val="false"/>
          <w:iCs w:val="false"/>
          <w:caps w:val="false"/>
          <w:color w:val="1F3A5F"/>
          <w:sz w:val="22"/>
          <w:szCs w:val="22"/>
        </w:rPr>
        <w:t xml:space="preserve">LogTinyLLM — Ocansey et al.,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7857" w:sz="4"/>
              <w:left w:val="single" w:color="047857" w:sz="4"/>
              <w:bottom w:val="single" w:color="047857" w:sz="4"/>
              <w:right w:val="single" w:color="FFFFFF" w:sz="1"/>
            </w:tcBorders>
            <w:shd w:fill="047857"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STRENGTH</w:t>
            </w:r>
          </w:p>
        </w:tc>
        <w:tc>
          <w:tcPr>
            <w:tcW w:type="dxa" w:w="4680"/>
            <w:tcBorders>
              <w:top w:val="single" w:color="C2410C" w:sz="4"/>
              <w:left w:val="single" w:color="FFFFFF" w:sz="1"/>
              <w:bottom w:val="single" w:color="C2410C" w:sz="4"/>
              <w:right w:val="single" w:color="C2410C" w:sz="4"/>
            </w:tcBorders>
            <w:shd w:fill="C2410C"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REMAINING GAP</w:t>
            </w:r>
          </w:p>
        </w:tc>
      </w:tr>
      <w:t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Directly demonstrates that tiny language models (1.1B–1.5B parameters: Qwen-distilled, Phi, OPT, TinyLlama) fine-tuned with LoRA outperform full fine-tuning of LogBERT by 18–19 percentage points on Thunderbird. Practical for commodity hardware.</w:t>
            </w:r>
          </w:p>
        </w:tc>
        <w:tc>
          <w:tcPr>
            <w:tcW w:type="dxa" w:w="4680"/>
            <w:tcBorders>
              <w:top w:val="single" w:color="C2410C" w:sz="1"/>
              <w:left w:val="single" w:color="D1D5DB" w:sz="1"/>
              <w:bottom w:val="single" w:color="C2410C" w:sz="4"/>
              <w:right w:val="single" w:color="C2410C" w:sz="4"/>
            </w:tcBorders>
            <w:shd w:fill="FEF2F2"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Evaluated on only one dataset (Thunderbird). No cross-system evaluation. No calibration. The improvement claim is partially confounded because LogBERT operates on log keys while LogTinyLLM ingests raw text — an isolated ablation is missing.</w:t>
            </w:r>
          </w:p>
        </w:tc>
      </w:tr>
    </w:tbl>
    <w:p>
      <w:pPr>
        <w:spacing w:after="0" w:before="80"/>
        <w:jc w:val="right"/>
      </w:pPr>
      <w:r>
        <w:rPr>
          <w:rFonts w:ascii="Calibri" w:cs="Calibri" w:eastAsia="Calibri" w:hAnsi="Calibri"/>
          <w:b w:val="false"/>
          <w:bCs w:val="false"/>
          <w:i/>
          <w:iCs/>
          <w:caps w:val="false"/>
          <w:color w:val="6B7280"/>
          <w:sz w:val="18"/>
          <w:szCs w:val="18"/>
        </w:rPr>
        <w:t xml:space="preserve">(See Paper 12 in the previously submitted literature review.)</w:t>
      </w:r>
    </w:p>
    <w:p>
      <w:pPr>
        <w:spacing w:after="100" w:before="280"/>
      </w:pPr>
      <w:r>
        <w:rPr>
          <w:rFonts w:ascii="Calibri" w:cs="Calibri" w:eastAsia="Calibri" w:hAnsi="Calibri"/>
          <w:b/>
          <w:bCs/>
          <w:i w:val="false"/>
          <w:iCs w:val="false"/>
          <w:caps w:val="false"/>
          <w:color w:val="B91C1C"/>
          <w:sz w:val="22"/>
          <w:szCs w:val="22"/>
        </w:rPr>
        <w:t xml:space="preserve">▣  </w:t>
      </w:r>
      <w:r>
        <w:rPr>
          <w:rFonts w:ascii="Calibri" w:cs="Calibri" w:eastAsia="Calibri" w:hAnsi="Calibri"/>
          <w:b/>
          <w:bCs/>
          <w:i w:val="false"/>
          <w:iCs w:val="false"/>
          <w:caps w:val="false"/>
          <w:color w:val="1F3A5F"/>
          <w:sz w:val="22"/>
          <w:szCs w:val="22"/>
        </w:rPr>
        <w:t xml:space="preserve">AdaptiveLog — Ma et al., ACM TOSEM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7857" w:sz="4"/>
              <w:left w:val="single" w:color="047857" w:sz="4"/>
              <w:bottom w:val="single" w:color="047857" w:sz="4"/>
              <w:right w:val="single" w:color="FFFFFF" w:sz="1"/>
            </w:tcBorders>
            <w:shd w:fill="047857"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STRENGTH</w:t>
            </w:r>
          </w:p>
        </w:tc>
        <w:tc>
          <w:tcPr>
            <w:tcW w:type="dxa" w:w="4680"/>
            <w:tcBorders>
              <w:top w:val="single" w:color="C2410C" w:sz="4"/>
              <w:left w:val="single" w:color="FFFFFF" w:sz="1"/>
              <w:bottom w:val="single" w:color="C2410C" w:sz="4"/>
              <w:right w:val="single" w:color="C2410C" w:sz="4"/>
            </w:tcBorders>
            <w:shd w:fill="C2410C"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REMAINING GAP</w:t>
            </w:r>
          </w:p>
        </w:tc>
      </w:tr>
      <w:t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Q1-published. Introduces collaboration between a small fine-tuned LM and a large LLM, with uncertainty-aware routing — an embryonic form of selective prediction in this domain. Evaluated across six tasks.</w:t>
            </w:r>
          </w:p>
        </w:tc>
        <w:tc>
          <w:tcPr>
            <w:tcW w:type="dxa" w:w="4680"/>
            <w:tcBorders>
              <w:top w:val="single" w:color="C2410C" w:sz="1"/>
              <w:left w:val="single" w:color="D1D5DB" w:sz="1"/>
              <w:bottom w:val="single" w:color="C2410C" w:sz="4"/>
              <w:right w:val="single" w:color="C2410C" w:sz="4"/>
            </w:tcBorders>
            <w:shd w:fill="FEF2F2"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Relies on an external API (GPT-3.5/4) for hard cases, raising cost and privacy concerns. The uncertainty estimate is logit-based and not formally calibrated. Cross-system transfer with no target labels is not the principal evaluation.</w:t>
            </w:r>
          </w:p>
        </w:tc>
      </w:tr>
    </w:tbl>
    <w:p>
      <w:pPr>
        <w:spacing w:after="0" w:before="80"/>
        <w:jc w:val="right"/>
      </w:pPr>
      <w:r>
        <w:rPr>
          <w:rFonts w:ascii="Calibri" w:cs="Calibri" w:eastAsia="Calibri" w:hAnsi="Calibri"/>
          <w:b w:val="false"/>
          <w:bCs w:val="false"/>
          <w:i/>
          <w:iCs/>
          <w:caps w:val="false"/>
          <w:color w:val="6B7280"/>
          <w:sz w:val="18"/>
          <w:szCs w:val="18"/>
        </w:rPr>
        <w:t xml:space="preserve">(See Paper 14 in the previously submitted literature review.)</w:t>
      </w:r>
    </w:p>
    <w:p>
      <w:pPr>
        <w:spacing w:after="100" w:before="280"/>
      </w:pPr>
      <w:r>
        <w:rPr>
          <w:rFonts w:ascii="Calibri" w:cs="Calibri" w:eastAsia="Calibri" w:hAnsi="Calibri"/>
          <w:b/>
          <w:bCs/>
          <w:i w:val="false"/>
          <w:iCs w:val="false"/>
          <w:caps w:val="false"/>
          <w:color w:val="B91C1C"/>
          <w:sz w:val="22"/>
          <w:szCs w:val="22"/>
        </w:rPr>
        <w:t xml:space="preserve">▣  </w:t>
      </w:r>
      <w:r>
        <w:rPr>
          <w:rFonts w:ascii="Calibri" w:cs="Calibri" w:eastAsia="Calibri" w:hAnsi="Calibri"/>
          <w:b/>
          <w:bCs/>
          <w:i w:val="false"/>
          <w:iCs w:val="false"/>
          <w:caps w:val="false"/>
          <w:color w:val="1F3A5F"/>
          <w:sz w:val="22"/>
          <w:szCs w:val="22"/>
        </w:rPr>
        <w:t xml:space="preserve">MetaLog — Zhang et al., ICSE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47857" w:sz="4"/>
              <w:left w:val="single" w:color="047857" w:sz="4"/>
              <w:bottom w:val="single" w:color="047857" w:sz="4"/>
              <w:right w:val="single" w:color="FFFFFF" w:sz="1"/>
            </w:tcBorders>
            <w:shd w:fill="047857"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STRENGTH</w:t>
            </w:r>
          </w:p>
        </w:tc>
        <w:tc>
          <w:tcPr>
            <w:tcW w:type="dxa" w:w="4680"/>
            <w:tcBorders>
              <w:top w:val="single" w:color="C2410C" w:sz="4"/>
              <w:left w:val="single" w:color="FFFFFF" w:sz="1"/>
              <w:bottom w:val="single" w:color="C2410C" w:sz="4"/>
              <w:right w:val="single" w:color="C2410C" w:sz="4"/>
            </w:tcBorders>
            <w:shd w:fill="C2410C" w:val="clear"/>
            <w:tcMar>
              <w:top w:type="dxa" w:w="100"/>
              <w:left w:type="dxa" w:w="180"/>
              <w:bottom w:type="dxa" w:w="100"/>
              <w:right w:type="dxa" w:w="180"/>
            </w:tcMar>
          </w:tcPr>
          <w:p>
            <w:pPr>
              <w:spacing w:after="0"/>
              <w:jc w:val="left"/>
            </w:pPr>
            <w:r>
              <w:rPr>
                <w:rFonts w:ascii="Calibri" w:cs="Calibri" w:eastAsia="Calibri" w:hAnsi="Calibri"/>
                <w:b/>
                <w:bCs/>
                <w:i w:val="false"/>
                <w:iCs w:val="false"/>
                <w:caps w:val="false"/>
                <w:color w:val="FFFFFF"/>
                <w:spacing w:val="60"/>
                <w:sz w:val="16"/>
                <w:szCs w:val="16"/>
              </w:rPr>
              <w:t xml:space="preserve">REMAINING GAP</w:t>
            </w:r>
          </w:p>
        </w:tc>
      </w:tr>
      <w:t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Directly addresses cross-system generalization through meta-learning. Reaches 80%+ F1 on a new system with only 1% of target labels. Evaluated pairwise on four datasets (HDFS, BGL, OpenStack, Thunderbird).</w:t>
            </w:r>
          </w:p>
        </w:tc>
        <w:tc>
          <w:tcPr>
            <w:tcW w:type="dxa" w:w="4680"/>
            <w:tcBorders>
              <w:top w:val="single" w:color="C2410C" w:sz="1"/>
              <w:left w:val="single" w:color="D1D5DB" w:sz="1"/>
              <w:bottom w:val="single" w:color="C2410C" w:sz="4"/>
              <w:right w:val="single" w:color="C2410C" w:sz="4"/>
            </w:tcBorders>
            <w:shd w:fill="FEF2F2" w:val="clear"/>
            <w:tcMar>
              <w:top w:type="dxa" w:w="160"/>
              <w:left w:type="dxa" w:w="200"/>
              <w:bottom w:type="dxa" w:w="160"/>
              <w:right w:type="dxa" w:w="200"/>
            </w:tcMar>
          </w:tcPr>
          <w:p>
            <w:pPr>
              <w:spacing w:after="0" w:line="300"/>
              <w:jc w:val="both"/>
            </w:pPr>
            <w:r>
              <w:rPr>
                <w:rFonts w:ascii="Calibri" w:cs="Calibri" w:eastAsia="Calibri" w:hAnsi="Calibri"/>
                <w:b w:val="false"/>
                <w:bCs w:val="false"/>
                <w:i w:val="false"/>
                <w:iCs w:val="false"/>
                <w:caps w:val="false"/>
                <w:color w:val="1F2937"/>
                <w:sz w:val="20"/>
                <w:szCs w:val="20"/>
              </w:rPr>
              <w:t xml:space="preserve">Relies on classical static embeddings rather than modern language model representations. Still requires some target labels (not strictly zero-label). No calibration. No SLM or PEFT integration.</w:t>
            </w:r>
          </w:p>
        </w:tc>
      </w:tr>
    </w:tbl>
    <w:p>
      <w:pPr>
        <w:spacing w:after="0" w:before="80"/>
        <w:jc w:val="right"/>
      </w:pPr>
      <w:r>
        <w:rPr>
          <w:rFonts w:ascii="Calibri" w:cs="Calibri" w:eastAsia="Calibri" w:hAnsi="Calibri"/>
          <w:b w:val="false"/>
          <w:bCs w:val="false"/>
          <w:i/>
          <w:iCs/>
          <w:caps w:val="false"/>
          <w:color w:val="6B7280"/>
          <w:sz w:val="18"/>
          <w:szCs w:val="18"/>
        </w:rPr>
        <w:t xml:space="preserve">(See Paper 16 in the previously submitted literature review.)</w:t>
      </w:r>
    </w:p>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4.  The Cross-Cutting Gap That Both Candidates Address</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Examining these five strongest recent works side by side reveals a consistent pattern. No published work simultaneously satisfies all of the following three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4"/>
              <w:left w:val="single" w:color="FFFFFF" w:sz="4"/>
              <w:bottom w:val="single" w:color="FFFFFF" w:sz="4"/>
              <w:right w:val="single" w:color="FFFFFF" w:sz="4"/>
            </w:tcBorders>
            <w:shd w:fill="B91C1C" w:val="clear"/>
            <w:tcMar>
              <w:top w:type="dxa" w:w="120"/>
              <w:left w:type="dxa" w:w="80"/>
              <w:bottom w:type="dxa" w:w="12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1</w:t>
            </w:r>
          </w:p>
        </w:tc>
        <w:tc>
          <w:tcPr>
            <w:tcW w:type="dxa" w:w="8760"/>
            <w:tcBorders>
              <w:top w:val="single" w:color="FFFFFF" w:sz="4"/>
              <w:left w:val="single" w:color="FFFFFF" w:sz="4"/>
              <w:bottom w:val="single" w:color="FFFFFF" w:sz="4"/>
              <w:right w:val="single" w:color="FFFFFF" w:sz="4"/>
            </w:tcBorders>
            <w:shd w:fill="FFFBEB" w:val="clear"/>
            <w:tcMar>
              <w:top w:type="dxa" w:w="120"/>
              <w:left w:type="dxa" w:w="240"/>
              <w:bottom w:type="dxa" w:w="120"/>
              <w:right w:type="dxa" w:w="240"/>
            </w:tcMar>
            <w:vAlign w:val="center"/>
          </w:tcPr>
          <w:p>
            <w:pPr>
              <w:spacing w:after="0" w:line="320"/>
            </w:pPr>
            <w:r>
              <w:rPr>
                <w:rFonts w:ascii="Calibri" w:cs="Calibri" w:eastAsia="Calibri" w:hAnsi="Calibri"/>
                <w:b w:val="false"/>
                <w:bCs w:val="false"/>
                <w:i w:val="false"/>
                <w:iCs w:val="false"/>
                <w:caps w:val="false"/>
                <w:color w:val="1F2937"/>
                <w:sz w:val="21"/>
                <w:szCs w:val="21"/>
              </w:rPr>
              <w:t xml:space="preserve">Uses a modern small decoder-only language model (sub-2B parameters);</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4"/>
              <w:left w:val="single" w:color="FFFFFF" w:sz="4"/>
              <w:bottom w:val="single" w:color="FFFFFF" w:sz="4"/>
              <w:right w:val="single" w:color="FFFFFF" w:sz="4"/>
            </w:tcBorders>
            <w:shd w:fill="B91C1C" w:val="clear"/>
            <w:tcMar>
              <w:top w:type="dxa" w:w="120"/>
              <w:left w:type="dxa" w:w="80"/>
              <w:bottom w:type="dxa" w:w="12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2</w:t>
            </w:r>
          </w:p>
        </w:tc>
        <w:tc>
          <w:tcPr>
            <w:tcW w:type="dxa" w:w="8760"/>
            <w:tcBorders>
              <w:top w:val="single" w:color="FFFFFF" w:sz="4"/>
              <w:left w:val="single" w:color="FFFFFF" w:sz="4"/>
              <w:bottom w:val="single" w:color="FFFFFF" w:sz="4"/>
              <w:right w:val="single" w:color="FFFFFF" w:sz="4"/>
            </w:tcBorders>
            <w:shd w:fill="FFFBEB" w:val="clear"/>
            <w:tcMar>
              <w:top w:type="dxa" w:w="120"/>
              <w:left w:type="dxa" w:w="240"/>
              <w:bottom w:type="dxa" w:w="120"/>
              <w:right w:type="dxa" w:w="240"/>
            </w:tcMar>
            <w:vAlign w:val="center"/>
          </w:tcPr>
          <w:p>
            <w:pPr>
              <w:spacing w:after="0" w:line="320"/>
            </w:pPr>
            <w:r>
              <w:rPr>
                <w:rFonts w:ascii="Calibri" w:cs="Calibri" w:eastAsia="Calibri" w:hAnsi="Calibri"/>
                <w:b w:val="false"/>
                <w:bCs w:val="false"/>
                <w:i w:val="false"/>
                <w:iCs w:val="false"/>
                <w:caps w:val="false"/>
                <w:color w:val="1F2937"/>
                <w:sz w:val="21"/>
                <w:szCs w:val="21"/>
              </w:rPr>
              <w:t xml:space="preserve">Is evaluated across multiple systems in a cross-system protocol;</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FFFFF" w:sz="4"/>
              <w:left w:val="single" w:color="FFFFFF" w:sz="4"/>
              <w:bottom w:val="single" w:color="FFFFFF" w:sz="4"/>
              <w:right w:val="single" w:color="FFFFFF" w:sz="4"/>
            </w:tcBorders>
            <w:shd w:fill="B91C1C" w:val="clear"/>
            <w:tcMar>
              <w:top w:type="dxa" w:w="120"/>
              <w:left w:type="dxa" w:w="80"/>
              <w:bottom w:type="dxa" w:w="12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3</w:t>
            </w:r>
          </w:p>
        </w:tc>
        <w:tc>
          <w:tcPr>
            <w:tcW w:type="dxa" w:w="8760"/>
            <w:tcBorders>
              <w:top w:val="single" w:color="FFFFFF" w:sz="4"/>
              <w:left w:val="single" w:color="FFFFFF" w:sz="4"/>
              <w:bottom w:val="single" w:color="FFFFFF" w:sz="4"/>
              <w:right w:val="single" w:color="FFFFFF" w:sz="4"/>
            </w:tcBorders>
            <w:shd w:fill="FFFBEB" w:val="clear"/>
            <w:tcMar>
              <w:top w:type="dxa" w:w="120"/>
              <w:left w:type="dxa" w:w="240"/>
              <w:bottom w:type="dxa" w:w="120"/>
              <w:right w:type="dxa" w:w="240"/>
            </w:tcMar>
            <w:vAlign w:val="center"/>
          </w:tcPr>
          <w:p>
            <w:pPr>
              <w:spacing w:after="0" w:line="320"/>
            </w:pPr>
            <w:r>
              <w:rPr>
                <w:rFonts w:ascii="Calibri" w:cs="Calibri" w:eastAsia="Calibri" w:hAnsi="Calibri"/>
                <w:b w:val="false"/>
                <w:bCs w:val="false"/>
                <w:i w:val="false"/>
                <w:iCs w:val="false"/>
                <w:caps w:val="false"/>
                <w:color w:val="1F2937"/>
                <w:sz w:val="21"/>
                <w:szCs w:val="21"/>
              </w:rPr>
              <w:t xml:space="preserve">Provides any form of uncertainty quantification or calibration.</w:t>
            </w:r>
          </w:p>
        </w:tc>
      </w:tr>
    </w:tbl>
    <w:p>
      <w:pPr>
        <w:spacing w:after="60"/>
      </w:pPr>
      <w:r>
        <w:rPr>
          <w:rFonts w:ascii="Calibri" w:cs="Calibri" w:eastAsia="Calibri" w:hAnsi="Calibri"/>
          <w:b w:val="false"/>
          <w:bCs w:val="false"/>
          <w:i w:val="false"/>
          <w:iCs w:val="false"/>
          <w:caps w:val="false"/>
          <w:color w:val="1F2937"/>
          <w:sz w:val="22"/>
          <w:szCs w:val="22"/>
        </w:rPr>
        <w:t xml:space="preserve"/>
      </w:r>
    </w:p>
    <w:p>
      <w:pPr>
        <w:spacing w:after="80"/>
      </w:pPr>
      <w:r>
        <w:rPr>
          <w:rFonts w:ascii="Calibri" w:cs="Calibri" w:eastAsia="Calibri" w:hAnsi="Calibri"/>
          <w:b w:val="false"/>
          <w:bCs w:val="false"/>
          <w:i w:val="false"/>
          <w:iCs w:val="false"/>
          <w:caps w:val="false"/>
          <w:color w:val="1F2937"/>
          <w:sz w:val="22"/>
          <w:szCs w:val="22"/>
        </w:rPr>
        <w:t xml:space="preserve"/>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Each of the five strongest works covers at most two of these conditions. This three-way intersection is the most defensible novelty axis available within the practical scope of this project, and both candidate strategies described below are designed to address it from different angles.</w:t>
      </w:r>
    </w:p>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5.  Candidate Strategy One</w:t>
      </w:r>
    </w:p>
    <w:tbl>
      <w:tblPr>
        <w:tblW w:type="dxa" w:w="9360"/>
        <w:tblBorders>
          <w:top w:val="single" w:color="1F3A5F" w:sz="6"/>
          <w:left w:val="single" w:color="1F3A5F" w:sz="6"/>
          <w:bottom w:val="single" w:color="1F3A5F" w:sz="6"/>
          <w:right w:val="single" w:color="1F3A5F" w:sz="6"/>
          <w:insideH w:val="none" w:color="FFFFFF" w:sz="0"/>
          <w:insideV w:val="none" w:color="FFFFFF" w:sz="0"/>
        </w:tblBorders>
      </w:tblPr>
      <w:tblGrid>
        <w:gridCol w:w="9360"/>
      </w:tblGrid>
      <w:tr>
        <w:tc>
          <w:tcPr>
            <w:tcW w:type="dxa" w:w="9360"/>
            <w:shd w:fill="1F3A5F" w:val="clear"/>
            <w:tcMar>
              <w:top w:type="dxa" w:w="220"/>
              <w:left w:type="dxa" w:w="320"/>
              <w:bottom w:type="dxa" w:w="220"/>
              <w:right w:type="dxa" w:w="320"/>
            </w:tcMar>
          </w:tcPr>
          <w:p>
            <w:pPr>
              <w:spacing w:after="100"/>
              <w:jc w:val="left"/>
            </w:pPr>
            <w:r>
              <w:rPr>
                <w:rFonts w:ascii="Calibri" w:cs="Calibri" w:eastAsia="Calibri" w:hAnsi="Calibri"/>
                <w:b/>
                <w:bCs/>
                <w:i w:val="false"/>
                <w:iCs w:val="false"/>
                <w:caps w:val="false"/>
                <w:color w:val="FBBF24"/>
                <w:spacing w:val="100"/>
                <w:sz w:val="18"/>
                <w:szCs w:val="18"/>
              </w:rPr>
              <w:t xml:space="preserve">CANDIDATE STRATEGY ONE</w:t>
            </w:r>
          </w:p>
          <w:p>
            <w:pPr>
              <w:spacing w:after="0"/>
              <w:jc w:val="left"/>
            </w:pPr>
            <w:r>
              <w:rPr>
                <w:rFonts w:ascii="Calibri" w:cs="Calibri" w:eastAsia="Calibri" w:hAnsi="Calibri"/>
                <w:b/>
                <w:bCs/>
                <w:i w:val="false"/>
                <w:iCs w:val="false"/>
                <w:caps w:val="false"/>
                <w:color w:val="FFFFFF"/>
                <w:sz w:val="28"/>
                <w:szCs w:val="28"/>
              </w:rPr>
              <w:t xml:space="preserve">Modernizing LogFiT with Small Decoder Models and Cross-System Evaluation</w:t>
            </w:r>
          </w:p>
        </w:tc>
      </w:tr>
    </w:tbl>
    <w:p>
      <w:pPr>
        <w:spacing w:after="20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F59E0B" w:sz="4"/>
          <w:left w:val="single" w:color="F59E0B" w:sz="24"/>
          <w:bottom w:val="single" w:color="F59E0B" w:sz="4"/>
          <w:right w:val="single" w:color="F59E0B" w:sz="4"/>
          <w:insideH w:val="none" w:color="FFFFFF" w:sz="0"/>
          <w:insideV w:val="none" w:color="FFFFFF" w:sz="0"/>
        </w:tblBorders>
      </w:tblPr>
      <w:tblGrid>
        <w:gridCol w:w="9360"/>
      </w:tblGrid>
      <w:tr>
        <w:tc>
          <w:tcPr>
            <w:tcW w:type="dxa" w:w="9360"/>
            <w:shd w:fill="FFFBEB" w:val="clear"/>
            <w:tcMar>
              <w:top w:type="dxa" w:w="200"/>
              <w:left w:type="dxa" w:w="280"/>
              <w:bottom w:type="dxa" w:w="200"/>
              <w:right w:type="dxa" w:w="260"/>
            </w:tcMar>
          </w:tcPr>
          <w:p>
            <w:pPr>
              <w:spacing w:after="140"/>
            </w:pPr>
            <w:r>
              <w:rPr>
                <w:rFonts w:ascii="Calibri" w:cs="Calibri" w:eastAsia="Calibri" w:hAnsi="Calibri"/>
                <w:b/>
                <w:bCs/>
                <w:i w:val="false"/>
                <w:iCs w:val="false"/>
                <w:caps/>
                <w:color w:val="F59E0B"/>
                <w:spacing w:val="60"/>
                <w:sz w:val="16"/>
                <w:szCs w:val="16"/>
              </w:rPr>
              <w:t xml:space="preserve">Core Idea in One Sentence</w:t>
            </w:r>
          </w:p>
          <w:p>
            <w:pPr>
              <w:spacing w:after="0" w:line="320"/>
              <w:jc w:val="both"/>
            </w:pPr>
            <w:r>
              <w:rPr>
                <w:rFonts w:ascii="Calibri" w:cs="Calibri" w:eastAsia="Calibri" w:hAnsi="Calibri"/>
                <w:b w:val="false"/>
                <w:bCs w:val="false"/>
                <w:i/>
                <w:iCs/>
                <w:caps w:val="false"/>
                <w:color w:val="1F2937"/>
                <w:sz w:val="22"/>
                <w:szCs w:val="22"/>
              </w:rPr>
              <w:t xml:space="preserve">Replace LogFiT's aging encoder backbone with a modern small decoder-only language model fine-tuned via QLoRA, retain LogFiT's self-supervised protocol, and extend the evaluation to a cross-system setting.</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Rationale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LogFiT is a natural anchor for this work because it is already published in IEEE Transactions on Network and Service Management — the same Q1 venue we would target. The reviewers in that venue are demonstrably receptive to this line of work. LogFiT's protocol (parser-free, label-free, masked-token prediction on normal logs) is also methodologically clean and reproducible.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However, LogFiT was built on the LongFormer / BERT-family encoder, which dates back to 2020. Since then, the language-model landscape has shifted decisively toward decoder-only architectures (Qwen, Phi, Llama-3.2) that are now available at the 1B–3B parameter scale with mature parameter-efficient fine-tuning tooling. LogFiT also evaluates each dataset independently, leaving the cross-system question unanswered.</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LogTinyLLM has shown that modern small decoder models fine-tuned with LoRA can substantially exceed earlier baselines on log data — but only on a single dataset (Thunderbird), without cross-system testing, and without calibration. The two papers are therefore complementary: LogFiT contributes the experimental protocol and the venue alignment; LogTinyLLM contributes the empirical evidence that small decoder models work well on logs.</w:t>
      </w:r>
    </w:p>
    <w:p>
      <w:pPr>
        <w:pStyle w:val="Heading2"/>
        <w:spacing w:after="180" w:before="360"/>
      </w:pPr>
      <w:r>
        <w:rPr>
          <w:rFonts w:ascii="Calibri" w:cs="Calibri" w:eastAsia="Calibri" w:hAnsi="Calibri"/>
          <w:b/>
          <w:bCs/>
          <w:i w:val="false"/>
          <w:iCs w:val="false"/>
          <w:caps w:val="false"/>
          <w:color w:val="1F3A5F"/>
          <w:sz w:val="26"/>
          <w:szCs w:val="26"/>
        </w:rPr>
        <w:t xml:space="preserve">How the Components Combine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This combination draws on three sources of input. The first two are existing published methods whose strengths complement each other; the third is the new contribution introduced by this work.</w:t>
      </w:r>
    </w:p>
    <w:p>
      <w:pPr>
        <w:spacing w:after="12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FFFFFF" w:sz="4"/>
              <w:left w:val="single" w:color="FFFFFF" w:sz="4"/>
              <w:bottom w:val="single" w:color="FFFFFF" w:sz="4"/>
              <w:right w:val="single" w:color="FFFFFF" w:sz="4"/>
            </w:tcBorders>
            <w:shd w:fill="1F3A5F"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From LogFiT</w:t>
            </w:r>
          </w:p>
        </w:tc>
        <w:tc>
          <w:tcPr>
            <w:tcW w:type="dxa" w:w="7160"/>
            <w:tcBorders>
              <w:top w:val="single" w:color="FFFFFF" w:sz="4"/>
              <w:left w:val="single" w:color="FFFFFF" w:sz="4"/>
              <w:bottom w:val="single" w:color="FFFFFF" w:sz="4"/>
              <w:right w:val="single" w:color="FFFFFF" w:sz="4"/>
            </w:tcBorders>
            <w:shd w:fill="F9FAFB"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overall pipeline: parser-free input, self-supervised training on normal logs only, masked-token prediction objective, and threshold-based anomaly scoring at inference time.</w:t>
            </w:r>
          </w:p>
        </w:tc>
      </w:tr>
      <w:tr>
        <w:trPr>
          <w:cantSplit w:val="false"/>
        </w:trPr>
        <w:tc>
          <w:tcPr>
            <w:tcW w:type="dxa" w:w="2200"/>
            <w:tcBorders>
              <w:top w:val="single" w:color="FFFFFF" w:sz="4"/>
              <w:left w:val="single" w:color="FFFFFF" w:sz="4"/>
              <w:bottom w:val="single" w:color="FFFFFF" w:sz="4"/>
              <w:right w:val="single" w:color="FFFFFF" w:sz="4"/>
            </w:tcBorders>
            <w:shd w:fill="1F3A5F"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From LogTinyLLM</w:t>
            </w:r>
          </w:p>
        </w:tc>
        <w:tc>
          <w:tcPr>
            <w:tcW w:type="dxa" w:w="7160"/>
            <w:tcBorders>
              <w:top w:val="single" w:color="FFFFFF" w:sz="4"/>
              <w:left w:val="single" w:color="FFFFFF" w:sz="4"/>
              <w:bottom w:val="single" w:color="FFFFFF" w:sz="4"/>
              <w:right w:val="single" w:color="FFFFFF" w:sz="4"/>
            </w:tcBorders>
            <w:shd w:fill="F9FAFB"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use of small decoder-only language models (Qwen-2.5-1.5B, Phi-3.5-mini, or similar) as the backbone, fine-tuned with LoRA on commodity GPU hardware.</w:t>
            </w:r>
          </w:p>
        </w:tc>
      </w:tr>
      <w:tr>
        <w:trPr>
          <w:cantSplit w:val="false"/>
        </w:trPr>
        <w:tc>
          <w:tcPr>
            <w:tcW w:type="dxa" w:w="2200"/>
            <w:tcBorders>
              <w:top w:val="single" w:color="FFFFFF" w:sz="4"/>
              <w:left w:val="single" w:color="FFFFFF" w:sz="4"/>
              <w:bottom w:val="single" w:color="FFFFFF" w:sz="4"/>
              <w:right w:val="single" w:color="FFFFFF" w:sz="4"/>
            </w:tcBorders>
            <w:shd w:fill="B91C1C"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Novel additions in this work</w:t>
            </w:r>
          </w:p>
        </w:tc>
        <w:tc>
          <w:tcPr>
            <w:tcW w:type="dxa" w:w="7160"/>
            <w:tcBorders>
              <w:top w:val="single" w:color="FFFFFF" w:sz="4"/>
              <w:left w:val="single" w:color="FFFFFF" w:sz="4"/>
              <w:bottom w:val="single" w:color="FFFFFF" w:sz="4"/>
              <w:right w:val="single" w:color="FFFFFF" w:sz="4"/>
            </w:tcBorders>
            <w:shd w:fill="FEF2F2"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(i) Adoption of QLoRA (4-bit quantized fine-tuning) to further reduce memory footprint; (ii) cross-system evaluation protocol in which the model is trained on one system and evaluated on others; (iii) a lightweight calibration layer (temperature scaling) to make output probabilities reliable for downstream triage.</w:t>
            </w:r>
          </w:p>
        </w:tc>
      </w:tr>
    </w:tbl>
    <w:p>
      <w:pPr>
        <w:spacing w:after="28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Which Research Gap This Addresses</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This combination addresses three documented gaps in the reviewed literature simultaneously. First, it brings LogFiT's published protocol into the era of modern decoder-only language models. Second, it provides the cross-system evaluation that LogTinyLLM omitted. Third, it adds a calibration layer that none of the five strongest recent works has integrated. Each of these three additions, taken alone, is a defensible contribution; taken together, they form a coherent narrative of methodological improvement.</w:t>
      </w:r>
    </w:p>
    <w:p>
      <w:pPr>
        <w:spacing w:after="20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3B82F6" w:sz="4"/>
          <w:left w:val="single" w:color="3B82F6" w:sz="24"/>
          <w:bottom w:val="single" w:color="3B82F6" w:sz="4"/>
          <w:right w:val="single" w:color="3B82F6" w:sz="4"/>
          <w:insideH w:val="none" w:color="FFFFFF" w:sz="0"/>
          <w:insideV w:val="none" w:color="FFFFFF" w:sz="0"/>
        </w:tblBorders>
      </w:tblPr>
      <w:tblGrid>
        <w:gridCol w:w="9360"/>
      </w:tblGrid>
      <w:tr>
        <w:tc>
          <w:tcPr>
            <w:tcW w:type="dxa" w:w="9360"/>
            <w:shd w:fill="EFF6FF" w:val="clear"/>
            <w:tcMar>
              <w:top w:type="dxa" w:w="200"/>
              <w:left w:type="dxa" w:w="280"/>
              <w:bottom w:type="dxa" w:w="200"/>
              <w:right w:type="dxa" w:w="260"/>
            </w:tcMar>
          </w:tcPr>
          <w:p>
            <w:pPr>
              <w:spacing w:after="140"/>
            </w:pPr>
            <w:r>
              <w:rPr>
                <w:rFonts w:ascii="Calibri" w:cs="Calibri" w:eastAsia="Calibri" w:hAnsi="Calibri"/>
                <w:b/>
                <w:bCs/>
                <w:i w:val="false"/>
                <w:iCs w:val="false"/>
                <w:caps/>
                <w:color w:val="3B82F6"/>
                <w:spacing w:val="60"/>
                <w:sz w:val="16"/>
                <w:szCs w:val="16"/>
              </w:rPr>
              <w:t xml:space="preserve">Resulting Contribution Claim</w:t>
            </w:r>
          </w:p>
          <w:p>
            <w:pPr>
              <w:spacing w:after="0" w:line="340"/>
              <w:jc w:val="both"/>
            </w:pPr>
            <w:r>
              <w:rPr>
                <w:rFonts w:ascii="Calibri" w:cs="Calibri" w:eastAsia="Calibri" w:hAnsi="Calibri"/>
                <w:b/>
                <w:bCs/>
                <w:i w:val="false"/>
                <w:iCs w:val="false"/>
                <w:caps w:val="false"/>
                <w:color w:val="1F3A5F"/>
                <w:sz w:val="22"/>
                <w:szCs w:val="22"/>
              </w:rPr>
              <w:t xml:space="preserve">The first framework that combines self-supervised log anomaly detection (in the style of LogFiT) with a modern small decoder-only language model backbone (in the style of LogTinyLLM), evaluated across multiple systems and equipped with output calibration.</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Preliminary Execution Roadmap</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The following six-phase roadmap outlines the principal steps of the study. The phases are sequential, but later phases may inform refinements of earlier ones during execution.</w:t>
      </w:r>
    </w:p>
    <w:p>
      <w:pPr>
        <w:spacing w:after="1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1</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Reproduce LogFiT</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Reproduce the published LogFiT results on HDFS, BGL, and Thunderbird as the principal baseline. This establishes that the protocol is correctly implemented before any modification is introduced.</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2</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Backbone replacement</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Replace the LongFormer backbone with a modern small decoder-only language model (Qwen-2.5-1.5B as the primary candidate). Apply QLoRA fine-tuning on normal logs of the source system using the same self-supervised objective as LogFiT.</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3</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In-domain evaluation</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Evaluate the modernized framework on the same three datasets used by LogFiT, with the same metrics (precision, recall, F1), to confirm that the new backbone matches or exceeds the original.</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4</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Cross-system evaluation</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Introduce the new contribution: train on one system (for example, HDFS), evaluate on the others (BGL, Thunderbird) without retraining. Report the cross-system performance gap. This is the principal scientific result.</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5</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Calibration layer</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Add temperature scaling on a held-out calibration split. Report Expected Calibration Error (ECE) and reliability diagrams alongside standard F1 metrics. This is a secondary contribution and addresses an explicit gap in the reviewed literature.</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1F3A5F"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6</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Ablation and analysis</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Conduct controlled ablations isolating the contribution of each component (backbone change, QLoRA, calibration). Run all key experiments across five random seeds and report mean ± standard deviation. Apply the Wilcoxon signed-rank test against the strongest baseline.</w:t>
            </w:r>
          </w:p>
        </w:tc>
      </w:tr>
    </w:tbl>
    <w:p>
      <w:pPr>
        <w:spacing w:after="60"/>
      </w:pPr>
      <w:r>
        <w:rPr>
          <w:rFonts w:ascii="Calibri" w:cs="Calibri" w:eastAsia="Calibri" w:hAnsi="Calibri"/>
          <w:b w:val="false"/>
          <w:bCs w:val="false"/>
          <w:i w:val="false"/>
          <w:iCs w:val="false"/>
          <w:caps w:val="false"/>
          <w:color w:val="1F2937"/>
          <w:sz w:val="22"/>
          <w:szCs w:val="22"/>
        </w:rPr>
        <w:t xml:space="preserve"/>
      </w:r>
    </w:p>
    <w:p>
      <w:pPr>
        <w:spacing w:after="20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Strengths and Risks of This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047857" w:sz="4"/>
            </w:tcBorders>
            <w:shd w:fill="047857" w:val="clear"/>
            <w:tcMar>
              <w:top w:type="dxa" w:w="140"/>
              <w:left w:type="dxa" w:w="200"/>
              <w:bottom w:type="dxa" w:w="140"/>
              <w:right w:type="dxa" w:w="200"/>
            </w:tcMar>
          </w:tcPr>
          <w:p>
            <w:pPr>
              <w:spacing w:after="0"/>
              <w:jc w:val="center"/>
            </w:pPr>
            <w:r>
              <w:rPr>
                <w:rFonts w:ascii="Calibri" w:cs="Calibri" w:eastAsia="Calibri" w:hAnsi="Calibri"/>
                <w:b/>
                <w:bCs/>
                <w:i w:val="false"/>
                <w:iCs w:val="false"/>
                <w:caps w:val="false"/>
                <w:color w:val="FFFFFF"/>
                <w:spacing w:val="60"/>
                <w:sz w:val="20"/>
                <w:szCs w:val="20"/>
              </w:rPr>
              <w:t xml:space="preserve">STRENGTHS</w:t>
            </w:r>
          </w:p>
        </w:tc>
        <w:tc>
          <w:tcPr>
            <w:tcW w:type="dxa" w:w="4680"/>
            <w:tcBorders>
              <w:top w:val="single" w:color="C2410C" w:sz="4"/>
              <w:left w:val="single" w:color="C2410C" w:sz="4"/>
              <w:bottom w:val="single" w:color="C2410C" w:sz="4"/>
              <w:right w:val="single" w:color="C2410C" w:sz="4"/>
            </w:tcBorders>
            <w:shd w:fill="C2410C" w:val="clear"/>
            <w:tcMar>
              <w:top w:type="dxa" w:w="140"/>
              <w:left w:type="dxa" w:w="200"/>
              <w:bottom w:type="dxa" w:w="140"/>
              <w:right w:type="dxa" w:w="200"/>
            </w:tcMar>
          </w:tcPr>
          <w:p>
            <w:pPr>
              <w:spacing w:after="0"/>
              <w:jc w:val="center"/>
            </w:pPr>
            <w:r>
              <w:rPr>
                <w:rFonts w:ascii="Calibri" w:cs="Calibri" w:eastAsia="Calibri" w:hAnsi="Calibri"/>
                <w:b/>
                <w:bCs/>
                <w:i w:val="false"/>
                <w:iCs w:val="false"/>
                <w:caps w:val="false"/>
                <w:color w:val="FFFFFF"/>
                <w:spacing w:val="60"/>
                <w:sz w:val="20"/>
                <w:szCs w:val="20"/>
              </w:rPr>
              <w:t xml:space="preserve">RISKS / OPEN QUESTIONS</w:t>
            </w:r>
          </w:p>
        </w:tc>
      </w:tr>
      <w:tr>
        <w:trPr>
          <w:cantSplit w:val="false"/>
        </w:trPr>
        <w:tc>
          <w:tcPr>
            <w:tcW w:type="dxa" w:w="4680"/>
            <w:tcBorders>
              <w:top w:val="single" w:color="047857" w:sz="1"/>
              <w:left w:val="single" w:color="047857" w:sz="1"/>
              <w:bottom w:val="single" w:color="047857" w:sz="1"/>
              <w:right w:val="single" w:color="047857" w:sz="1"/>
            </w:tcBorders>
            <w:shd w:fill="F0FDF4" w:val="clear"/>
            <w:tcMar>
              <w:top w:type="dxa" w:w="160"/>
              <w:left w:type="dxa" w:w="200"/>
              <w:bottom w:type="dxa" w:w="160"/>
              <w:right w:type="dxa" w:w="200"/>
            </w:tcMar>
          </w:tcPr>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Builds on a paper already published in the target Q1 venue, which provides direct venue alignment.</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All three components — modern SLM, QLoRA, cross-system evaluation — are well-documented in the recent literature, ensuring methodological soundness.</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The protocol is reproducible at every stage because it builds on LogFiT's published baseline.</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The combined contribution addresses three of the documented research gaps simultaneously.</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The improvement narrative is clear and defensible: a modern backbone, a new evaluation axis, and a previously absent calibration layer.</w:t>
            </w:r>
          </w:p>
        </w:tc>
        <w:tc>
          <w:tcPr>
            <w:tcW w:type="dxa" w:w="4680"/>
            <w:tcBorders>
              <w:top w:val="single" w:color="C2410C" w:sz="1"/>
              <w:left w:val="single" w:color="C2410C" w:sz="1"/>
              <w:bottom w:val="single" w:color="C2410C" w:sz="1"/>
              <w:right w:val="single" w:color="C2410C" w:sz="1"/>
            </w:tcBorders>
            <w:shd w:fill="FEF2F2" w:val="clear"/>
            <w:tcMar>
              <w:top w:type="dxa" w:w="160"/>
              <w:left w:type="dxa" w:w="200"/>
              <w:bottom w:type="dxa" w:w="160"/>
              <w:right w:type="dxa" w:w="200"/>
            </w:tcMar>
          </w:tcPr>
          <w:p>
            <w:pPr>
              <w:spacing w:after="100" w:before="0" w:line="300"/>
              <w:ind w:left="200" w:hanging="200"/>
              <w:jc w:val="both"/>
            </w:pPr>
            <w:r>
              <w:rPr>
                <w:rFonts w:ascii="Calibri" w:cs="Calibri" w:eastAsia="Calibri" w:hAnsi="Calibri"/>
                <w:b/>
                <w:bCs/>
                <w:i w:val="false"/>
                <w:iCs w:val="false"/>
                <w:caps w:val="false"/>
                <w:color w:val="C2410C"/>
                <w:sz w:val="20"/>
                <w:szCs w:val="20"/>
              </w:rPr>
              <w:t xml:space="preserve">▸  </w:t>
            </w:r>
            <w:r>
              <w:rPr>
                <w:rFonts w:ascii="Calibri" w:cs="Calibri" w:eastAsia="Calibri" w:hAnsi="Calibri"/>
                <w:b w:val="false"/>
                <w:bCs w:val="false"/>
                <w:i w:val="false"/>
                <w:iCs w:val="false"/>
                <w:caps w:val="false"/>
                <w:color w:val="1F2937"/>
                <w:sz w:val="20"/>
                <w:szCs w:val="20"/>
              </w:rPr>
              <w:t xml:space="preserve">If the modern backbone does not exceed LogFiT's original performance on in-domain data, the cross-system results become the principal contribution — this is acceptable, but requires reframing of the narrative.</w:t>
            </w:r>
          </w:p>
          <w:p>
            <w:pPr>
              <w:spacing w:after="100" w:before="0" w:line="300"/>
              <w:ind w:left="200" w:hanging="200"/>
              <w:jc w:val="both"/>
            </w:pPr>
            <w:r>
              <w:rPr>
                <w:rFonts w:ascii="Calibri" w:cs="Calibri" w:eastAsia="Calibri" w:hAnsi="Calibri"/>
                <w:b/>
                <w:bCs/>
                <w:i w:val="false"/>
                <w:iCs w:val="false"/>
                <w:caps w:val="false"/>
                <w:color w:val="C2410C"/>
                <w:sz w:val="20"/>
                <w:szCs w:val="20"/>
              </w:rPr>
              <w:t xml:space="preserve">▸  </w:t>
            </w:r>
            <w:r>
              <w:rPr>
                <w:rFonts w:ascii="Calibri" w:cs="Calibri" w:eastAsia="Calibri" w:hAnsi="Calibri"/>
                <w:b w:val="false"/>
                <w:bCs w:val="false"/>
                <w:i w:val="false"/>
                <w:iCs w:val="false"/>
                <w:caps w:val="false"/>
                <w:color w:val="1F2937"/>
                <w:sz w:val="20"/>
                <w:szCs w:val="20"/>
              </w:rPr>
              <w:t xml:space="preserve">Cross-system results in this area are typically lower than in-domain results (often 70–85% F1). The narrative must explicitly position this as a fundamental research challenge rather than a weakness of the method.</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Recommended Target Venue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IEEE Transactions on Network and Service Management (Q1) — same venue as LogFiT, providing direct precedent.</w:t>
      </w:r>
    </w:p>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6.  Candidate Strategy Two</w:t>
      </w:r>
    </w:p>
    <w:tbl>
      <w:tblPr>
        <w:tblW w:type="dxa" w:w="9360"/>
        <w:tblBorders>
          <w:top w:val="single" w:color="B91C1C" w:sz="6"/>
          <w:left w:val="single" w:color="B91C1C" w:sz="6"/>
          <w:bottom w:val="single" w:color="B91C1C" w:sz="6"/>
          <w:right w:val="single" w:color="B91C1C" w:sz="6"/>
          <w:insideH w:val="none" w:color="FFFFFF" w:sz="0"/>
          <w:insideV w:val="none" w:color="FFFFFF" w:sz="0"/>
        </w:tblBorders>
      </w:tblPr>
      <w:tblGrid>
        <w:gridCol w:w="9360"/>
      </w:tblGrid>
      <w:tr>
        <w:tc>
          <w:tcPr>
            <w:tcW w:type="dxa" w:w="9360"/>
            <w:shd w:fill="B91C1C" w:val="clear"/>
            <w:tcMar>
              <w:top w:type="dxa" w:w="220"/>
              <w:left w:type="dxa" w:w="320"/>
              <w:bottom w:type="dxa" w:w="220"/>
              <w:right w:type="dxa" w:w="320"/>
            </w:tcMar>
          </w:tcPr>
          <w:p>
            <w:pPr>
              <w:spacing w:after="100"/>
              <w:jc w:val="left"/>
            </w:pPr>
            <w:r>
              <w:rPr>
                <w:rFonts w:ascii="Calibri" w:cs="Calibri" w:eastAsia="Calibri" w:hAnsi="Calibri"/>
                <w:b/>
                <w:bCs/>
                <w:i w:val="false"/>
                <w:iCs w:val="false"/>
                <w:caps w:val="false"/>
                <w:color w:val="FBBF24"/>
                <w:spacing w:val="100"/>
                <w:sz w:val="18"/>
                <w:szCs w:val="18"/>
              </w:rPr>
              <w:t xml:space="preserve">CANDIDATE STRATEGY TWO</w:t>
            </w:r>
          </w:p>
          <w:p>
            <w:pPr>
              <w:spacing w:after="0"/>
              <w:jc w:val="left"/>
            </w:pPr>
            <w:r>
              <w:rPr>
                <w:rFonts w:ascii="Calibri" w:cs="Calibri" w:eastAsia="Calibri" w:hAnsi="Calibri"/>
                <w:b/>
                <w:bCs/>
                <w:i w:val="false"/>
                <w:iCs w:val="false"/>
                <w:caps w:val="false"/>
                <w:color w:val="FFFFFF"/>
                <w:sz w:val="28"/>
                <w:szCs w:val="28"/>
              </w:rPr>
              <w:t xml:space="preserve">A Hybrid SLM Framework with Cross-System Evaluation and Lightweight Calibration</w:t>
            </w:r>
          </w:p>
        </w:tc>
      </w:tr>
    </w:tbl>
    <w:p>
      <w:pPr>
        <w:spacing w:after="20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F59E0B" w:sz="4"/>
          <w:left w:val="single" w:color="F59E0B" w:sz="24"/>
          <w:bottom w:val="single" w:color="F59E0B" w:sz="4"/>
          <w:right w:val="single" w:color="F59E0B" w:sz="4"/>
          <w:insideH w:val="none" w:color="FFFFFF" w:sz="0"/>
          <w:insideV w:val="none" w:color="FFFFFF" w:sz="0"/>
        </w:tblBorders>
      </w:tblPr>
      <w:tblGrid>
        <w:gridCol w:w="9360"/>
      </w:tblGrid>
      <w:tr>
        <w:tc>
          <w:tcPr>
            <w:tcW w:type="dxa" w:w="9360"/>
            <w:shd w:fill="FFFBEB" w:val="clear"/>
            <w:tcMar>
              <w:top w:type="dxa" w:w="200"/>
              <w:left w:type="dxa" w:w="280"/>
              <w:bottom w:type="dxa" w:w="200"/>
              <w:right w:type="dxa" w:w="260"/>
            </w:tcMar>
          </w:tcPr>
          <w:p>
            <w:pPr>
              <w:spacing w:after="140"/>
            </w:pPr>
            <w:r>
              <w:rPr>
                <w:rFonts w:ascii="Calibri" w:cs="Calibri" w:eastAsia="Calibri" w:hAnsi="Calibri"/>
                <w:b/>
                <w:bCs/>
                <w:i w:val="false"/>
                <w:iCs w:val="false"/>
                <w:caps/>
                <w:color w:val="F59E0B"/>
                <w:spacing w:val="60"/>
                <w:sz w:val="16"/>
                <w:szCs w:val="16"/>
              </w:rPr>
              <w:t xml:space="preserve">Core Idea in One Sentence</w:t>
            </w:r>
          </w:p>
          <w:p>
            <w:pPr>
              <w:spacing w:after="0" w:line="320"/>
              <w:jc w:val="both"/>
            </w:pPr>
            <w:r>
              <w:rPr>
                <w:rFonts w:ascii="Calibri" w:cs="Calibri" w:eastAsia="Calibri" w:hAnsi="Calibri"/>
                <w:b w:val="false"/>
                <w:bCs w:val="false"/>
                <w:i/>
                <w:iCs/>
                <w:caps w:val="false"/>
                <w:color w:val="1F2937"/>
                <w:sz w:val="22"/>
                <w:szCs w:val="22"/>
              </w:rPr>
              <w:t xml:space="preserve">Combine the hybrid encoder-decoder pipeline of LogLLM with the small-model efficiency of LogTinyLLM, and introduce cross-system evaluation and calibration as the central contributions.</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Rationale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LogLLM offers the most sophisticated pipeline among recent works: a BERT encoder extracts semantic vectors from log messages, a learned projector aligns these vectors with the input space of a Llama decoder, and the full system is trained in three stages with QLoRA. It has been evaluated on four datasets and shown to be robust under template drift. However, its backbone is Llama-7B, which is heavier than necessary for many deployments, and cross-system generalization is not its primary evaluation axis.</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LogTinyLLM, on the other hand, has shown that decoder models of only 1.1–1.5 billion parameters can achieve competitive results when fine-tuned with LoRA. Combining these two ideas produces a framework that retains LogLLM's principled hybrid pipeline while replacing the Llama-7B decoder with a sub-2B-parameter alternative. The resulting system is more efficient, more deployable on commodity hardware, and — crucially — opens space for two additions that neither paper provides: cross-system evaluation and a calibration layer.</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This candidate is conceptually more ambitious than Candidate One because it touches the architecture itself (a three-stage pipeline with a learned projector), but the underlying components are all well-documented in the existing literature.</w:t>
      </w:r>
    </w:p>
    <w:p>
      <w:pPr>
        <w:pStyle w:val="Heading2"/>
        <w:spacing w:after="180" w:before="360"/>
      </w:pPr>
      <w:r>
        <w:rPr>
          <w:rFonts w:ascii="Calibri" w:cs="Calibri" w:eastAsia="Calibri" w:hAnsi="Calibri"/>
          <w:b/>
          <w:bCs/>
          <w:i w:val="false"/>
          <w:iCs w:val="false"/>
          <w:caps w:val="false"/>
          <w:color w:val="1F3A5F"/>
          <w:sz w:val="26"/>
          <w:szCs w:val="26"/>
        </w:rPr>
        <w:t xml:space="preserve">How the Components Combine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This combination draws on three sources of input. The first two are existing published methods whose strengths complement each other; the third is the new contribution introduced by this work.</w:t>
      </w:r>
    </w:p>
    <w:p>
      <w:pPr>
        <w:spacing w:after="12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FFFFFF" w:sz="4"/>
              <w:left w:val="single" w:color="FFFFFF" w:sz="4"/>
              <w:bottom w:val="single" w:color="FFFFFF" w:sz="4"/>
              <w:right w:val="single" w:color="FFFFFF" w:sz="4"/>
            </w:tcBorders>
            <w:shd w:fill="1F3A5F"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From LogLLM</w:t>
            </w:r>
          </w:p>
        </w:tc>
        <w:tc>
          <w:tcPr>
            <w:tcW w:type="dxa" w:w="7160"/>
            <w:tcBorders>
              <w:top w:val="single" w:color="FFFFFF" w:sz="4"/>
              <w:left w:val="single" w:color="FFFFFF" w:sz="4"/>
              <w:bottom w:val="single" w:color="FFFFFF" w:sz="4"/>
              <w:right w:val="single" w:color="FFFFFF" w:sz="4"/>
            </w:tcBorders>
            <w:shd w:fill="F9FAFB"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three-stage training pipeline, the hybrid BERT-encoder-plus-decoder architecture with a learned projector aligning their representation spaces, and the use of QLoRA throughout to make multi-component fine-tuning tractable.</w:t>
            </w:r>
          </w:p>
        </w:tc>
      </w:tr>
      <w:tr>
        <w:trPr>
          <w:cantSplit w:val="false"/>
        </w:trPr>
        <w:tc>
          <w:tcPr>
            <w:tcW w:type="dxa" w:w="2200"/>
            <w:tcBorders>
              <w:top w:val="single" w:color="FFFFFF" w:sz="4"/>
              <w:left w:val="single" w:color="FFFFFF" w:sz="4"/>
              <w:bottom w:val="single" w:color="FFFFFF" w:sz="4"/>
              <w:right w:val="single" w:color="FFFFFF" w:sz="4"/>
            </w:tcBorders>
            <w:shd w:fill="1F3A5F"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From LogTinyLLM</w:t>
            </w:r>
          </w:p>
        </w:tc>
        <w:tc>
          <w:tcPr>
            <w:tcW w:type="dxa" w:w="7160"/>
            <w:tcBorders>
              <w:top w:val="single" w:color="FFFFFF" w:sz="4"/>
              <w:left w:val="single" w:color="FFFFFF" w:sz="4"/>
              <w:bottom w:val="single" w:color="FFFFFF" w:sz="4"/>
              <w:right w:val="single" w:color="FFFFFF" w:sz="4"/>
            </w:tcBorders>
            <w:shd w:fill="F9FAFB"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The empirical evidence that small decoder language models (under 2 billion parameters) are sufficient for log anomaly detection, replacing LogLLM's Llama-7B with a substantially lighter backbone.</w:t>
            </w:r>
          </w:p>
        </w:tc>
      </w:tr>
      <w:tr>
        <w:trPr>
          <w:cantSplit w:val="false"/>
        </w:trPr>
        <w:tc>
          <w:tcPr>
            <w:tcW w:type="dxa" w:w="2200"/>
            <w:tcBorders>
              <w:top w:val="single" w:color="FFFFFF" w:sz="4"/>
              <w:left w:val="single" w:color="FFFFFF" w:sz="4"/>
              <w:bottom w:val="single" w:color="FFFFFF" w:sz="4"/>
              <w:right w:val="single" w:color="FFFFFF" w:sz="4"/>
            </w:tcBorders>
            <w:shd w:fill="B91C1C" w:val="clear"/>
            <w:tcMar>
              <w:top w:type="dxa" w:w="140"/>
              <w:left w:type="dxa" w:w="200"/>
              <w:bottom w:type="dxa" w:w="140"/>
              <w:right w:type="dxa" w:w="200"/>
            </w:tcMar>
            <w:vAlign w:val="center"/>
          </w:tcPr>
          <w:p>
            <w:pPr>
              <w:spacing w:after="0" w:line="280"/>
              <w:jc w:val="left"/>
            </w:pPr>
            <w:r>
              <w:rPr>
                <w:rFonts w:ascii="Calibri" w:cs="Calibri" w:eastAsia="Calibri" w:hAnsi="Calibri"/>
                <w:b/>
                <w:bCs/>
                <w:i w:val="false"/>
                <w:iCs w:val="false"/>
                <w:caps w:val="false"/>
                <w:color w:val="FFFFFF"/>
                <w:spacing w:val="40"/>
                <w:sz w:val="18"/>
                <w:szCs w:val="18"/>
              </w:rPr>
              <w:t xml:space="preserve">Novel additions in this work</w:t>
            </w:r>
          </w:p>
        </w:tc>
        <w:tc>
          <w:tcPr>
            <w:tcW w:type="dxa" w:w="7160"/>
            <w:tcBorders>
              <w:top w:val="single" w:color="FFFFFF" w:sz="4"/>
              <w:left w:val="single" w:color="FFFFFF" w:sz="4"/>
              <w:bottom w:val="single" w:color="FFFFFF" w:sz="4"/>
              <w:right w:val="single" w:color="FFFFFF" w:sz="4"/>
            </w:tcBorders>
            <w:shd w:fill="FEF2F2" w:val="clear"/>
            <w:tcMar>
              <w:top w:type="dxa" w:w="140"/>
              <w:left w:type="dxa" w:w="240"/>
              <w:bottom w:type="dxa" w:w="140"/>
              <w:right w:type="dxa" w:w="240"/>
            </w:tcMar>
          </w:tcPr>
          <w:p>
            <w:pPr>
              <w:spacing w:after="0" w:line="320"/>
              <w:jc w:val="both"/>
            </w:pPr>
            <w:r>
              <w:rPr>
                <w:rFonts w:ascii="Calibri" w:cs="Calibri" w:eastAsia="Calibri" w:hAnsi="Calibri"/>
                <w:b w:val="false"/>
                <w:bCs w:val="false"/>
                <w:i w:val="false"/>
                <w:iCs w:val="false"/>
                <w:caps w:val="false"/>
                <w:color w:val="1F2937"/>
                <w:sz w:val="21"/>
                <w:szCs w:val="21"/>
              </w:rPr>
              <w:t xml:space="preserve">(i) Systematic cross-system evaluation following the protocols established by MetaLog (which neither LogLLM nor LogTinyLLM provides); (ii) a calibration layer (temperature scaling, with Expected Calibration Error reported); (iii) a controlled comparison of the hybrid pipeline against a single-decoder baseline to isolate the contribution of the encoder-projector component.</w:t>
            </w:r>
          </w:p>
        </w:tc>
      </w:tr>
    </w:tbl>
    <w:p>
      <w:pPr>
        <w:spacing w:after="28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Which Research Gap This Addresses</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This combination targets the same three-way intersection identified in the gap analysis — modern small models, cross-system evaluation, and calibration — but does so through a more sophisticated architecture. The hybrid encoder-decoder pipeline provides a richer semantic representation than a single-decoder approach, while the lighter backbone makes the entire framework deployable on a single 16 GB GPU. The cross-system evaluation directly answers the question 'does this richer representation also generalize better?', which the literature has not addressed for hybrid pipelines.</w:t>
      </w:r>
    </w:p>
    <w:p>
      <w:pPr>
        <w:spacing w:after="20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3B82F6" w:sz="4"/>
          <w:left w:val="single" w:color="3B82F6" w:sz="24"/>
          <w:bottom w:val="single" w:color="3B82F6" w:sz="4"/>
          <w:right w:val="single" w:color="3B82F6" w:sz="4"/>
          <w:insideH w:val="none" w:color="FFFFFF" w:sz="0"/>
          <w:insideV w:val="none" w:color="FFFFFF" w:sz="0"/>
        </w:tblBorders>
      </w:tblPr>
      <w:tblGrid>
        <w:gridCol w:w="9360"/>
      </w:tblGrid>
      <w:tr>
        <w:tc>
          <w:tcPr>
            <w:tcW w:type="dxa" w:w="9360"/>
            <w:shd w:fill="EFF6FF" w:val="clear"/>
            <w:tcMar>
              <w:top w:type="dxa" w:w="200"/>
              <w:left w:type="dxa" w:w="280"/>
              <w:bottom w:type="dxa" w:w="200"/>
              <w:right w:type="dxa" w:w="260"/>
            </w:tcMar>
          </w:tcPr>
          <w:p>
            <w:pPr>
              <w:spacing w:after="140"/>
            </w:pPr>
            <w:r>
              <w:rPr>
                <w:rFonts w:ascii="Calibri" w:cs="Calibri" w:eastAsia="Calibri" w:hAnsi="Calibri"/>
                <w:b/>
                <w:bCs/>
                <w:i w:val="false"/>
                <w:iCs w:val="false"/>
                <w:caps/>
                <w:color w:val="3B82F6"/>
                <w:spacing w:val="60"/>
                <w:sz w:val="16"/>
                <w:szCs w:val="16"/>
              </w:rPr>
              <w:t xml:space="preserve">Resulting Contribution Claim</w:t>
            </w:r>
          </w:p>
          <w:p>
            <w:pPr>
              <w:spacing w:after="0" w:line="340"/>
              <w:jc w:val="both"/>
            </w:pPr>
            <w:r>
              <w:rPr>
                <w:rFonts w:ascii="Calibri" w:cs="Calibri" w:eastAsia="Calibri" w:hAnsi="Calibri"/>
                <w:b/>
                <w:bCs/>
                <w:i w:val="false"/>
                <w:iCs w:val="false"/>
                <w:caps w:val="false"/>
                <w:color w:val="1F3A5F"/>
                <w:sz w:val="22"/>
                <w:szCs w:val="22"/>
              </w:rPr>
              <w:t xml:space="preserve">The first hybrid encoder-decoder log anomaly detection framework that operates entirely with sub-2B-parameter decoder backbones, is systematically evaluated across multiple systems, and provides calibrated output probabilities suitable for triage in operational environments.</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Preliminary Execution Roadmap</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The following six-phase roadmap outlines the principal steps of the study. The phases are sequential, but later phases may inform refinements of earlier ones during execution.</w:t>
      </w:r>
    </w:p>
    <w:p>
      <w:pPr>
        <w:spacing w:after="1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1</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Reproduce LogLLM</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Reproduce LogLLM's three-stage pipeline on HDFS and BGL as the principal baseline. Verify that the published F1 numbers are achievable with the released code.</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2</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Backbone substitution</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Replace the Llama-7B decoder with a small decoder-only language model (Qwen-2.5-1.5B as the primary candidate; Phi-3.5-mini as a secondary candidate). Re-run the three-stage training with QLoRA on the same data and confirm that the lighter backbone achieves competitive in-domain performance.</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3</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Cross-system protocol</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Define the cross-system evaluation protocol following MetaLog's structure: train on one system, evaluate on the others without retraining. Report cross-system F1 alongside in-domain F1.</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4</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Calibration layer</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Add temperature scaling on a held-out calibration split. Report Expected Calibration Error and reliability diagrams for both in-domain and cross-system settings. This produces the first calibration analysis for hybrid log anomaly detection frameworks.</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5</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Component isolation ablation</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Conduct controlled ablations to isolate the contribution of the hybrid encoder-projector component: compare the full pipeline against a single-decoder variant (essentially Candidate One's architecture) under identical conditions. This ablation directly answers whether the additional architectural complexity is justified.</w:t>
            </w:r>
          </w:p>
        </w:tc>
      </w:tr>
    </w:tbl>
    <w:p>
      <w:pPr>
        <w:spacing w:after="6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val="false"/>
        </w:trPr>
        <w:tc>
          <w:tcPr>
            <w:tcW w:type="dxa" w:w="1400"/>
            <w:tcBorders>
              <w:top w:val="single" w:color="FFFFFF" w:sz="4"/>
              <w:left w:val="single" w:color="FFFFFF" w:sz="4"/>
              <w:bottom w:val="single" w:color="FFFFFF" w:sz="4"/>
              <w:right w:val="single" w:color="FFFFFF" w:sz="4"/>
            </w:tcBorders>
            <w:shd w:fill="B91C1C" w:val="clear"/>
            <w:tcMar>
              <w:top w:type="dxa" w:w="140"/>
              <w:left w:type="dxa" w:w="160"/>
              <w:bottom w:type="dxa" w:w="140"/>
              <w:right w:type="dxa" w:w="160"/>
            </w:tcMar>
            <w:vAlign w:val="center"/>
          </w:tcPr>
          <w:p>
            <w:pPr>
              <w:spacing w:after="0"/>
              <w:jc w:val="center"/>
            </w:pPr>
            <w:r>
              <w:rPr>
                <w:rFonts w:ascii="Calibri" w:cs="Calibri" w:eastAsia="Calibri" w:hAnsi="Calibri"/>
                <w:b/>
                <w:bCs/>
                <w:i w:val="false"/>
                <w:iCs w:val="false"/>
                <w:caps w:val="false"/>
                <w:color w:val="FFFFFF"/>
                <w:sz w:val="19"/>
                <w:szCs w:val="19"/>
              </w:rPr>
              <w:t xml:space="preserve">Phase 6</w:t>
            </w:r>
          </w:p>
        </w:tc>
        <w:tc>
          <w:tcPr>
            <w:tcW w:type="dxa" w:w="2400"/>
            <w:tcBorders>
              <w:top w:val="single" w:color="FFFFFF" w:sz="4"/>
              <w:left w:val="single" w:color="FFFFFF" w:sz="4"/>
              <w:bottom w:val="single" w:color="FFFFFF" w:sz="4"/>
              <w:right w:val="single" w:color="FFFFFF" w:sz="4"/>
            </w:tcBorders>
            <w:shd w:fill="F3F4F6" w:val="clear"/>
            <w:tcMar>
              <w:top w:type="dxa" w:w="140"/>
              <w:left w:type="dxa" w:w="200"/>
              <w:bottom w:type="dxa" w:w="140"/>
              <w:right w:type="dxa" w:w="200"/>
            </w:tcMar>
            <w:vAlign w:val="center"/>
          </w:tcPr>
          <w:p>
            <w:pPr>
              <w:spacing w:after="0" w:line="280"/>
            </w:pPr>
            <w:r>
              <w:rPr>
                <w:rFonts w:ascii="Calibri" w:cs="Calibri" w:eastAsia="Calibri" w:hAnsi="Calibri"/>
                <w:b/>
                <w:bCs/>
                <w:i w:val="false"/>
                <w:iCs w:val="false"/>
                <w:caps w:val="false"/>
                <w:color w:val="1F3A5F"/>
                <w:sz w:val="20"/>
                <w:szCs w:val="20"/>
              </w:rPr>
              <w:t xml:space="preserve">Statistical validation</w:t>
            </w:r>
          </w:p>
        </w:tc>
        <w:tc>
          <w:tcPr>
            <w:tcW w:type="dxa" w:w="5560"/>
            <w:tcBorders>
              <w:top w:val="single" w:color="FFFFFF" w:sz="4"/>
              <w:left w:val="single" w:color="FFFFFF" w:sz="4"/>
              <w:bottom w:val="single" w:color="FFFFFF" w:sz="4"/>
              <w:right w:val="single" w:color="FFFFFF" w:sz="4"/>
            </w:tcBorders>
            <w:shd w:fill="FFFFFF" w:val="clear"/>
            <w:tcMar>
              <w:top w:type="dxa" w:w="140"/>
              <w:left w:type="dxa" w:w="220"/>
              <w:bottom w:type="dxa" w:w="140"/>
              <w:right w:type="dxa" w:w="220"/>
            </w:tcMar>
          </w:tcPr>
          <w:p>
            <w:pPr>
              <w:spacing w:after="0" w:line="300"/>
              <w:jc w:val="both"/>
            </w:pPr>
            <w:r>
              <w:rPr>
                <w:rFonts w:ascii="Calibri" w:cs="Calibri" w:eastAsia="Calibri" w:hAnsi="Calibri"/>
                <w:b w:val="false"/>
                <w:bCs w:val="false"/>
                <w:i w:val="false"/>
                <w:iCs w:val="false"/>
                <w:caps w:val="false"/>
                <w:color w:val="1F2937"/>
                <w:sz w:val="20"/>
                <w:szCs w:val="20"/>
              </w:rPr>
              <w:t xml:space="preserve">Run all key experiments across five random seeds, report mean ± standard deviation, and apply the Wilcoxon signed-rank test to confirm statistical significance over the strongest baseline.</w:t>
            </w:r>
          </w:p>
        </w:tc>
      </w:tr>
    </w:tbl>
    <w:p>
      <w:pPr>
        <w:spacing w:after="60"/>
      </w:pPr>
      <w:r>
        <w:rPr>
          <w:rFonts w:ascii="Calibri" w:cs="Calibri" w:eastAsia="Calibri" w:hAnsi="Calibri"/>
          <w:b w:val="false"/>
          <w:bCs w:val="false"/>
          <w:i w:val="false"/>
          <w:iCs w:val="false"/>
          <w:caps w:val="false"/>
          <w:color w:val="1F2937"/>
          <w:sz w:val="22"/>
          <w:szCs w:val="22"/>
        </w:rPr>
        <w:t xml:space="preserve"/>
      </w:r>
    </w:p>
    <w:p>
      <w:pPr>
        <w:spacing w:after="20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Strengths and Risks of This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047857" w:sz="4"/>
            </w:tcBorders>
            <w:shd w:fill="047857" w:val="clear"/>
            <w:tcMar>
              <w:top w:type="dxa" w:w="140"/>
              <w:left w:type="dxa" w:w="200"/>
              <w:bottom w:type="dxa" w:w="140"/>
              <w:right w:type="dxa" w:w="200"/>
            </w:tcMar>
          </w:tcPr>
          <w:p>
            <w:pPr>
              <w:spacing w:after="0"/>
              <w:jc w:val="center"/>
            </w:pPr>
            <w:r>
              <w:rPr>
                <w:rFonts w:ascii="Calibri" w:cs="Calibri" w:eastAsia="Calibri" w:hAnsi="Calibri"/>
                <w:b/>
                <w:bCs/>
                <w:i w:val="false"/>
                <w:iCs w:val="false"/>
                <w:caps w:val="false"/>
                <w:color w:val="FFFFFF"/>
                <w:spacing w:val="60"/>
                <w:sz w:val="20"/>
                <w:szCs w:val="20"/>
              </w:rPr>
              <w:t xml:space="preserve">STRENGTHS</w:t>
            </w:r>
          </w:p>
        </w:tc>
        <w:tc>
          <w:tcPr>
            <w:tcW w:type="dxa" w:w="4680"/>
            <w:tcBorders>
              <w:top w:val="single" w:color="C2410C" w:sz="4"/>
              <w:left w:val="single" w:color="C2410C" w:sz="4"/>
              <w:bottom w:val="single" w:color="C2410C" w:sz="4"/>
              <w:right w:val="single" w:color="C2410C" w:sz="4"/>
            </w:tcBorders>
            <w:shd w:fill="C2410C" w:val="clear"/>
            <w:tcMar>
              <w:top w:type="dxa" w:w="140"/>
              <w:left w:type="dxa" w:w="200"/>
              <w:bottom w:type="dxa" w:w="140"/>
              <w:right w:type="dxa" w:w="200"/>
            </w:tcMar>
          </w:tcPr>
          <w:p>
            <w:pPr>
              <w:spacing w:after="0"/>
              <w:jc w:val="center"/>
            </w:pPr>
            <w:r>
              <w:rPr>
                <w:rFonts w:ascii="Calibri" w:cs="Calibri" w:eastAsia="Calibri" w:hAnsi="Calibri"/>
                <w:b/>
                <w:bCs/>
                <w:i w:val="false"/>
                <w:iCs w:val="false"/>
                <w:caps w:val="false"/>
                <w:color w:val="FFFFFF"/>
                <w:spacing w:val="60"/>
                <w:sz w:val="20"/>
                <w:szCs w:val="20"/>
              </w:rPr>
              <w:t xml:space="preserve">RISKS / OPEN QUESTIONS</w:t>
            </w:r>
          </w:p>
        </w:tc>
      </w:tr>
      <w:tr>
        <w:trPr>
          <w:cantSplit w:val="false"/>
        </w:trPr>
        <w:tc>
          <w:tcPr>
            <w:tcW w:type="dxa" w:w="4680"/>
            <w:tcBorders>
              <w:top w:val="single" w:color="047857" w:sz="1"/>
              <w:left w:val="single" w:color="047857" w:sz="1"/>
              <w:bottom w:val="single" w:color="047857" w:sz="1"/>
              <w:right w:val="single" w:color="047857" w:sz="1"/>
            </w:tcBorders>
            <w:shd w:fill="F0FDF4" w:val="clear"/>
            <w:tcMar>
              <w:top w:type="dxa" w:w="160"/>
              <w:left w:type="dxa" w:w="200"/>
              <w:bottom w:type="dxa" w:w="160"/>
              <w:right w:type="dxa" w:w="200"/>
            </w:tcMar>
          </w:tcPr>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Targets the same three-way gap as Candidate One but through a more sophisticated architecture, which may yield stronger results on cross-system evaluation.</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The component-isolation ablation (hybrid pipeline versus single decoder) is a uniquely valuable scientific contribution that no existing paper provides.</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All architectural components are documented in published work, so the methodology is sound.</w:t>
            </w:r>
          </w:p>
          <w:p>
            <w:pPr>
              <w:spacing w:after="100" w:before="0" w:line="300"/>
              <w:ind w:left="200" w:hanging="200"/>
              <w:jc w:val="both"/>
            </w:pPr>
            <w:r>
              <w:rPr>
                <w:rFonts w:ascii="Calibri" w:cs="Calibri" w:eastAsia="Calibri" w:hAnsi="Calibri"/>
                <w:b/>
                <w:bCs/>
                <w:i w:val="false"/>
                <w:iCs w:val="false"/>
                <w:caps w:val="false"/>
                <w:color w:val="047857"/>
                <w:sz w:val="20"/>
                <w:szCs w:val="20"/>
              </w:rPr>
              <w:t xml:space="preserve">▸  </w:t>
            </w:r>
            <w:r>
              <w:rPr>
                <w:rFonts w:ascii="Calibri" w:cs="Calibri" w:eastAsia="Calibri" w:hAnsi="Calibri"/>
                <w:b w:val="false"/>
                <w:bCs w:val="false"/>
                <w:i w:val="false"/>
                <w:iCs w:val="false"/>
                <w:caps w:val="false"/>
                <w:color w:val="1F2937"/>
                <w:sz w:val="20"/>
                <w:szCs w:val="20"/>
              </w:rPr>
              <w:t xml:space="preserve">Strong narrative for a journal submission: efficiency (small models), generalization (cross-system), and reliability (calibration) — three pillars that map directly to operational needs.</w:t>
            </w:r>
          </w:p>
        </w:tc>
        <w:tc>
          <w:tcPr>
            <w:tcW w:type="dxa" w:w="4680"/>
            <w:tcBorders>
              <w:top w:val="single" w:color="C2410C" w:sz="1"/>
              <w:left w:val="single" w:color="C2410C" w:sz="1"/>
              <w:bottom w:val="single" w:color="C2410C" w:sz="1"/>
              <w:right w:val="single" w:color="C2410C" w:sz="1"/>
            </w:tcBorders>
            <w:shd w:fill="FEF2F2" w:val="clear"/>
            <w:tcMar>
              <w:top w:type="dxa" w:w="160"/>
              <w:left w:type="dxa" w:w="200"/>
              <w:bottom w:type="dxa" w:w="160"/>
              <w:right w:type="dxa" w:w="200"/>
            </w:tcMar>
          </w:tcPr>
          <w:p>
            <w:pPr>
              <w:spacing w:after="100" w:before="0" w:line="300"/>
              <w:ind w:left="200" w:hanging="200"/>
              <w:jc w:val="both"/>
            </w:pPr>
            <w:r>
              <w:rPr>
                <w:rFonts w:ascii="Calibri" w:cs="Calibri" w:eastAsia="Calibri" w:hAnsi="Calibri"/>
                <w:b/>
                <w:bCs/>
                <w:i w:val="false"/>
                <w:iCs w:val="false"/>
                <w:caps w:val="false"/>
                <w:color w:val="C2410C"/>
                <w:sz w:val="20"/>
                <w:szCs w:val="20"/>
              </w:rPr>
              <w:t xml:space="preserve">▸  </w:t>
            </w:r>
            <w:r>
              <w:rPr>
                <w:rFonts w:ascii="Calibri" w:cs="Calibri" w:eastAsia="Calibri" w:hAnsi="Calibri"/>
                <w:b w:val="false"/>
                <w:bCs w:val="false"/>
                <w:i w:val="false"/>
                <w:iCs w:val="false"/>
                <w:caps w:val="false"/>
                <w:color w:val="1F2937"/>
                <w:sz w:val="20"/>
                <w:szCs w:val="20"/>
              </w:rPr>
              <w:t xml:space="preserve">Implementation is more involved than Candidate One because three components must be trained in coordination (encoder, projector, decoder).</w:t>
            </w:r>
          </w:p>
          <w:p>
            <w:pPr>
              <w:spacing w:after="100" w:before="0" w:line="300"/>
              <w:ind w:left="200" w:hanging="200"/>
              <w:jc w:val="both"/>
            </w:pPr>
            <w:r>
              <w:rPr>
                <w:rFonts w:ascii="Calibri" w:cs="Calibri" w:eastAsia="Calibri" w:hAnsi="Calibri"/>
                <w:b/>
                <w:bCs/>
                <w:i w:val="false"/>
                <w:iCs w:val="false"/>
                <w:caps w:val="false"/>
                <w:color w:val="C2410C"/>
                <w:sz w:val="20"/>
                <w:szCs w:val="20"/>
              </w:rPr>
              <w:t xml:space="preserve">▸  </w:t>
            </w:r>
            <w:r>
              <w:rPr>
                <w:rFonts w:ascii="Calibri" w:cs="Calibri" w:eastAsia="Calibri" w:hAnsi="Calibri"/>
                <w:b w:val="false"/>
                <w:bCs w:val="false"/>
                <w:i w:val="false"/>
                <w:iCs w:val="false"/>
                <w:caps w:val="false"/>
                <w:color w:val="1F2937"/>
                <w:sz w:val="20"/>
                <w:szCs w:val="20"/>
              </w:rPr>
              <w:t xml:space="preserve">If the hybrid pipeline does not exceed the single-decoder variant in the ablation, the contribution narrative weakens — although a negative result here is itself scientifically valuable.</w:t>
            </w:r>
          </w:p>
          <w:p>
            <w:pPr>
              <w:spacing w:after="100" w:before="0" w:line="300"/>
              <w:ind w:left="200" w:hanging="200"/>
              <w:jc w:val="both"/>
            </w:pPr>
            <w:r>
              <w:rPr>
                <w:rFonts w:ascii="Calibri" w:cs="Calibri" w:eastAsia="Calibri" w:hAnsi="Calibri"/>
                <w:b/>
                <w:bCs/>
                <w:i w:val="false"/>
                <w:iCs w:val="false"/>
                <w:caps w:val="false"/>
                <w:color w:val="C2410C"/>
                <w:sz w:val="20"/>
                <w:szCs w:val="20"/>
              </w:rPr>
              <w:t xml:space="preserve">▸  </w:t>
            </w:r>
            <w:r>
              <w:rPr>
                <w:rFonts w:ascii="Calibri" w:cs="Calibri" w:eastAsia="Calibri" w:hAnsi="Calibri"/>
                <w:b w:val="false"/>
                <w:bCs w:val="false"/>
                <w:i w:val="false"/>
                <w:iCs w:val="false"/>
                <w:caps w:val="false"/>
                <w:color w:val="1F2937"/>
                <w:sz w:val="20"/>
                <w:szCs w:val="20"/>
              </w:rPr>
              <w:t xml:space="preserve">The three-stage training has more hyperparameters to tune, which may require more experimental iterations.</w:t>
            </w:r>
          </w:p>
        </w:tc>
      </w:tr>
    </w:tbl>
    <w:p>
      <w:pPr>
        <w:spacing w:after="240"/>
      </w:pPr>
      <w:r>
        <w:rPr>
          <w:rFonts w:ascii="Calibri" w:cs="Calibri" w:eastAsia="Calibri" w:hAnsi="Calibri"/>
          <w:b w:val="false"/>
          <w:bCs w:val="false"/>
          <w:i w:val="false"/>
          <w:iCs w:val="false"/>
          <w:caps w:val="false"/>
          <w:color w:val="1F2937"/>
          <w:sz w:val="22"/>
          <w:szCs w:val="22"/>
        </w:rPr>
        <w:t xml:space="preserve"/>
      </w:r>
    </w:p>
    <w:p>
      <w:pPr>
        <w:pStyle w:val="Heading2"/>
        <w:spacing w:after="180" w:before="360"/>
      </w:pPr>
      <w:r>
        <w:rPr>
          <w:rFonts w:ascii="Calibri" w:cs="Calibri" w:eastAsia="Calibri" w:hAnsi="Calibri"/>
          <w:b/>
          <w:bCs/>
          <w:i w:val="false"/>
          <w:iCs w:val="false"/>
          <w:caps w:val="false"/>
          <w:color w:val="1F3A5F"/>
          <w:sz w:val="26"/>
          <w:szCs w:val="26"/>
        </w:rPr>
        <w:t xml:space="preserve">Recommended Target Venue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IEEE Transactions on Network and Service Management (Q1), or IEEE Open Journal of the Computer Society (Q1) for a more open-access route.</w:t>
      </w:r>
    </w:p>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7.  Side-by-Side Comparison</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The two candidates differ along several axes. The following table presents these differences concisely to support an informed selection.</w:t>
      </w:r>
    </w:p>
    <w:p>
      <w:pPr>
        <w:spacing w:after="200"/>
      </w:pPr>
      <w:r>
        <w:rPr>
          <w:rFonts w:ascii="Calibri" w:cs="Calibri" w:eastAsia="Calibri" w:hAnsi="Calibri"/>
          <w:b w:val="false"/>
          <w:bCs w:val="false"/>
          <w:i w:val="false"/>
          <w:iCs w:val="false"/>
          <w:cap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250"/>
        <w:gridCol w:w="3250"/>
      </w:tblGrid>
      <w:tr>
        <w:trPr>
          <w:tblHeader/>
        </w:trPr>
        <w:tc>
          <w:tcPr>
            <w:tcW w:type="dxa" w:w="2860"/>
            <w:tcBorders>
              <w:top w:val="single" w:color="1F3A5F" w:sz="4"/>
              <w:left w:val="single" w:color="1F3A5F" w:sz="4"/>
              <w:bottom w:val="single" w:color="1F3A5F" w:sz="4"/>
              <w:right w:val="single" w:color="1F3A5F" w:sz="4"/>
            </w:tcBorders>
            <w:shd w:fill="1F3A5F" w:val="clear"/>
            <w:tcMar>
              <w:top w:type="dxa" w:w="140"/>
              <w:left w:type="dxa" w:w="200"/>
              <w:bottom w:type="dxa" w:w="140"/>
              <w:right w:type="dxa" w:w="200"/>
            </w:tcMar>
          </w:tcPr>
          <w:p>
            <w:pPr>
              <w:spacing w:after="0"/>
              <w:jc w:val="left"/>
            </w:pPr>
            <w:r>
              <w:rPr>
                <w:rFonts w:ascii="Calibri" w:cs="Calibri" w:eastAsia="Calibri" w:hAnsi="Calibri"/>
                <w:b/>
                <w:bCs/>
                <w:i w:val="false"/>
                <w:iCs w:val="false"/>
                <w:caps w:val="false"/>
                <w:color w:val="FFFFFF"/>
                <w:spacing w:val="60"/>
                <w:sz w:val="18"/>
                <w:szCs w:val="18"/>
              </w:rPr>
              <w:t xml:space="preserve">DIMENSION</w:t>
            </w:r>
          </w:p>
        </w:tc>
        <w:tc>
          <w:tcPr>
            <w:tcW w:type="dxa" w:w="3250"/>
            <w:tcBorders>
              <w:top w:val="single" w:color="1F3A5F" w:sz="4"/>
              <w:left w:val="single" w:color="1F3A5F" w:sz="4"/>
              <w:bottom w:val="single" w:color="1F3A5F" w:sz="4"/>
              <w:right w:val="single" w:color="1F3A5F" w:sz="4"/>
            </w:tcBorders>
            <w:shd w:fill="1F3A5F" w:val="clear"/>
            <w:tcMar>
              <w:top w:type="dxa" w:w="140"/>
              <w:left w:type="dxa" w:w="200"/>
              <w:bottom w:type="dxa" w:w="140"/>
              <w:right w:type="dxa" w:w="200"/>
            </w:tcMar>
          </w:tcPr>
          <w:p>
            <w:pPr>
              <w:spacing w:after="0"/>
              <w:jc w:val="left"/>
            </w:pPr>
            <w:r>
              <w:rPr>
                <w:rFonts w:ascii="Calibri" w:cs="Calibri" w:eastAsia="Calibri" w:hAnsi="Calibri"/>
                <w:b/>
                <w:bCs/>
                <w:i w:val="false"/>
                <w:iCs w:val="false"/>
                <w:caps w:val="false"/>
                <w:color w:val="FFFFFF"/>
                <w:spacing w:val="60"/>
                <w:sz w:val="18"/>
                <w:szCs w:val="18"/>
              </w:rPr>
              <w:t xml:space="preserve">CANDIDATE ONE</w:t>
            </w:r>
          </w:p>
        </w:tc>
        <w:tc>
          <w:tcPr>
            <w:tcW w:type="dxa" w:w="3250"/>
            <w:tcBorders>
              <w:top w:val="single" w:color="B91C1C" w:sz="4"/>
              <w:left w:val="single" w:color="B91C1C" w:sz="4"/>
              <w:bottom w:val="single" w:color="B91C1C" w:sz="4"/>
              <w:right w:val="single" w:color="B91C1C" w:sz="4"/>
            </w:tcBorders>
            <w:shd w:fill="B91C1C" w:val="clear"/>
            <w:tcMar>
              <w:top w:type="dxa" w:w="140"/>
              <w:left w:type="dxa" w:w="200"/>
              <w:bottom w:type="dxa" w:w="140"/>
              <w:right w:type="dxa" w:w="200"/>
            </w:tcMar>
          </w:tcPr>
          <w:p>
            <w:pPr>
              <w:spacing w:after="0"/>
              <w:jc w:val="left"/>
            </w:pPr>
            <w:r>
              <w:rPr>
                <w:rFonts w:ascii="Calibri" w:cs="Calibri" w:eastAsia="Calibri" w:hAnsi="Calibri"/>
                <w:b/>
                <w:bCs/>
                <w:i w:val="false"/>
                <w:iCs w:val="false"/>
                <w:caps w:val="false"/>
                <w:color w:val="FFFFFF"/>
                <w:spacing w:val="60"/>
                <w:sz w:val="18"/>
                <w:szCs w:val="18"/>
              </w:rPr>
              <w:t xml:space="preserve">CANDIDATE TWO</w:t>
            </w:r>
          </w:p>
        </w:tc>
      </w:tr>
      <w:tr>
        <w:tc>
          <w:tcPr>
            <w:tcW w:type="dxa" w:w="2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Anchor papers</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LogFiT (Q1, TNSM 2024) + LogTinyLLM (2025)</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LogLLM (2024) + LogTinyLLM (2025)</w:t>
            </w:r>
          </w:p>
        </w:tc>
      </w:tr>
      <w:tr>
        <w:tc>
          <w:tcPr>
            <w:tcW w:type="dxa" w:w="2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Backbone</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Single modern decoder SLM (Qwen-2.5-1.5B)</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Hybrid: BERT encoder + projector + decoder SLM</w:t>
            </w:r>
          </w:p>
        </w:tc>
      </w:tr>
      <w:tr>
        <w:tc>
          <w:tcPr>
            <w:tcW w:type="dxa" w:w="2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Fine-tuning</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QLoRA on the decoder</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QLoRA across all trainable components</w:t>
            </w:r>
          </w:p>
        </w:tc>
      </w:tr>
      <w:tr>
        <w:tc>
          <w:tcPr>
            <w:tcW w:type="dxa" w:w="2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Cross-system evaluation</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Yes — central contribution</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Yes — central contribution</w:t>
            </w:r>
          </w:p>
        </w:tc>
      </w:tr>
      <w:tr>
        <w:tc>
          <w:tcPr>
            <w:tcW w:type="dxa" w:w="2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Calibration</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Yes — temperature scaling, ECE reported</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Yes — temperature scaling, ECE reported</w:t>
            </w:r>
          </w:p>
        </w:tc>
      </w:tr>
      <w:tr>
        <w:tc>
          <w:tcPr>
            <w:tcW w:type="dxa" w:w="2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Architectural complexity</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Lower — single backbone</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Higher — three coordinated components</w:t>
            </w:r>
          </w:p>
        </w:tc>
      </w:tr>
      <w:tr>
        <w:tc>
          <w:tcPr>
            <w:tcW w:type="dxa" w:w="2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Direct venue precedent</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Very strong (extends LogFiT in same journal)</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Strong (LogLLM has comparable scope)</w:t>
            </w:r>
          </w:p>
        </w:tc>
      </w:tr>
      <w:tr>
        <w:tc>
          <w:tcPr>
            <w:tcW w:type="dxa" w:w="2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Component-isolation ablation</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Standard ablation of additions</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Hybrid vs single-decoder ablation (uniquely valuable)</w:t>
            </w:r>
          </w:p>
        </w:tc>
      </w:tr>
      <w:tr>
        <w:tc>
          <w:tcPr>
            <w:tcW w:type="dxa" w:w="2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Primary risk</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Modest novelty if backbone change alone does not yield clear gains</w:t>
            </w:r>
          </w:p>
        </w:tc>
        <w:tc>
          <w:tcPr>
            <w:tcW w:type="dxa" w:w="325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Coordination complexity across three components</w:t>
            </w:r>
          </w:p>
        </w:tc>
      </w:tr>
      <w:tr>
        <w:tc>
          <w:tcPr>
            <w:tcW w:type="dxa" w:w="2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vAlign w:val="center"/>
          </w:tcPr>
          <w:p>
            <w:pPr>
              <w:spacing w:after="0" w:line="280"/>
            </w:pPr>
            <w:r>
              <w:rPr>
                <w:rFonts w:ascii="Calibri" w:cs="Calibri" w:eastAsia="Calibri" w:hAnsi="Calibri"/>
                <w:b/>
                <w:bCs/>
                <w:i w:val="false"/>
                <w:iCs w:val="false"/>
                <w:caps w:val="false"/>
                <w:color w:val="1F3A5F"/>
                <w:sz w:val="19"/>
                <w:szCs w:val="19"/>
              </w:rPr>
              <w:t xml:space="preserve">Recommended target venue</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IEEE TNSM (Q1)</w:t>
            </w:r>
          </w:p>
        </w:tc>
        <w:tc>
          <w:tcPr>
            <w:tcW w:type="dxa" w:w="325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val="false"/>
                <w:bCs w:val="false"/>
                <w:i w:val="false"/>
                <w:iCs w:val="false"/>
                <w:caps w:val="false"/>
                <w:color w:val="1F2937"/>
                <w:sz w:val="19"/>
                <w:szCs w:val="19"/>
              </w:rPr>
              <w:t xml:space="preserve">IEEE TNSM (Q1) or IEEE OJCS (Q1)</w:t>
            </w:r>
          </w:p>
        </w:tc>
      </w:tr>
    </w:tbl>
    <w:p>
      <w:r>
        <w:br w:type="page"/>
      </w:r>
    </w:p>
    <w:p>
      <w:pPr>
        <w:pStyle w:val="Heading1"/>
        <w:spacing w:after="240" w:before="480"/>
      </w:pPr>
      <w:r>
        <w:rPr>
          <w:rFonts w:ascii="Calibri" w:cs="Calibri" w:eastAsia="Calibri" w:hAnsi="Calibri"/>
          <w:b/>
          <w:bCs/>
          <w:i w:val="false"/>
          <w:iCs w:val="false"/>
          <w:caps w:val="false"/>
          <w:color w:val="1F3A5F"/>
          <w:sz w:val="32"/>
          <w:szCs w:val="32"/>
        </w:rPr>
        <w:t xml:space="preserve">8.  Recommendation and Next Step</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Both candidates are scientifically defensible, both address documented research gaps, and both would produce a study suitable for submission to a recognized international journal. The choice between them is a matter of strategic positioning rather than scientific merit.</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Candidate One offers a lower-risk path with a clearer venue precedent: it extends a Q1-published paper in its own venue, the methodological steps are well-documented, and the contribution narrative (modern backbone, cross-system protocol, calibration) is easy for reviewers to evaluate. It is recommended when the priority is a high probability of acceptance with a focused, well-bounded scope.</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Candidate Two offers a more ambitious path with a richer methodological story: the hybrid encoder-decoder architecture, the component-isolation ablation, and the cross-system evaluation together produce a contribution that is novel in multiple dimensions. It is recommended when the priority is methodological depth and the production of a study with broader scientific reach.</w:t>
      </w:r>
    </w:p>
    <w:p>
      <w:pPr>
        <w:spacing w:after="160" w:before="0" w:line="320"/>
        <w:jc w:val="both"/>
      </w:pPr>
      <w:r>
        <w:rPr>
          <w:rFonts w:ascii="Calibri" w:cs="Calibri" w:eastAsia="Calibri" w:hAnsi="Calibri"/>
          <w:b w:val="false"/>
          <w:bCs w:val="false"/>
          <w:i w:val="false"/>
          <w:iCs w:val="false"/>
          <w:caps w:val="false"/>
          <w:color w:val="1F2937"/>
          <w:sz w:val="22"/>
          <w:szCs w:val="22"/>
        </w:rPr>
        <w:t xml:space="preserve">A reasonable strategy would be to begin with the shared groundwork (reproducing the relevant baselines, preparing the cross-system protocol, integrating the calibration layer) before committing fully to either path. After the first weeks of work, the empirical signal from initial experiments will indicate which candidate is more promising in practice. Your judgment on the final selection would be appreciated.</w:t>
      </w:r>
    </w:p>
    <w:p>
      <w:pPr>
        <w:spacing w:after="360"/>
      </w:pPr>
      <w:r>
        <w:rPr>
          <w:rFonts w:ascii="Calibri" w:cs="Calibri" w:eastAsia="Calibri" w:hAnsi="Calibri"/>
          <w:b w:val="false"/>
          <w:bCs w:val="false"/>
          <w:i w:val="false"/>
          <w:iCs w:val="false"/>
          <w:caps w:val="false"/>
          <w:color w:val="1F2937"/>
          <w:sz w:val="22"/>
          <w:szCs w:val="22"/>
        </w:rPr>
        <w:t xml:space="preserve"/>
      </w:r>
    </w:p>
    <w:p>
      <w:pPr>
        <w:spacing w:after="120" w:before="240"/>
        <w:jc w:val="center"/>
      </w:pPr>
      <w:r>
        <w:rPr>
          <w:rFonts w:ascii="Calibri" w:cs="Calibri" w:eastAsia="Calibri" w:hAnsi="Calibri"/>
          <w:b/>
          <w:bCs/>
          <w:i w:val="false"/>
          <w:iCs w:val="false"/>
          <w:caps w:val="false"/>
          <w:color w:val="6B7280"/>
          <w:spacing w:val="100"/>
          <w:sz w:val="18"/>
          <w:szCs w:val="18"/>
        </w:rPr>
        <w:t xml:space="preserve">— END OF PROPOSAL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aps w:val="false"/>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spacing w:after="60"/>
      <w:jc w:val="right"/>
    </w:pPr>
    <w:r>
      <w:rPr>
        <w:rFonts w:ascii="Calibri" w:cs="Calibri" w:eastAsia="Calibri" w:hAnsi="Calibri"/>
        <w:b w:val="false"/>
        <w:bCs w:val="false"/>
        <w:i/>
        <w:iCs/>
        <w:caps w:val="false"/>
        <w:color w:val="6B7280"/>
        <w:sz w:val="16"/>
        <w:szCs w:val="16"/>
      </w:rPr>
      <w:t xml:space="preserve">Research Proposal  •  Cross-System Log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40" w:before="280"/>
      <w:outlineLvl w:val="2"/>
    </w:pPr>
    <w:rPr>
      <w:rFonts w:ascii="Calibri" w:cs="Calibri" w:eastAsia="Calibri" w:hAnsi="Calibri"/>
      <w:b/>
      <w:bCs/>
      <w:color w:val="B9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Two Candidate Method-Combination Strategies</dc:title>
  <dc:creator>Author</dc:creator>
  <dc:description>Method selection stage for a cross-system log anomaly detection study</dc:description>
  <cp:lastModifiedBy>Un-named</cp:lastModifiedBy>
  <cp:revision>1</cp:revision>
  <dcterms:created xsi:type="dcterms:W3CDTF">2026-05-24T02:10:15.130Z</dcterms:created>
  <dcterms:modified xsi:type="dcterms:W3CDTF">2026-05-24T02:10:15.142Z</dcterms:modified>
</cp:coreProperties>
</file>

<file path=docProps/custom.xml><?xml version="1.0" encoding="utf-8"?>
<Properties xmlns="http://schemas.openxmlformats.org/officeDocument/2006/custom-properties" xmlns:vt="http://schemas.openxmlformats.org/officeDocument/2006/docPropsVTypes"/>
</file>