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EB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312" w:afterLines="100" w:line="240" w:lineRule="auto"/>
        <w:ind w:left="0" w:leftChars="0" w:right="0" w:rightChars="0" w:firstLine="0" w:firstLineChars="0"/>
        <w:jc w:val="both"/>
        <w:textAlignment w:val="auto"/>
        <w:outlineLvl w:val="9"/>
      </w:pPr>
      <w:r>
        <w:pict>
          <v:rect id="_x0000_s1031" o:spid="_x0000_s1031" o:spt="1" style="position:absolute;left:0pt;margin-left:14.95pt;margin-top:-8.95pt;height:70.4pt;width:268.25pt;mso-wrap-distance-bottom:0pt;mso-wrap-distance-left:9pt;mso-wrap-distance-right:9pt;mso-wrap-distance-top:0pt;z-index:251661312;mso-width-relative:page;mso-height-relative:page;" fillcolor="#FFFFFF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 style="mso-fit-shape-to-text:t;">
              <w:txbxContent>
                <w:p w14:paraId="603F373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Lines="0" w:after="312" w:afterLines="100" w:line="240" w:lineRule="auto"/>
                    <w:ind w:left="0" w:leftChars="0" w:right="0" w:rightChars="0" w:firstLine="0" w:firstLineChars="0"/>
                    <w:jc w:val="both"/>
                    <w:textAlignment w:val="auto"/>
                    <w:outlineLvl w:val="9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default"/>
                      <w:sz w:val="22"/>
                      <w:szCs w:val="22"/>
                      <w:lang w:val="en-US"/>
                    </w:rPr>
                    <w:t>UNITED STATES INTERNATIONAL UNIVERSTIY-AFRICA</w:t>
                  </w:r>
                </w:p>
              </w:txbxContent>
            </v:textbox>
            <w10:wrap type="square"/>
          </v:rect>
        </w:pict>
      </w:r>
      <w:r>
        <w:pict>
          <v:shape id="_x0000_s1029" o:spid="_x0000_s1029" o:spt="202" type="#_x0000_t202" style="position:absolute;left:0pt;margin-left:-281.7pt;margin-top:114.95pt;height:194.95pt;width:424.3pt;z-index:251660288;mso-width-relative:page;mso-height-relative:page;" fillcolor="#FFFFFF" filled="f" stroked="f" coordsize="21600,21600">
            <v:path/>
            <v:fill on="f" color2="#FFFFFF" o:opacity2="65536f" focussize="0,0"/>
            <v:stroke on="f"/>
            <v:imagedata o:title=""/>
            <o:lock v:ext="edit" grouping="f" rotation="f" text="f" aspectratio="f"/>
            <v:textbox>
              <w:txbxContent>
                <w:p w14:paraId="554563A8">
                  <w:pPr>
                    <w:pStyle w:val="11"/>
                    <w:ind w:left="0" w:leftChars="0" w:right="0" w:rightChars="0" w:firstLine="0" w:firstLineChars="0"/>
                    <w:jc w:val="both"/>
                    <w:rPr>
                      <w:rFonts w:hint="default"/>
                      <w:color w:val="800080"/>
                      <w:sz w:val="80"/>
                      <w:lang w:val="en-US"/>
                    </w:rPr>
                  </w:pPr>
                  <w:r>
                    <w:rPr>
                      <w:rFonts w:hint="default"/>
                      <w:color w:val="800080"/>
                      <w:sz w:val="80"/>
                      <w:lang w:val="en-US"/>
                    </w:rPr>
                    <w:t>IST 4040A</w:t>
                  </w:r>
                </w:p>
                <w:p w14:paraId="044322CD">
                  <w:pPr>
                    <w:pStyle w:val="11"/>
                    <w:ind w:left="0" w:leftChars="0" w:right="0" w:rightChars="0" w:firstLine="0" w:firstLineChars="0"/>
                    <w:jc w:val="both"/>
                    <w:rPr>
                      <w:rFonts w:hint="default"/>
                      <w:color w:val="800080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color w:val="800080"/>
                      <w:sz w:val="28"/>
                      <w:szCs w:val="28"/>
                      <w:lang w:val="en-US"/>
                    </w:rPr>
                    <w:t>JOHN ERIC CHEGE MWANGI-660407</w:t>
                  </w:r>
                </w:p>
                <w:p w14:paraId="368E6016">
                  <w:pPr>
                    <w:pStyle w:val="11"/>
                    <w:ind w:left="0" w:leftChars="0" w:right="0" w:rightChars="0" w:firstLine="0" w:firstLineChars="0"/>
                    <w:jc w:val="both"/>
                    <w:rPr>
                      <w:rFonts w:hint="default"/>
                      <w:color w:val="800080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color w:val="800080"/>
                      <w:sz w:val="28"/>
                      <w:szCs w:val="28"/>
                      <w:lang w:val="en-US"/>
                    </w:rPr>
                    <w:t>GATHERU MARK NDIRITU-664088</w:t>
                  </w:r>
                </w:p>
                <w:p w14:paraId="35858DE2">
                  <w:pPr>
                    <w:pStyle w:val="11"/>
                    <w:ind w:left="0" w:leftChars="0" w:right="0" w:rightChars="0" w:firstLine="0" w:firstLineChars="0"/>
                    <w:jc w:val="both"/>
                    <w:rPr>
                      <w:rFonts w:hint="default"/>
                      <w:color w:val="800080"/>
                      <w:sz w:val="28"/>
                      <w:szCs w:val="28"/>
                      <w:lang w:val="en-US"/>
                    </w:rPr>
                  </w:pPr>
                  <w:r>
                    <w:rPr>
                      <w:rFonts w:hint="default"/>
                      <w:color w:val="800080"/>
                      <w:sz w:val="28"/>
                      <w:szCs w:val="28"/>
                      <w:lang w:val="en-US"/>
                    </w:rPr>
                    <w:t>MUNA OSMAN-674267</w:t>
                  </w:r>
                </w:p>
              </w:txbxContent>
            </v:textbox>
          </v:shape>
        </w:pict>
      </w:r>
      <w:bookmarkStart w:id="0" w:name="_GoBack"/>
      <w:r>
        <w:rPr>
          <w:rFonts w:hint="eastAsia" w:eastAsia="SimSun"/>
          <w:lang w:eastAsia="zh-CN"/>
        </w:rPr>
        <w:pict>
          <v:shape id="_x0000_s1030" o:spid="_x0000_s1030" o:spt="75" type="#_x0000_t75" style="position:absolute;left:0pt;height:792.95pt;width:612.45pt;mso-position-horizontal:left;mso-position-horizontal-relative:page;mso-position-vertical:top;mso-position-vertical-relative:page;z-index:-251657216;mso-width-relative:page;mso-height-relative:page;" filled="f" o:preferrelative="t" stroked="f" coordsize="21600,21600">
            <v:path/>
            <v:fill on="f" focussize="0,0"/>
            <v:stroke on="f"/>
            <v:imagedata r:id="rId4" o:title="未标题-2"/>
            <o:lock v:ext="edit" grouping="f" rotation="f" text="f" aspectratio="t"/>
          </v:shape>
        </w:pict>
      </w:r>
      <w:bookmarkEnd w:id="0"/>
    </w:p>
    <w:p w14:paraId="6152786C">
      <w:pPr>
        <w:pStyle w:val="2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9B7EC2F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b/>
          <w:bCs/>
          <w:sz w:val="28"/>
          <w:szCs w:val="28"/>
        </w:rPr>
        <w:t>Proposal: Intelligent Hospital Triage Decision Support System (DSS)</w:t>
      </w:r>
    </w:p>
    <w:p w14:paraId="27B88C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1. Executive Summary</w:t>
      </w:r>
    </w:p>
    <w:p w14:paraId="35DFD78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Healthcare institutions today must manage urgent patient needs while working within limited resources. This proposal introduces an Intelligent Triage Decision Support System (DSS) that integrates machine learning with real-time data visualization to enhance decision-making.</w:t>
      </w:r>
    </w:p>
    <w:p w14:paraId="007C33F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will provide both clinical and administrative staff with timely, data-driven insights by predicting patient urgency as well as resource requirements such as treatment time and cost. As a result, it will minimize operational bottlenecks and ensure that critically ill patients receive prompt attention.</w:t>
      </w:r>
    </w:p>
    <w:p w14:paraId="011788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2. Project Objective</w:t>
      </w:r>
    </w:p>
    <w:p w14:paraId="524DBC3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goal of this project is to replace traditional manual triage methods with a more efficient, data-driven approach. The proposed DSS will:</w:t>
      </w:r>
    </w:p>
    <w:p w14:paraId="59A131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Categorize incoming patients according to predicted urgency levels. </w:t>
      </w:r>
    </w:p>
    <w:p w14:paraId="7384AA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Estimate patient length of stay and expected billing costs to support resource planning. </w:t>
      </w:r>
    </w:p>
    <w:p w14:paraId="7B8A61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Present key hospital metrics through interactive visual dashboards for informed decision-making. </w:t>
      </w:r>
    </w:p>
    <w:p w14:paraId="769E5EB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5B391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3. Predictive Modeling Framework</w:t>
      </w:r>
    </w:p>
    <w:p w14:paraId="552126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A. Classification Model: Urgency and Outcome Prediction</w:t>
      </w:r>
    </w:p>
    <w:p w14:paraId="718F78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Target Variable:</w:t>
      </w:r>
      <w:r>
        <w:rPr>
          <w:rFonts w:hint="default" w:ascii="Times New Roman" w:hAnsi="Times New Roman" w:cs="Times New Roman"/>
          <w:sz w:val="24"/>
          <w:szCs w:val="24"/>
        </w:rPr>
        <w:t xml:space="preserve"> Admission Type (Emergency, Urgent, Elective) or Test Results (Normal, Abnormal). </w:t>
      </w:r>
    </w:p>
    <w:p w14:paraId="6920C9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Objective:</w:t>
      </w:r>
      <w:r>
        <w:rPr>
          <w:rFonts w:hint="default" w:ascii="Times New Roman" w:hAnsi="Times New Roman" w:cs="Times New Roman"/>
          <w:sz w:val="24"/>
          <w:szCs w:val="24"/>
        </w:rPr>
        <w:t xml:space="preserve"> To assess the severity of a patient’s condition at the point of entry. </w:t>
      </w:r>
    </w:p>
    <w:p w14:paraId="41208A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Algorithms:</w:t>
      </w:r>
      <w:r>
        <w:rPr>
          <w:rFonts w:hint="default" w:ascii="Times New Roman" w:hAnsi="Times New Roman" w:cs="Times New Roman"/>
          <w:sz w:val="24"/>
          <w:szCs w:val="24"/>
        </w:rPr>
        <w:t xml:space="preserve"> Random Forest Classifier or Gradient Boosting (XGBoost). </w:t>
      </w:r>
    </w:p>
    <w:p w14:paraId="75F83C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By rapidly identifying high-risk patients using factors such as age, gender, and medical condition, the system enables early prioritization of care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even before detailed diagnostic tests are completed. </w:t>
      </w:r>
    </w:p>
    <w:p w14:paraId="5B6F91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EB378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B. Regression Model: Resource and Cost Estimation</w:t>
      </w:r>
    </w:p>
    <w:p w14:paraId="6695A3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Target Variable:</w:t>
      </w:r>
      <w:r>
        <w:rPr>
          <w:rFonts w:hint="default" w:ascii="Times New Roman" w:hAnsi="Times New Roman" w:cs="Times New Roman"/>
          <w:sz w:val="24"/>
          <w:szCs w:val="24"/>
        </w:rPr>
        <w:t xml:space="preserve"> Billing Amount and Length of Stay. </w:t>
      </w:r>
    </w:p>
    <w:p w14:paraId="31AAA0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Objective:</w:t>
      </w:r>
      <w:r>
        <w:rPr>
          <w:rFonts w:hint="default" w:ascii="Times New Roman" w:hAnsi="Times New Roman" w:cs="Times New Roman"/>
          <w:sz w:val="24"/>
          <w:szCs w:val="24"/>
        </w:rPr>
        <w:t xml:space="preserve"> To forecast treatment costs and duration of hospital occupancy. </w:t>
      </w:r>
    </w:p>
    <w:p w14:paraId="3402F7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Key Data Insight:</w:t>
      </w:r>
      <w:r>
        <w:rPr>
          <w:rFonts w:hint="default" w:ascii="Times New Roman" w:hAnsi="Times New Roman" w:cs="Times New Roman"/>
          <w:sz w:val="24"/>
          <w:szCs w:val="24"/>
        </w:rPr>
        <w:t xml:space="preserve"> Average patient stay is approximately 15.5 days, with an average billing cost of $25,539. </w:t>
      </w:r>
    </w:p>
    <w:p w14:paraId="7EBD8E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Algorithms:</w:t>
      </w:r>
      <w:r>
        <w:rPr>
          <w:rFonts w:hint="default" w:ascii="Times New Roman" w:hAnsi="Times New Roman" w:cs="Times New Roman"/>
          <w:sz w:val="24"/>
          <w:szCs w:val="24"/>
        </w:rPr>
        <w:t xml:space="preserve"> Linear Regression or Ridge Regression. </w:t>
      </w:r>
    </w:p>
    <w:p w14:paraId="11C48E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Impact:</w:t>
      </w:r>
      <w:r>
        <w:rPr>
          <w:rFonts w:hint="default" w:ascii="Times New Roman" w:hAnsi="Times New Roman" w:cs="Times New Roman"/>
          <w:sz w:val="24"/>
          <w:szCs w:val="24"/>
        </w:rPr>
        <w:t xml:space="preserve"> These predictions support better coordination with insurance providers and enable hospital management to anticipate revenue and optimize bed utilization. </w:t>
      </w:r>
    </w:p>
    <w:p w14:paraId="05EE7A0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3068F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4. Decision-Making Framework</w:t>
      </w:r>
    </w:p>
    <w:p w14:paraId="2EE931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A. Key Stakeholders</w:t>
      </w:r>
    </w:p>
    <w:p w14:paraId="680D55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Triage Nurses:</w:t>
      </w:r>
      <w:r>
        <w:rPr>
          <w:rFonts w:hint="default" w:ascii="Times New Roman" w:hAnsi="Times New Roman" w:cs="Times New Roman"/>
          <w:sz w:val="24"/>
          <w:szCs w:val="24"/>
        </w:rPr>
        <w:t xml:space="preserve"> Use the DSS to support and validate patient prioritization decisions. </w:t>
      </w:r>
    </w:p>
    <w:p w14:paraId="08FED8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Hospital Administrators:</w:t>
      </w:r>
      <w:r>
        <w:rPr>
          <w:rFonts w:hint="default" w:ascii="Times New Roman" w:hAnsi="Times New Roman" w:cs="Times New Roman"/>
          <w:sz w:val="24"/>
          <w:szCs w:val="24"/>
        </w:rPr>
        <w:t xml:space="preserve"> Rely on forecasts to manage staffing and bed allocation. </w:t>
      </w:r>
    </w:p>
    <w:p w14:paraId="3BD0E8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Chief Financial Officers (CFOs):</w:t>
      </w:r>
      <w:r>
        <w:rPr>
          <w:rFonts w:hint="default" w:ascii="Times New Roman" w:hAnsi="Times New Roman" w:cs="Times New Roman"/>
          <w:sz w:val="24"/>
          <w:szCs w:val="24"/>
        </w:rPr>
        <w:t xml:space="preserve"> Utilize cost predictions to monitor cash flow and guide insurance negotiations. </w:t>
      </w:r>
    </w:p>
    <w:p w14:paraId="757701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Chief Medical Officers (CMOs):</w:t>
      </w:r>
      <w:r>
        <w:rPr>
          <w:rFonts w:hint="default" w:ascii="Times New Roman" w:hAnsi="Times New Roman" w:cs="Times New Roman"/>
          <w:sz w:val="24"/>
          <w:szCs w:val="24"/>
        </w:rPr>
        <w:t xml:space="preserve"> Analyze relationships between diagnoses and test outcomes to improve clinical practices. </w:t>
      </w:r>
    </w:p>
    <w:p w14:paraId="52D2F41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A665E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B. System Inputs and Outputs</w:t>
      </w:r>
    </w:p>
    <w:p w14:paraId="356505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Inputs:</w:t>
      </w:r>
    </w:p>
    <w:p w14:paraId="6C0E4AE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Patient Data: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Age, gender, blood type, medical condition </w:t>
      </w:r>
    </w:p>
    <w:p w14:paraId="602B5D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Administrative Data: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Insurance provider, admission type </w:t>
      </w:r>
    </w:p>
    <w:p w14:paraId="3C3F8A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Clinical Data: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Medication, initial test results </w:t>
      </w:r>
    </w:p>
    <w:p w14:paraId="108270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i w:val="0"/>
          <w:iCs w:val="0"/>
          <w:sz w:val="24"/>
          <w:szCs w:val="24"/>
        </w:rPr>
        <w:t>Outputs:</w:t>
      </w:r>
    </w:p>
    <w:p w14:paraId="5C309A3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Classification Results: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Priority score (1–High to 3–Low), likelihood of abnormal test results </w:t>
      </w:r>
    </w:p>
    <w:p w14:paraId="157E2F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Regression Results: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Estimated billing amount, projected discharge date </w:t>
      </w:r>
    </w:p>
    <w:p w14:paraId="26F0E4E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i w:val="0"/>
          <w:iCs w:val="0"/>
          <w:sz w:val="24"/>
          <w:szCs w:val="24"/>
        </w:rPr>
        <w:t>Operational Insights: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 xml:space="preserve"> S</w:t>
      </w:r>
      <w:r>
        <w:rPr>
          <w:rFonts w:hint="default" w:ascii="Times New Roman" w:hAnsi="Times New Roman" w:cs="Times New Roman"/>
          <w:sz w:val="24"/>
          <w:szCs w:val="24"/>
        </w:rPr>
        <w:t xml:space="preserve">uggested department or room allocation </w:t>
      </w:r>
    </w:p>
    <w:p w14:paraId="7BA2A0C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576108D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C. Decision Rules</w:t>
      </w:r>
    </w:p>
    <w:p w14:paraId="77C090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High Priority Case:</w:t>
      </w:r>
      <w:r>
        <w:rPr>
          <w:rFonts w:hint="default" w:ascii="Times New Roman" w:hAnsi="Times New Roman" w:cs="Times New Roman"/>
          <w:sz w:val="24"/>
          <w:szCs w:val="24"/>
        </w:rPr>
        <w:t xml:space="preserve"> Triggered when predicted urgency is “Emergency” and the patient has a high-risk condition (e.g., cancer or hypertension). </w:t>
      </w:r>
    </w:p>
    <w:p w14:paraId="6A44CE4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Resource Alert:</w:t>
      </w:r>
      <w:r>
        <w:rPr>
          <w:rFonts w:hint="default" w:ascii="Times New Roman" w:hAnsi="Times New Roman" w:cs="Times New Roman"/>
          <w:sz w:val="24"/>
          <w:szCs w:val="24"/>
        </w:rPr>
        <w:t xml:space="preserve"> Activated when predicted length of stay exceeds 20 days, indicating the need for long-term care planning. </w:t>
      </w:r>
    </w:p>
    <w:p w14:paraId="021BDA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Billing Review:</w:t>
      </w:r>
      <w:r>
        <w:rPr>
          <w:rFonts w:hint="default" w:ascii="Times New Roman" w:hAnsi="Times New Roman" w:cs="Times New Roman"/>
          <w:sz w:val="24"/>
          <w:szCs w:val="24"/>
        </w:rPr>
        <w:t xml:space="preserve"> Initiated if predicted costs differ from historical averages by more than 30%, prompting further insurance verification. </w:t>
      </w:r>
    </w:p>
    <w:p w14:paraId="656BDE0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2CFAC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5. Power BI Dashboard Design</w:t>
      </w:r>
    </w:p>
    <w:p w14:paraId="46F331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DSS will be supported by a real-time Power BI dashboard featuring four main components:</w:t>
      </w:r>
    </w:p>
    <w:p w14:paraId="548402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Command Center: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Displays live patient admissions categorized by urgency, highlighting critical cases with extended wait times. </w:t>
      </w:r>
    </w:p>
    <w:p w14:paraId="3B0882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Condition Heatmap:</w:t>
      </w:r>
      <w:r>
        <w:rPr>
          <w:rFonts w:hint="default" w:ascii="Times New Roman" w:hAnsi="Times New Roman" w:cs="Times New Roman"/>
          <w:sz w:val="24"/>
          <w:szCs w:val="24"/>
        </w:rPr>
        <w:t xml:space="preserve"> Visualizes the distribution of medical conditions to detect patterns, trends, or potential outbreaks. </w:t>
      </w:r>
    </w:p>
    <w:p w14:paraId="32B7CE7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Financial Analytics:</w:t>
      </w:r>
      <w:r>
        <w:rPr>
          <w:rFonts w:hint="default" w:ascii="Times New Roman" w:hAnsi="Times New Roman" w:cs="Times New Roman"/>
          <w:sz w:val="24"/>
          <w:szCs w:val="24"/>
        </w:rPr>
        <w:t xml:space="preserve"> Compares billing data across insurance providers and facilities to identify opportunities for cost optimization. </w:t>
      </w:r>
    </w:p>
    <w:p w14:paraId="2EAD3F3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Model Performance Monitoring:</w:t>
      </w:r>
      <w:r>
        <w:rPr>
          <w:rFonts w:hint="default" w:ascii="Times New Roman" w:hAnsi="Times New Roman" w:cs="Times New Roman"/>
          <w:sz w:val="24"/>
          <w:szCs w:val="24"/>
        </w:rPr>
        <w:t xml:space="preserve"> Tracks prediction accuracy and model reliability by comparing expected outcomes with actual results. </w:t>
      </w:r>
    </w:p>
    <w:p w14:paraId="4139458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278E5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6. Benefits and Return on Investment (ROI)</w:t>
      </w:r>
    </w:p>
    <w:p w14:paraId="723777B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Improved Clinical Efficiency:</w:t>
      </w:r>
      <w:r>
        <w:rPr>
          <w:rFonts w:hint="default" w:ascii="Times New Roman" w:hAnsi="Times New Roman" w:cs="Times New Roman"/>
          <w:sz w:val="24"/>
          <w:szCs w:val="24"/>
        </w:rPr>
        <w:t xml:space="preserve"> Reduces waiting times for critical patients, ensuring faster medical intervention. </w:t>
      </w:r>
    </w:p>
    <w:p w14:paraId="3E1429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Enhanced Financial Planning: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more accurate revenue projections based on predictive modeling (average ~$25.5K per patient). </w:t>
      </w:r>
    </w:p>
    <w:p w14:paraId="255946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Optimized Resource Utilization: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Enables proactive bed and capacity management by forecasting patient stay durations in advance. </w:t>
      </w:r>
    </w:p>
    <w:p w14:paraId="7496B84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4246C7"/>
    <w:multiLevelType w:val="multilevel"/>
    <w:tmpl w:val="AE4246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D842BB"/>
    <w:multiLevelType w:val="multilevel"/>
    <w:tmpl w:val="E7D84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AA3567"/>
    <w:multiLevelType w:val="multilevel"/>
    <w:tmpl w:val="EBAA35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CEF7C7F"/>
    <w:multiLevelType w:val="multilevel"/>
    <w:tmpl w:val="ECEF7C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561BED9"/>
    <w:multiLevelType w:val="multilevel"/>
    <w:tmpl w:val="0561B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A71C424"/>
    <w:multiLevelType w:val="multilevel"/>
    <w:tmpl w:val="1A71C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2459A7A"/>
    <w:multiLevelType w:val="multilevel"/>
    <w:tmpl w:val="52459A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4713309"/>
    <w:multiLevelType w:val="multilevel"/>
    <w:tmpl w:val="647133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82890A2"/>
    <w:multiLevelType w:val="singleLevel"/>
    <w:tmpl w:val="782890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7B36072"/>
    <w:rsid w:val="46364733"/>
    <w:rsid w:val="4AF6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SimSun" w:cs="Times New Roman"/>
      <w:kern w:val="2"/>
      <w:sz w:val="18"/>
      <w:lang/>
    </w:rPr>
  </w:style>
  <w:style w:type="paragraph" w:styleId="8">
    <w:name w:val="header"/>
    <w:basedOn w:val="1"/>
    <w:uiPriority w:val="0"/>
    <w:pPr>
      <w:widowControl w:val="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 w:eastAsia="SimSun" w:cs="Times New Roman"/>
      <w:kern w:val="2"/>
      <w:sz w:val="18"/>
      <w:lang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paragraph" w:customStyle="1" w:styleId="11">
    <w:name w:val="No Spacing"/>
    <w:uiPriority w:val="0"/>
    <w:rPr>
      <w:rFonts w:hint="default" w:ascii="Times New Roman" w:hAnsi="Times New Roman" w:eastAsia="SimSun"/>
      <w:sz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WindowsApps\ZhuhaiKingsoftOfficeSoftw.WPSOffice2019_12.2.23201.0_x86__924xes6e8q1tw\12.2.0.23201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Standard"/>
      <sectRole val="1"/>
    </customSectPr>
  </customSectProps>
  <customShpExts>
    <customShpInfo spid="_x0000_s1031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2026-04-02T19:02:00Z</dcterms:created>
  <dc:creator>User</dc:creator>
  <cp:lastModifiedBy>User</cp:lastModifiedBy>
  <dcterms:modified xsi:type="dcterms:W3CDTF">2026-04-10T06:42:16Z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1033-12.2.0.23201</vt:lpwstr>
  </property>
  <property fmtid="{D5CDD505-2E9C-101B-9397-08002B2CF9AE}" pid="3" name="ICV">
    <vt:lpwstr>7385348103764892954EA1D986DF93C6_11</vt:lpwstr>
  </property>
</Properties>
</file>