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Ll</w:t>
      </w:r>
    </w:p>
    <w:p>
      <w:pPr>
        <w:pStyle w:val="style0"/>
        <w:jc w:val="both"/>
        <w:rPr>
          <w:rFonts w:ascii="Gill Sans MT" w:hAnsi="Gill Sans MT"/>
          <w:sz w:val="20"/>
          <w:szCs w:val="20"/>
          <w:lang w:val="en-GB"/>
        </w:rPr>
      </w:pPr>
    </w:p>
    <w:tbl>
      <w:tblPr>
        <w:tblStyle w:val="style154"/>
        <w:tblpPr w:leftFromText="180" w:rightFromText="180" w:topFromText="0" w:bottomFromText="0" w:horzAnchor="margin" w:tblpXSpec="left" w:tblpY="408"/>
        <w:tblOverlap w:val="never"/>
        <w:tblW w:w="9350" w:type="dxa"/>
        <w:tblLook w:val="04A0" w:firstRow="1" w:lastRow="0" w:firstColumn="1" w:lastColumn="0" w:noHBand="0" w:noVBand="1"/>
      </w:tblPr>
      <w:tblGrid>
        <w:gridCol w:w="1563"/>
        <w:gridCol w:w="1560"/>
        <w:gridCol w:w="4027"/>
        <w:gridCol w:w="2201"/>
      </w:tblGrid>
      <w:tr>
        <w:trPr/>
        <w:tc>
          <w:tcPr>
            <w:tcW w:w="1682" w:type="dxa"/>
            <w:tcBorders/>
          </w:tcPr>
          <w:p>
            <w:pPr>
              <w:pStyle w:val="style0"/>
              <w:jc w:val="both"/>
              <w:rPr>
                <w:rFonts w:eastAsia="Calibri"/>
                <w:b/>
                <w:lang w:val="en-ZA"/>
              </w:rPr>
            </w:pPr>
            <w:r>
              <w:rPr>
                <w:rFonts w:eastAsia="Calibri"/>
                <w:b/>
                <w:lang w:val="en-ZA"/>
              </w:rPr>
              <w:t>Partner/or Collaborator</w:t>
            </w:r>
          </w:p>
        </w:tc>
        <w:tc>
          <w:tcPr>
            <w:tcW w:w="1526" w:type="dxa"/>
            <w:tcBorders/>
          </w:tcPr>
          <w:p>
            <w:pPr>
              <w:pStyle w:val="style0"/>
              <w:jc w:val="both"/>
              <w:rPr>
                <w:rFonts w:eastAsia="Calibri"/>
                <w:b/>
                <w:lang w:val="en-ZA"/>
              </w:rPr>
            </w:pPr>
            <w:r>
              <w:rPr>
                <w:rFonts w:eastAsia="Calibri"/>
                <w:b/>
                <w:lang w:val="en-ZA"/>
              </w:rPr>
              <w:t>Dates(year(s)) of collaboration</w:t>
            </w:r>
          </w:p>
        </w:tc>
        <w:tc>
          <w:tcPr>
            <w:tcW w:w="3856" w:type="dxa"/>
            <w:tcBorders>
              <w:bottom w:val="single" w:sz="4" w:space="0" w:color="000000"/>
            </w:tcBorders>
          </w:tcPr>
          <w:p>
            <w:pPr>
              <w:pStyle w:val="style0"/>
              <w:jc w:val="both"/>
              <w:rPr>
                <w:rFonts w:eastAsia="Calibri"/>
                <w:b/>
                <w:lang w:val="en-ZA"/>
              </w:rPr>
            </w:pPr>
            <w:r>
              <w:rPr>
                <w:rFonts w:eastAsia="Calibri"/>
                <w:b/>
                <w:lang w:val="en-ZA"/>
              </w:rPr>
              <w:t>Terms of Collaboration</w:t>
            </w:r>
          </w:p>
        </w:tc>
        <w:tc>
          <w:tcPr>
            <w:tcW w:w="2286" w:type="dxa"/>
            <w:tcBorders>
              <w:bottom w:val="single" w:sz="4" w:space="0" w:color="000000"/>
            </w:tcBorders>
          </w:tcPr>
          <w:p>
            <w:pPr>
              <w:pStyle w:val="style0"/>
              <w:jc w:val="both"/>
              <w:rPr>
                <w:rFonts w:eastAsia="Calibri"/>
                <w:b/>
                <w:lang w:val="en-ZA"/>
              </w:rPr>
            </w:pPr>
            <w:r>
              <w:rPr>
                <w:rFonts w:eastAsia="Calibri"/>
                <w:b/>
                <w:lang w:val="en-ZA"/>
              </w:rPr>
              <w:t>Project</w:t>
            </w:r>
          </w:p>
        </w:tc>
      </w:tr>
      <w:tr>
        <w:tblPrEx/>
        <w:trPr/>
        <w:tc>
          <w:tcPr>
            <w:tcW w:w="1682" w:type="dxa"/>
            <w:tcBorders/>
          </w:tcPr>
          <w:p>
            <w:pPr>
              <w:pStyle w:val="style0"/>
              <w:jc w:val="both"/>
              <w:rPr>
                <w:rFonts w:eastAsia="Calibri"/>
                <w:lang w:val="en-ZA"/>
              </w:rPr>
            </w:pPr>
            <w:r>
              <w:rPr>
                <w:rFonts w:eastAsia="Calibri"/>
                <w:lang w:val="en-ZA"/>
              </w:rPr>
              <w:t xml:space="preserve">Mercy Corps </w:t>
            </w:r>
          </w:p>
        </w:tc>
        <w:tc>
          <w:tcPr>
            <w:tcW w:w="1526" w:type="dxa"/>
            <w:tcBorders/>
          </w:tcPr>
          <w:p>
            <w:pPr>
              <w:pStyle w:val="style0"/>
              <w:jc w:val="both"/>
              <w:rPr>
                <w:rFonts w:eastAsia="Calibri"/>
                <w:color w:val="000000"/>
                <w:lang w:val="en-ZA"/>
              </w:rPr>
            </w:pPr>
            <w:r>
              <w:rPr>
                <w:rFonts w:eastAsia="Calibri"/>
                <w:color w:val="000000"/>
                <w:lang w:val="en-ZA"/>
              </w:rPr>
              <w:t>2021 - 2023</w:t>
            </w:r>
          </w:p>
        </w:tc>
        <w:tc>
          <w:tcPr>
            <w:tcW w:w="3856" w:type="dxa"/>
            <w:tcBorders/>
          </w:tcPr>
          <w:p>
            <w:pPr>
              <w:pStyle w:val="style179"/>
              <w:numPr>
                <w:ilvl w:val="0"/>
                <w:numId w:val="1"/>
              </w:numPr>
              <w:spacing w:lineRule="auto" w:line="240"/>
              <w:jc w:val="both"/>
              <w:rPr>
                <w:rFonts w:eastAsia="Calibri"/>
                <w:color w:val="000000"/>
                <w:lang w:val="en-ZA"/>
              </w:rPr>
            </w:pPr>
            <w:r>
              <w:rPr>
                <w:rFonts w:eastAsia="Calibri"/>
                <w:color w:val="000000"/>
                <w:lang w:val="en-ZA"/>
              </w:rPr>
              <w:t>Mercy Corps is currently funding CSYDI to implement a 3 year project on “</w:t>
            </w:r>
            <w:r>
              <w:rPr>
                <w:rFonts w:eastAsia="Calibri"/>
                <w:b/>
                <w:color w:val="000000"/>
                <w:lang w:val="en-ZA"/>
              </w:rPr>
              <w:t xml:space="preserve">Girls Improving Resilience through Livelihoods and </w:t>
            </w:r>
            <w:r>
              <w:rPr>
                <w:rFonts w:eastAsia="Calibri"/>
                <w:b/>
                <w:color w:val="000000"/>
                <w:lang w:val="en-ZA"/>
              </w:rPr>
              <w:t>Health</w:t>
            </w:r>
            <w:r>
              <w:rPr>
                <w:rFonts w:eastAsia="Calibri"/>
                <w:color w:val="000000"/>
                <w:lang w:val="en-ZA"/>
              </w:rPr>
              <w:t>”</w:t>
            </w:r>
            <w:r>
              <w:rPr>
                <w:rFonts w:eastAsia="Calibri"/>
                <w:color w:val="000000"/>
                <w:lang w:val="en-ZA"/>
              </w:rPr>
              <w:t>GIRL</w:t>
            </w:r>
            <w:r>
              <w:rPr>
                <w:rFonts w:eastAsia="Calibri"/>
                <w:color w:val="000000"/>
                <w:lang w:val="en-ZA"/>
              </w:rPr>
              <w:t>-Project</w:t>
            </w:r>
            <w:r>
              <w:rPr>
                <w:rFonts w:eastAsia="Calibri"/>
                <w:color w:val="000000"/>
                <w:lang w:val="en-ZA"/>
              </w:rPr>
              <w:t xml:space="preserve"> among the Pokot of Amudat district’.</w:t>
            </w:r>
          </w:p>
        </w:tc>
        <w:tc>
          <w:tcPr>
            <w:tcW w:w="2286" w:type="dxa"/>
            <w:tcBorders/>
          </w:tcPr>
          <w:p>
            <w:pPr>
              <w:pStyle w:val="style179"/>
              <w:numPr>
                <w:ilvl w:val="0"/>
                <w:numId w:val="1"/>
              </w:numPr>
              <w:spacing w:lineRule="auto" w:line="240"/>
              <w:jc w:val="both"/>
              <w:rPr>
                <w:rFonts w:eastAsia="Calibri"/>
                <w:color w:val="000000"/>
                <w:lang w:val="en-ZA"/>
              </w:rPr>
            </w:pPr>
            <w:r>
              <w:rPr>
                <w:rFonts w:eastAsia="Calibri"/>
                <w:color w:val="000000"/>
                <w:lang w:val="en-ZA"/>
              </w:rPr>
              <w:t>Girls Improving Resilience through Livelihoods and Health”</w:t>
            </w:r>
          </w:p>
        </w:tc>
      </w:tr>
      <w:tr>
        <w:tblPrEx/>
        <w:trPr/>
        <w:tc>
          <w:tcPr>
            <w:tcW w:w="1682" w:type="dxa"/>
            <w:tcBorders/>
          </w:tcPr>
          <w:p>
            <w:pPr>
              <w:pStyle w:val="style0"/>
              <w:jc w:val="both"/>
              <w:rPr>
                <w:rFonts w:eastAsia="Calibri"/>
                <w:lang w:val="en-ZA"/>
              </w:rPr>
            </w:pPr>
            <w:r>
              <w:rPr>
                <w:rFonts w:eastAsia="Calibri"/>
                <w:lang w:val="en-ZA"/>
              </w:rPr>
              <w:t>BRAC</w:t>
            </w:r>
          </w:p>
        </w:tc>
        <w:tc>
          <w:tcPr>
            <w:tcW w:w="1526" w:type="dxa"/>
            <w:tcBorders/>
          </w:tcPr>
          <w:p>
            <w:pPr>
              <w:pStyle w:val="style0"/>
              <w:jc w:val="both"/>
              <w:rPr>
                <w:rFonts w:eastAsia="Calibri"/>
                <w:lang w:val="en-ZA"/>
              </w:rPr>
            </w:pPr>
            <w:r>
              <w:rPr>
                <w:rFonts w:eastAsia="Calibri"/>
                <w:lang w:val="en-ZA"/>
              </w:rPr>
              <w:t>2019 – 2020</w:t>
            </w:r>
          </w:p>
        </w:tc>
        <w:tc>
          <w:tcPr>
            <w:tcW w:w="3856" w:type="dxa"/>
            <w:tcBorders/>
          </w:tcPr>
          <w:p>
            <w:pPr>
              <w:pStyle w:val="style179"/>
              <w:numPr>
                <w:ilvl w:val="0"/>
                <w:numId w:val="2"/>
              </w:numPr>
              <w:spacing w:lineRule="auto" w:line="240"/>
              <w:jc w:val="both"/>
              <w:rPr>
                <w:rFonts w:eastAsia="Calibri"/>
                <w:lang w:val="en-ZA"/>
              </w:rPr>
            </w:pPr>
            <w:r>
              <w:rPr>
                <w:rFonts w:eastAsia="Calibri"/>
                <w:lang w:val="en-ZA"/>
              </w:rPr>
              <w:t xml:space="preserve">CSYDI implemented with BRAC a project on </w:t>
            </w:r>
            <w:r>
              <w:rPr>
                <w:rFonts w:eastAsia="Calibri"/>
                <w:b/>
                <w:lang w:val="en-ZA"/>
              </w:rPr>
              <w:t xml:space="preserve">Youth Skilling among the Pokot/or Amudat Community </w:t>
            </w:r>
          </w:p>
        </w:tc>
        <w:tc>
          <w:tcPr>
            <w:tcW w:w="2286" w:type="dxa"/>
            <w:tcBorders/>
          </w:tcPr>
          <w:p>
            <w:pPr>
              <w:pStyle w:val="style179"/>
              <w:numPr>
                <w:ilvl w:val="0"/>
                <w:numId w:val="2"/>
              </w:numPr>
              <w:spacing w:lineRule="auto" w:line="240"/>
              <w:jc w:val="both"/>
              <w:rPr>
                <w:rFonts w:eastAsia="Calibri"/>
                <w:lang w:val="en-ZA"/>
              </w:rPr>
            </w:pPr>
            <w:r>
              <w:rPr>
                <w:rFonts w:eastAsia="Calibri"/>
                <w:lang w:val="en-ZA"/>
              </w:rPr>
              <w:t>Youth Skilling among the Pokot/or Amudat Community</w:t>
            </w:r>
          </w:p>
        </w:tc>
      </w:tr>
      <w:tr>
        <w:tblPrEx/>
        <w:trPr/>
        <w:tc>
          <w:tcPr>
            <w:tcW w:w="1682" w:type="dxa"/>
            <w:tcBorders/>
          </w:tcPr>
          <w:p>
            <w:pPr>
              <w:pStyle w:val="style0"/>
              <w:jc w:val="both"/>
              <w:rPr>
                <w:rFonts w:eastAsia="Calibri"/>
                <w:lang w:val="en-ZA"/>
              </w:rPr>
            </w:pPr>
            <w:r>
              <w:rPr>
                <w:rFonts w:eastAsia="Calibri"/>
                <w:lang w:val="en-ZA"/>
              </w:rPr>
              <w:t>TASO</w:t>
            </w:r>
          </w:p>
        </w:tc>
        <w:tc>
          <w:tcPr>
            <w:tcW w:w="1526" w:type="dxa"/>
            <w:tcBorders/>
          </w:tcPr>
          <w:p>
            <w:pPr>
              <w:pStyle w:val="style0"/>
              <w:jc w:val="both"/>
              <w:rPr>
                <w:rFonts w:eastAsia="Calibri"/>
                <w:lang w:val="en-ZA"/>
              </w:rPr>
            </w:pPr>
            <w:r>
              <w:rPr>
                <w:rFonts w:eastAsia="Calibri"/>
                <w:lang w:val="en-ZA"/>
              </w:rPr>
              <w:t>2021 - 2022</w:t>
            </w:r>
          </w:p>
        </w:tc>
        <w:tc>
          <w:tcPr>
            <w:tcW w:w="3856" w:type="dxa"/>
            <w:tcBorders/>
          </w:tcPr>
          <w:p>
            <w:pPr>
              <w:pStyle w:val="style179"/>
              <w:numPr>
                <w:ilvl w:val="0"/>
                <w:numId w:val="2"/>
              </w:numPr>
              <w:spacing w:lineRule="auto" w:line="240"/>
              <w:jc w:val="both"/>
              <w:rPr>
                <w:rFonts w:eastAsia="Calibri"/>
                <w:lang w:val="en-ZA"/>
              </w:rPr>
            </w:pPr>
            <w:r>
              <w:rPr>
                <w:rFonts w:eastAsia="Calibri"/>
                <w:lang w:val="en-ZA"/>
              </w:rPr>
              <w:t xml:space="preserve">TASO funded CSYDI to implement an </w:t>
            </w:r>
            <w:r>
              <w:rPr>
                <w:rFonts w:eastAsia="Calibri"/>
                <w:b/>
                <w:lang w:val="en-ZA"/>
              </w:rPr>
              <w:t>HIV/AIDS prevention project among the Pokot of Amudat district</w:t>
            </w:r>
            <w:r>
              <w:rPr>
                <w:rFonts w:eastAsia="Calibri"/>
                <w:lang w:val="en-ZA"/>
              </w:rPr>
              <w:t>.</w:t>
            </w:r>
          </w:p>
        </w:tc>
        <w:tc>
          <w:tcPr>
            <w:tcW w:w="2286" w:type="dxa"/>
            <w:tcBorders/>
          </w:tcPr>
          <w:p>
            <w:pPr>
              <w:pStyle w:val="style179"/>
              <w:numPr>
                <w:ilvl w:val="0"/>
                <w:numId w:val="2"/>
              </w:numPr>
              <w:spacing w:lineRule="auto" w:line="240"/>
              <w:jc w:val="both"/>
              <w:rPr>
                <w:rFonts w:eastAsia="Calibri"/>
                <w:lang w:val="en-ZA"/>
              </w:rPr>
            </w:pPr>
            <w:r>
              <w:rPr>
                <w:rFonts w:eastAsia="Calibri"/>
                <w:lang w:val="en-ZA"/>
              </w:rPr>
              <w:t>HIV/AIDS prevention project among the Pokot of Amudat district</w:t>
            </w:r>
          </w:p>
        </w:tc>
      </w:tr>
      <w:tr>
        <w:tblPrEx/>
        <w:trPr/>
        <w:tc>
          <w:tcPr>
            <w:tcW w:w="1682" w:type="dxa"/>
            <w:tcBorders/>
          </w:tcPr>
          <w:p>
            <w:pPr>
              <w:pStyle w:val="style0"/>
              <w:jc w:val="both"/>
              <w:rPr>
                <w:rFonts w:eastAsia="Calibri"/>
                <w:lang w:val="en-ZA"/>
              </w:rPr>
            </w:pPr>
            <w:r>
              <w:rPr>
                <w:rFonts w:eastAsia="Calibri"/>
                <w:lang w:val="en-ZA"/>
              </w:rPr>
              <w:t>KALYA FM</w:t>
            </w:r>
          </w:p>
        </w:tc>
        <w:tc>
          <w:tcPr>
            <w:tcW w:w="1526" w:type="dxa"/>
            <w:tcBorders/>
          </w:tcPr>
          <w:p>
            <w:pPr>
              <w:pStyle w:val="style0"/>
              <w:jc w:val="both"/>
              <w:rPr>
                <w:rFonts w:eastAsia="Calibri"/>
                <w:color w:val="ff0000"/>
                <w:lang w:val="en-ZA"/>
              </w:rPr>
            </w:pPr>
            <w:r>
              <w:rPr>
                <w:rFonts w:eastAsia="Calibri"/>
                <w:color w:val="000000"/>
                <w:lang w:val="en-ZA"/>
              </w:rPr>
              <w:t>2019 – UPTO DATE</w:t>
            </w:r>
          </w:p>
        </w:tc>
        <w:tc>
          <w:tcPr>
            <w:tcW w:w="3856" w:type="dxa"/>
            <w:tcBorders/>
          </w:tcPr>
          <w:p>
            <w:pPr>
              <w:pStyle w:val="style179"/>
              <w:numPr>
                <w:ilvl w:val="0"/>
                <w:numId w:val="2"/>
              </w:numPr>
              <w:spacing w:lineRule="auto" w:line="240"/>
              <w:jc w:val="both"/>
              <w:rPr>
                <w:rFonts w:eastAsia="Calibri"/>
                <w:color w:val="000000"/>
                <w:lang w:val="en-ZA"/>
              </w:rPr>
            </w:pPr>
            <w:r>
              <w:rPr>
                <w:rFonts w:eastAsia="Calibri"/>
                <w:color w:val="000000"/>
                <w:lang w:val="en-ZA"/>
              </w:rPr>
              <w:t xml:space="preserve">The partnership with </w:t>
            </w:r>
            <w:r>
              <w:rPr>
                <w:rFonts w:eastAsia="Calibri"/>
                <w:color w:val="000000"/>
                <w:lang w:val="en-ZA"/>
              </w:rPr>
              <w:t>Kalya</w:t>
            </w:r>
            <w:r>
              <w:rPr>
                <w:rFonts w:eastAsia="Calibri"/>
                <w:color w:val="000000"/>
                <w:lang w:val="en-ZA"/>
              </w:rPr>
              <w:t xml:space="preserve"> FM is purely on cost effectiveness. This is to reduce the cross border costs. </w:t>
            </w:r>
            <w:r>
              <w:rPr>
                <w:rFonts w:eastAsia="Calibri"/>
                <w:color w:val="000000"/>
                <w:lang w:val="en-ZA"/>
              </w:rPr>
              <w:t>Kalya</w:t>
            </w:r>
            <w:r>
              <w:rPr>
                <w:rFonts w:eastAsia="Calibri"/>
                <w:color w:val="000000"/>
                <w:lang w:val="en-ZA"/>
              </w:rPr>
              <w:t xml:space="preserve"> operates within the premises of CSYDI offices</w:t>
            </w:r>
            <w:r>
              <w:rPr>
                <w:rFonts w:eastAsia="Calibri"/>
                <w:color w:val="000000"/>
                <w:lang w:val="en-ZA"/>
              </w:rPr>
              <w:t xml:space="preserve"> in holding; </w:t>
            </w:r>
          </w:p>
          <w:p>
            <w:pPr>
              <w:pStyle w:val="style179"/>
              <w:numPr>
                <w:ilvl w:val="0"/>
                <w:numId w:val="3"/>
              </w:numPr>
              <w:spacing w:lineRule="auto" w:line="240"/>
              <w:jc w:val="both"/>
              <w:rPr>
                <w:rFonts w:eastAsia="Calibri"/>
                <w:color w:val="000000"/>
                <w:lang w:val="en-ZA"/>
              </w:rPr>
            </w:pPr>
            <w:r>
              <w:rPr>
                <w:rFonts w:eastAsia="Calibri"/>
                <w:color w:val="000000"/>
                <w:lang w:val="en-ZA"/>
              </w:rPr>
              <w:t>Radio talk shows</w:t>
            </w:r>
          </w:p>
          <w:p>
            <w:pPr>
              <w:pStyle w:val="style179"/>
              <w:numPr>
                <w:ilvl w:val="0"/>
                <w:numId w:val="3"/>
              </w:numPr>
              <w:spacing w:lineRule="auto" w:line="240"/>
              <w:jc w:val="both"/>
              <w:rPr>
                <w:rFonts w:eastAsia="Calibri"/>
                <w:color w:val="ff0000"/>
                <w:lang w:val="en-ZA"/>
              </w:rPr>
            </w:pPr>
            <w:r>
              <w:rPr>
                <w:rFonts w:eastAsia="Calibri"/>
                <w:color w:val="000000"/>
                <w:lang w:val="en-ZA"/>
              </w:rPr>
              <w:t>Sensitation</w:t>
            </w:r>
            <w:r>
              <w:rPr>
                <w:rFonts w:eastAsia="Calibri"/>
                <w:color w:val="000000"/>
                <w:lang w:val="en-ZA"/>
              </w:rPr>
              <w:t xml:space="preserve"> and dissemination of relevant information</w:t>
            </w:r>
            <w:r>
              <w:rPr>
                <w:rFonts w:eastAsia="Calibri"/>
                <w:color w:val="000000"/>
                <w:lang w:val="en-ZA"/>
              </w:rPr>
              <w:t>.</w:t>
            </w:r>
          </w:p>
        </w:tc>
        <w:tc>
          <w:tcPr>
            <w:tcW w:w="2286" w:type="dxa"/>
            <w:tcBorders/>
          </w:tcPr>
          <w:p>
            <w:pPr>
              <w:pStyle w:val="style179"/>
              <w:numPr>
                <w:ilvl w:val="0"/>
                <w:numId w:val="2"/>
              </w:numPr>
              <w:spacing w:lineRule="auto" w:line="240"/>
              <w:jc w:val="both"/>
              <w:rPr>
                <w:rFonts w:eastAsia="Calibri"/>
                <w:color w:val="000000"/>
                <w:lang w:val="en-ZA"/>
              </w:rPr>
            </w:pPr>
          </w:p>
        </w:tc>
      </w:tr>
      <w:tr>
        <w:tblPrEx/>
        <w:trPr>
          <w:trHeight w:val="1113" w:hRule="atLeast"/>
        </w:trPr>
        <w:tc>
          <w:tcPr>
            <w:tcW w:w="1682" w:type="dxa"/>
            <w:tcBorders/>
          </w:tcPr>
          <w:p>
            <w:pPr>
              <w:pStyle w:val="style0"/>
              <w:jc w:val="both"/>
              <w:rPr>
                <w:rFonts w:eastAsia="Calibri"/>
                <w:lang w:val="en-ZA"/>
              </w:rPr>
            </w:pPr>
            <w:r>
              <w:rPr>
                <w:rFonts w:eastAsia="Calibri"/>
                <w:lang w:val="en-ZA"/>
              </w:rPr>
              <w:t>Center</w:t>
            </w:r>
            <w:r>
              <w:rPr>
                <w:rFonts w:eastAsia="Calibri"/>
                <w:lang w:val="en-ZA"/>
              </w:rPr>
              <w:t xml:space="preserve"> for Conflict resolution (CECORE)</w:t>
            </w:r>
          </w:p>
        </w:tc>
        <w:tc>
          <w:tcPr>
            <w:tcW w:w="1526" w:type="dxa"/>
            <w:tcBorders/>
          </w:tcPr>
          <w:p>
            <w:pPr>
              <w:pStyle w:val="style0"/>
              <w:jc w:val="both"/>
              <w:rPr>
                <w:rFonts w:eastAsia="Calibri"/>
                <w:color w:val="000000"/>
                <w:lang w:val="en-ZA"/>
              </w:rPr>
            </w:pPr>
            <w:r>
              <w:rPr>
                <w:rFonts w:eastAsia="Calibri"/>
                <w:color w:val="000000"/>
                <w:lang w:val="en-ZA"/>
              </w:rPr>
              <w:t>2021 - 2022</w:t>
            </w:r>
          </w:p>
        </w:tc>
        <w:tc>
          <w:tcPr>
            <w:tcW w:w="3856" w:type="dxa"/>
            <w:tcBorders/>
          </w:tcPr>
          <w:p>
            <w:pPr>
              <w:pStyle w:val="style179"/>
              <w:numPr>
                <w:ilvl w:val="0"/>
                <w:numId w:val="2"/>
              </w:numPr>
              <w:spacing w:lineRule="auto" w:line="240"/>
              <w:jc w:val="both"/>
              <w:rPr>
                <w:rFonts w:eastAsia="Calibri"/>
                <w:color w:val="000000"/>
                <w:lang w:val="en-ZA"/>
              </w:rPr>
            </w:pPr>
            <w:r>
              <w:rPr>
                <w:rFonts w:eastAsia="Calibri"/>
                <w:color w:val="000000"/>
                <w:lang w:val="en-ZA"/>
              </w:rPr>
              <w:t xml:space="preserve">Implementing the peace project in Amudat district, engagement on </w:t>
            </w:r>
            <w:r>
              <w:rPr>
                <w:rFonts w:eastAsia="Calibri"/>
                <w:b/>
                <w:color w:val="000000"/>
                <w:lang w:val="en-ZA"/>
              </w:rPr>
              <w:t xml:space="preserve">Youth </w:t>
            </w:r>
            <w:r>
              <w:rPr>
                <w:rFonts w:eastAsia="Calibri"/>
                <w:b/>
                <w:color w:val="000000"/>
                <w:lang w:val="en-ZA"/>
              </w:rPr>
              <w:t xml:space="preserve">Peace </w:t>
            </w:r>
            <w:r>
              <w:rPr>
                <w:rFonts w:eastAsia="Calibri"/>
                <w:b/>
                <w:color w:val="000000"/>
                <w:lang w:val="en-ZA"/>
              </w:rPr>
              <w:t>Champions</w:t>
            </w:r>
          </w:p>
        </w:tc>
        <w:tc>
          <w:tcPr>
            <w:tcW w:w="2286" w:type="dxa"/>
            <w:tcBorders/>
          </w:tcPr>
          <w:p>
            <w:pPr>
              <w:pStyle w:val="style179"/>
              <w:numPr>
                <w:ilvl w:val="0"/>
                <w:numId w:val="2"/>
              </w:numPr>
              <w:spacing w:lineRule="auto" w:line="240"/>
              <w:rPr>
                <w:rFonts w:eastAsia="Calibri"/>
                <w:color w:val="000000"/>
                <w:lang w:val="en-ZA"/>
              </w:rPr>
            </w:pPr>
            <w:r>
              <w:rPr>
                <w:rFonts w:eastAsia="Calibri"/>
                <w:color w:val="000000"/>
                <w:lang w:val="en-ZA"/>
              </w:rPr>
              <w:t xml:space="preserve">Youth </w:t>
            </w:r>
            <w:r>
              <w:rPr>
                <w:rFonts w:eastAsia="Calibri"/>
                <w:color w:val="000000"/>
                <w:lang w:val="en-ZA"/>
              </w:rPr>
              <w:t>Peace Champions</w:t>
            </w:r>
          </w:p>
        </w:tc>
      </w:tr>
    </w:tbl>
    <w:p>
      <w:pPr>
        <w:pStyle w:val="style0"/>
        <w:jc w:val="both"/>
        <w:rPr>
          <w:rFonts w:ascii="Gill Sans MT" w:hAnsi="Gill Sans MT"/>
          <w:b/>
          <w:sz w:val="20"/>
          <w:szCs w:val="20"/>
          <w:lang w:val="en-GB"/>
        </w:rPr>
      </w:pPr>
      <w:r>
        <w:rPr>
          <w:rFonts w:ascii="Gill Sans MT" w:hAnsi="Gill Sans MT"/>
          <w:b/>
          <w:sz w:val="20"/>
          <w:szCs w:val="20"/>
          <w:lang w:val="en-GB"/>
        </w:rPr>
        <w:t xml:space="preserve">Creation Steppers Initiated Projects </w:t>
      </w:r>
    </w:p>
    <w:p>
      <w:pPr>
        <w:pStyle w:val="style179"/>
        <w:numPr>
          <w:ilvl w:val="0"/>
          <w:numId w:val="5"/>
        </w:numPr>
        <w:jc w:val="both"/>
        <w:rPr>
          <w:rFonts w:ascii="Gill Sans MT" w:hAnsi="Gill Sans MT"/>
          <w:b/>
          <w:sz w:val="20"/>
          <w:szCs w:val="20"/>
          <w:lang w:val="en-GB"/>
        </w:rPr>
      </w:pPr>
      <w:r>
        <w:rPr>
          <w:rFonts w:ascii="Gill Sans MT" w:hAnsi="Gill Sans MT"/>
          <w:b/>
          <w:sz w:val="20"/>
          <w:szCs w:val="20"/>
          <w:lang w:val="en-GB"/>
        </w:rPr>
        <w:t>1</w:t>
      </w:r>
      <w:r>
        <w:rPr>
          <w:rFonts w:ascii="Gill Sans MT" w:hAnsi="Gill Sans MT"/>
          <w:b/>
          <w:sz w:val="20"/>
          <w:szCs w:val="20"/>
          <w:vertAlign w:val="superscript"/>
          <w:lang w:val="en-GB"/>
        </w:rPr>
        <w:t>st</w:t>
      </w:r>
      <w:r>
        <w:rPr>
          <w:rFonts w:ascii="Gill Sans MT" w:hAnsi="Gill Sans MT"/>
          <w:b/>
          <w:sz w:val="20"/>
          <w:szCs w:val="20"/>
          <w:lang w:val="en-GB"/>
        </w:rPr>
        <w:t xml:space="preserve"> January – </w:t>
      </w:r>
      <w:r>
        <w:rPr>
          <w:rFonts w:ascii="Gill Sans MT" w:hAnsi="Gill Sans MT"/>
          <w:b/>
          <w:sz w:val="20"/>
          <w:szCs w:val="20"/>
          <w:lang w:val="en-GB"/>
        </w:rPr>
        <w:t>Kanyangareng</w:t>
      </w:r>
      <w:r>
        <w:rPr>
          <w:rFonts w:ascii="Gill Sans MT" w:hAnsi="Gill Sans MT"/>
          <w:b/>
          <w:sz w:val="20"/>
          <w:szCs w:val="20"/>
          <w:lang w:val="en-GB"/>
        </w:rPr>
        <w:t xml:space="preserve"> </w:t>
      </w:r>
      <w:r>
        <w:rPr>
          <w:rFonts w:ascii="Gill Sans MT" w:hAnsi="Gill Sans MT"/>
          <w:b/>
          <w:sz w:val="20"/>
          <w:szCs w:val="20"/>
          <w:lang w:val="en-GB"/>
        </w:rPr>
        <w:t xml:space="preserve">River </w:t>
      </w:r>
      <w:r>
        <w:rPr>
          <w:rFonts w:ascii="Gill Sans MT" w:hAnsi="Gill Sans MT"/>
          <w:b/>
          <w:sz w:val="20"/>
          <w:szCs w:val="20"/>
          <w:lang w:val="en-GB"/>
        </w:rPr>
        <w:t xml:space="preserve">Carnival </w:t>
      </w:r>
    </w:p>
    <w:p>
      <w:pPr>
        <w:pStyle w:val="style179"/>
        <w:spacing w:after="195" w:lineRule="auto" w:line="281"/>
        <w:ind w:right="57"/>
        <w:jc w:val="both"/>
        <w:rPr/>
      </w:pPr>
    </w:p>
    <w:p>
      <w:pPr>
        <w:pStyle w:val="style179"/>
        <w:spacing w:after="195" w:lineRule="auto" w:line="281"/>
        <w:ind w:right="57"/>
        <w:jc w:val="both"/>
        <w:rPr>
          <w:color w:val="1f2023"/>
        </w:rPr>
      </w:pPr>
      <w:r>
        <w:t>Kanyangareng</w:t>
      </w:r>
      <w:r>
        <w:t xml:space="preserve"> River Carnival is </w:t>
      </w:r>
      <w:r>
        <w:rPr>
          <w:color w:val="1f2023"/>
        </w:rPr>
        <w:t>an annual event of organized series of edutainment which entails, carrier guidance, plays, or films, Creative displays held every 5</w:t>
      </w:r>
      <w:r>
        <w:rPr>
          <w:color w:val="1f2023"/>
          <w:vertAlign w:val="superscript"/>
        </w:rPr>
        <w:t xml:space="preserve">th </w:t>
      </w:r>
      <w:r>
        <w:rPr>
          <w:color w:val="1f2023"/>
        </w:rPr>
        <w:t xml:space="preserve">of January at the banks of river </w:t>
      </w:r>
      <w:r>
        <w:rPr>
          <w:color w:val="1f2023"/>
        </w:rPr>
        <w:t>Kanyangareng</w:t>
      </w:r>
      <w:r>
        <w:rPr>
          <w:color w:val="1f2023"/>
        </w:rPr>
        <w:t xml:space="preserve"> in Amudat Town Council Amudat district of Uganda.</w:t>
      </w:r>
    </w:p>
    <w:p>
      <w:pPr>
        <w:pStyle w:val="style179"/>
        <w:spacing w:after="195" w:lineRule="auto" w:line="281"/>
        <w:ind w:right="57"/>
        <w:jc w:val="both"/>
        <w:rPr/>
      </w:pPr>
    </w:p>
    <w:p>
      <w:pPr>
        <w:pStyle w:val="style179"/>
        <w:spacing w:after="195" w:lineRule="auto" w:line="280"/>
        <w:ind w:right="-15"/>
        <w:rPr>
          <w:color w:val="1f2023"/>
        </w:rPr>
      </w:pPr>
      <w:r>
        <w:rPr>
          <w:color w:val="1f2023"/>
        </w:rPr>
        <w:t xml:space="preserve">This River </w:t>
      </w:r>
      <w:r>
        <w:t>Carnival</w:t>
      </w:r>
      <w:r>
        <w:rPr>
          <w:color w:val="1f2023"/>
        </w:rPr>
        <w:t xml:space="preserve"> </w:t>
      </w:r>
      <w:r>
        <w:rPr>
          <w:color w:val="1f2023"/>
        </w:rPr>
        <w:t>started on the 5</w:t>
      </w:r>
      <w:r>
        <w:rPr>
          <w:color w:val="1f2023"/>
          <w:vertAlign w:val="superscript"/>
        </w:rPr>
        <w:t xml:space="preserve">th </w:t>
      </w:r>
      <w:r>
        <w:rPr>
          <w:color w:val="1f2023"/>
        </w:rPr>
        <w:t xml:space="preserve">of January 2017 by a group of Creation Steppers youth enjoying their holiday, it however later started attracting the attention of the entire </w:t>
      </w:r>
      <w:r>
        <w:rPr>
          <w:color w:val="1f2023"/>
        </w:rPr>
        <w:t xml:space="preserve">community especially the young people. The founding members saw this as an opportunity to unite and empower Amudat youth especially the youth both in and out of school and advocate against bad cultural practices. The activity is coordinated by Creation Steppers and implemented regionally by Warrior Promotions and </w:t>
      </w:r>
      <w:r>
        <w:rPr>
          <w:color w:val="1f2023"/>
        </w:rPr>
        <w:t>Jedark</w:t>
      </w:r>
      <w:r>
        <w:rPr>
          <w:color w:val="1f2023"/>
        </w:rPr>
        <w:t xml:space="preserve"> Home of Creativity with support from the community.</w:t>
      </w:r>
    </w:p>
    <w:p>
      <w:pPr>
        <w:pStyle w:val="style179"/>
        <w:spacing w:after="195" w:lineRule="auto" w:line="280"/>
        <w:ind w:right="-15"/>
        <w:rPr/>
      </w:pPr>
    </w:p>
    <w:p>
      <w:pPr>
        <w:pStyle w:val="style179"/>
        <w:spacing w:after="195" w:lineRule="auto" w:line="281"/>
        <w:ind w:right="614"/>
        <w:jc w:val="both"/>
        <w:rPr>
          <w:color w:val="1f2023"/>
        </w:rPr>
      </w:pPr>
      <w:r>
        <w:rPr>
          <w:color w:val="1f2023"/>
        </w:rPr>
        <w:t xml:space="preserve">This </w:t>
      </w:r>
      <w:r>
        <w:t>Carnival</w:t>
      </w:r>
      <w:r>
        <w:rPr>
          <w:color w:val="1f2023"/>
        </w:rPr>
        <w:t xml:space="preserve"> has become more popular over the years and attracts more participants which require more resources, effort and creativity from different to enable achievement of the desired event objectives.</w:t>
      </w:r>
    </w:p>
    <w:p>
      <w:pPr>
        <w:pStyle w:val="style179"/>
        <w:spacing w:after="195" w:lineRule="auto" w:line="281"/>
        <w:ind w:right="614"/>
        <w:jc w:val="both"/>
        <w:rPr/>
      </w:pPr>
    </w:p>
    <w:p>
      <w:pPr>
        <w:pStyle w:val="style179"/>
        <w:spacing w:after="195" w:lineRule="auto" w:line="280"/>
        <w:ind w:right="-15"/>
        <w:rPr>
          <w:color w:val="1f2023"/>
        </w:rPr>
      </w:pPr>
      <w:r>
        <w:rPr>
          <w:color w:val="1f2023"/>
        </w:rPr>
        <w:t xml:space="preserve">Unlike in other areas of </w:t>
      </w:r>
      <w:r>
        <w:rPr>
          <w:color w:val="1f2023"/>
        </w:rPr>
        <w:t>Karamoja</w:t>
      </w:r>
      <w:r>
        <w:rPr>
          <w:color w:val="1f2023"/>
        </w:rPr>
        <w:t>, the population in Amudat does not regard dialogue meetings as a big deal most especially when no transport refund is provided. It’s upon this background that we decided to change the festival organization inviting stake holders from different departments who engage the youth along with other indulging educational and recreational activities making the event effective and efficient.</w:t>
      </w:r>
    </w:p>
    <w:p>
      <w:pPr>
        <w:pStyle w:val="style179"/>
        <w:spacing w:after="195" w:lineRule="auto" w:line="280"/>
        <w:ind w:right="-15"/>
        <w:rPr/>
      </w:pPr>
    </w:p>
    <w:p>
      <w:pPr>
        <w:pStyle w:val="style179"/>
        <w:spacing w:after="286"/>
        <w:ind w:right="187"/>
        <w:rPr/>
      </w:pPr>
      <w:r>
        <w:t xml:space="preserve">This </w:t>
      </w:r>
      <w:r>
        <w:t>Carnival</w:t>
      </w:r>
      <w:r>
        <w:t xml:space="preserve"> will benefit from the Foundation’s experience of strengthening civil society’s capacity to engage with governments and other development partners to promote desired aspects of the sustainable development goals in health, economic empowerment livelihood good governance, culture and diversity.</w:t>
      </w:r>
    </w:p>
    <w:p>
      <w:pPr>
        <w:pStyle w:val="style0"/>
        <w:jc w:val="both"/>
        <w:rPr>
          <w:rFonts w:ascii="Gill Sans MT" w:hAnsi="Gill Sans MT"/>
          <w:sz w:val="20"/>
          <w:szCs w:val="20"/>
          <w:lang w:val="en-GB"/>
        </w:rPr>
      </w:pPr>
    </w:p>
    <w:p>
      <w:pPr>
        <w:pStyle w:val="style179"/>
        <w:numPr>
          <w:ilvl w:val="0"/>
          <w:numId w:val="5"/>
        </w:numPr>
        <w:jc w:val="both"/>
        <w:rPr>
          <w:rFonts w:ascii="Gill Sans MT" w:hAnsi="Gill Sans MT"/>
          <w:b/>
          <w:sz w:val="20"/>
          <w:szCs w:val="20"/>
          <w:lang w:val="en-GB"/>
        </w:rPr>
      </w:pPr>
      <w:r>
        <w:rPr>
          <w:rFonts w:ascii="Gill Sans MT" w:hAnsi="Gill Sans MT"/>
          <w:b/>
          <w:sz w:val="20"/>
          <w:szCs w:val="20"/>
          <w:lang w:val="en-GB"/>
        </w:rPr>
        <w:t xml:space="preserve">June/ July </w:t>
      </w:r>
      <w:r>
        <w:rPr>
          <w:rFonts w:ascii="Gill Sans MT" w:hAnsi="Gill Sans MT"/>
          <w:b/>
          <w:sz w:val="20"/>
          <w:szCs w:val="20"/>
          <w:lang w:val="en-GB"/>
        </w:rPr>
        <w:t>–</w:t>
      </w:r>
      <w:r>
        <w:rPr>
          <w:rFonts w:ascii="Gill Sans MT" w:hAnsi="Gill Sans MT"/>
          <w:b/>
          <w:sz w:val="20"/>
          <w:szCs w:val="20"/>
          <w:lang w:val="en-GB"/>
        </w:rPr>
        <w:t xml:space="preserve"> </w:t>
      </w:r>
      <w:r>
        <w:rPr>
          <w:rFonts w:ascii="Gill Sans MT" w:hAnsi="Gill Sans MT"/>
          <w:b/>
          <w:sz w:val="20"/>
          <w:szCs w:val="20"/>
          <w:lang w:val="en-GB"/>
        </w:rPr>
        <w:t xml:space="preserve">Creation Steppers Excursion </w:t>
      </w:r>
    </w:p>
    <w:p>
      <w:pPr>
        <w:pStyle w:val="style179"/>
        <w:spacing w:before="100" w:beforeAutospacing="true" w:after="100" w:afterAutospacing="true" w:lineRule="auto" w:line="240"/>
        <w:rPr/>
      </w:pPr>
    </w:p>
    <w:p>
      <w:pPr>
        <w:pStyle w:val="style179"/>
        <w:spacing w:before="100" w:beforeAutospacing="true" w:after="100" w:afterAutospacing="true" w:lineRule="auto" w:line="240"/>
        <w:rPr/>
      </w:pPr>
      <w:r>
        <w:t xml:space="preserve">This </w:t>
      </w:r>
      <w:r>
        <w:t xml:space="preserve">is an </w:t>
      </w:r>
      <w:r>
        <w:t xml:space="preserve">educational tour </w:t>
      </w:r>
      <w:r>
        <w:t xml:space="preserve">aiming to broaden the minds of the </w:t>
      </w:r>
      <w:r>
        <w:t>youth by exposing them to productive sectors such as agriculture, industry, and tourism. Through this, we hope to inspire innovation, entrepreneurship, and responsible citizenship among participants.</w:t>
      </w:r>
    </w:p>
    <w:p>
      <w:pPr>
        <w:pStyle w:val="style179"/>
        <w:spacing w:before="100" w:beforeAutospacing="true" w:after="100" w:afterAutospacing="true" w:lineRule="auto" w:line="240"/>
        <w:rPr/>
      </w:pPr>
    </w:p>
    <w:p>
      <w:pPr>
        <w:pStyle w:val="style179"/>
        <w:spacing w:before="100" w:beforeAutospacing="true" w:after="100" w:afterAutospacing="true" w:lineRule="auto" w:line="240"/>
        <w:rPr/>
      </w:pPr>
      <w:r>
        <w:t>Given the fact that we are in a setup of an area that illiteracy rate is high and low</w:t>
      </w:r>
      <w:r>
        <w:t xml:space="preserve"> exposure amongst community members, the upcoming generation especially the ones born and studding around Amudat District would never have a chance to visit and learn more beyond home practices, we therefore thought it wise to have an excursion that will give other youth chance to exposure.</w:t>
      </w:r>
    </w:p>
    <w:p>
      <w:pPr>
        <w:pStyle w:val="style0"/>
        <w:jc w:val="both"/>
        <w:rPr>
          <w:rFonts w:ascii="Gill Sans MT" w:hAnsi="Gill Sans MT"/>
          <w:sz w:val="20"/>
          <w:szCs w:val="20"/>
          <w:lang w:val="en-GB"/>
        </w:rPr>
      </w:pPr>
    </w:p>
    <w:p>
      <w:pPr>
        <w:pStyle w:val="style179"/>
        <w:numPr>
          <w:ilvl w:val="0"/>
          <w:numId w:val="5"/>
        </w:numPr>
        <w:jc w:val="both"/>
        <w:rPr>
          <w:rFonts w:ascii="Gill Sans MT" w:hAnsi="Gill Sans MT"/>
          <w:b/>
          <w:sz w:val="20"/>
          <w:szCs w:val="20"/>
          <w:lang w:val="en-GB"/>
        </w:rPr>
      </w:pPr>
      <w:r>
        <w:rPr>
          <w:rFonts w:ascii="Gill Sans MT" w:hAnsi="Gill Sans MT"/>
          <w:b/>
          <w:sz w:val="20"/>
          <w:szCs w:val="20"/>
          <w:lang w:val="en-GB"/>
        </w:rPr>
        <w:t xml:space="preserve">October – </w:t>
      </w:r>
      <w:r>
        <w:rPr>
          <w:rFonts w:ascii="Gill Sans MT" w:hAnsi="Gill Sans MT"/>
          <w:b/>
          <w:sz w:val="20"/>
          <w:szCs w:val="20"/>
          <w:lang w:val="en-GB"/>
        </w:rPr>
        <w:t>The Girl Effect (Creation Positive Change in Girls’ Lives)</w:t>
      </w:r>
      <w:r>
        <w:rPr>
          <w:rFonts w:ascii="Gill Sans MT" w:hAnsi="Gill Sans MT"/>
          <w:b/>
          <w:sz w:val="20"/>
          <w:szCs w:val="20"/>
          <w:lang w:val="en-GB"/>
        </w:rPr>
        <w:t xml:space="preserve"> </w:t>
      </w:r>
    </w:p>
    <w:p>
      <w:pPr>
        <w:pStyle w:val="style179"/>
        <w:jc w:val="both"/>
        <w:rPr>
          <w:rFonts w:ascii="Gill Sans MT" w:hAnsi="Gill Sans MT"/>
          <w:sz w:val="20"/>
          <w:szCs w:val="20"/>
          <w:lang w:val="en-GB"/>
        </w:rPr>
      </w:pPr>
    </w:p>
    <w:p>
      <w:pPr>
        <w:pStyle w:val="style0"/>
        <w:rPr>
          <w:rFonts w:ascii="Times New Roman" w:cs="Times New Roman" w:hAnsi="Times New Roman"/>
          <w:b/>
        </w:rPr>
      </w:pPr>
      <w:r>
        <w:rPr>
          <w:rFonts w:ascii="Times New Roman" w:hAnsi="Times New Roman"/>
          <w:b/>
        </w:rPr>
        <w:t>Background:</w:t>
      </w:r>
    </w:p>
    <w:p>
      <w:pPr>
        <w:pStyle w:val="style0"/>
        <w:rPr>
          <w:rFonts w:ascii="Times New Roman" w:cs="Times New Roman" w:hAnsi="Times New Roman"/>
        </w:rPr>
      </w:pPr>
      <w:r>
        <w:rPr>
          <w:rFonts w:ascii="Times New Roman" w:cs="Times New Roman" w:hAnsi="Times New Roman"/>
        </w:rPr>
        <w:t xml:space="preserve">The Girl Effect project aims to empower young girls in upper primary schools (P5-P7) through education, mentorship, and support. Inspired by the efforts of Christian </w:t>
      </w:r>
      <w:r>
        <w:rPr>
          <w:rFonts w:ascii="Times New Roman" w:cs="Times New Roman" w:hAnsi="Times New Roman"/>
        </w:rPr>
        <w:t>Steepers</w:t>
      </w:r>
      <w:r>
        <w:rPr>
          <w:rFonts w:ascii="Times New Roman" w:cs="Times New Roman" w:hAnsi="Times New Roman"/>
        </w:rPr>
        <w:t>, a youth group that launched this initiative in 2018, the project focuses on:</w:t>
      </w:r>
    </w:p>
    <w:p>
      <w:pPr>
        <w:pStyle w:val="style0"/>
        <w:numPr>
          <w:ilvl w:val="0"/>
          <w:numId w:val="6"/>
        </w:numPr>
        <w:spacing w:after="200" w:lineRule="auto" w:line="276"/>
        <w:rPr>
          <w:rFonts w:ascii="Times New Roman" w:hAnsi="Times New Roman"/>
        </w:rPr>
      </w:pPr>
      <w:r>
        <w:rPr>
          <w:rFonts w:ascii="Times New Roman" w:hAnsi="Times New Roman"/>
        </w:rPr>
        <w:t>Career Guidance</w:t>
      </w:r>
      <w:r>
        <w:rPr>
          <w:rFonts w:ascii="Times New Roman" w:cs="Times New Roman" w:hAnsi="Times New Roman"/>
        </w:rPr>
        <w:t>: Providing role models and mentors to guide girls in choosing suitable subjects and career paths.</w:t>
      </w:r>
    </w:p>
    <w:p>
      <w:pPr>
        <w:pStyle w:val="style0"/>
        <w:numPr>
          <w:ilvl w:val="0"/>
          <w:numId w:val="6"/>
        </w:numPr>
        <w:spacing w:after="200" w:lineRule="auto" w:line="276"/>
        <w:rPr>
          <w:rFonts w:ascii="Times New Roman" w:hAnsi="Times New Roman"/>
        </w:rPr>
      </w:pPr>
      <w:r>
        <w:rPr>
          <w:rFonts w:ascii="Times New Roman" w:cs="Times New Roman" w:hAnsi="Times New Roman"/>
        </w:rPr>
        <w:t>S</w:t>
      </w:r>
      <w:r>
        <w:rPr>
          <w:rFonts w:ascii="Times New Roman" w:hAnsi="Times New Roman"/>
        </w:rPr>
        <w:t>exual Reproductive Health (SRH)</w:t>
      </w:r>
      <w:r>
        <w:rPr>
          <w:rFonts w:ascii="Times New Roman" w:cs="Times New Roman" w:hAnsi="Times New Roman"/>
        </w:rPr>
        <w:t>: Educating girls about their reproductive health and rights.</w:t>
      </w:r>
    </w:p>
    <w:p>
      <w:pPr>
        <w:pStyle w:val="style0"/>
        <w:numPr>
          <w:ilvl w:val="0"/>
          <w:numId w:val="6"/>
        </w:numPr>
        <w:spacing w:after="200" w:lineRule="auto" w:line="276"/>
        <w:rPr>
          <w:rFonts w:ascii="Times New Roman" w:hAnsi="Times New Roman"/>
        </w:rPr>
      </w:pPr>
      <w:r>
        <w:rPr>
          <w:rFonts w:ascii="Times New Roman" w:cs="Times New Roman" w:hAnsi="Times New Roman"/>
        </w:rPr>
        <w:t>Anti-FGM</w:t>
      </w:r>
      <w:r>
        <w:rPr>
          <w:rFonts w:ascii="Times New Roman" w:hAnsi="Times New Roman"/>
        </w:rPr>
        <w:t xml:space="preserve"> and Harmful Cultural Practices</w:t>
      </w:r>
      <w:r>
        <w:rPr>
          <w:rFonts w:ascii="Times New Roman" w:cs="Times New Roman" w:hAnsi="Times New Roman"/>
        </w:rPr>
        <w:t>: Raising awareness about the dangers of female genital mutilation (FGM) and other harmful cultural practices.</w:t>
      </w:r>
    </w:p>
    <w:p>
      <w:pPr>
        <w:pStyle w:val="style0"/>
        <w:numPr>
          <w:ilvl w:val="0"/>
          <w:numId w:val="6"/>
        </w:numPr>
        <w:spacing w:after="200" w:lineRule="auto" w:line="276"/>
        <w:rPr>
          <w:rFonts w:ascii="Times New Roman" w:hAnsi="Times New Roman"/>
        </w:rPr>
      </w:pPr>
      <w:r>
        <w:rPr>
          <w:rFonts w:ascii="Times New Roman" w:cs="Times New Roman" w:hAnsi="Times New Roman"/>
        </w:rPr>
        <w:t>Talent</w:t>
      </w:r>
      <w:r>
        <w:rPr>
          <w:rFonts w:ascii="Times New Roman" w:hAnsi="Times New Roman"/>
        </w:rPr>
        <w:t xml:space="preserve"> Identification and Development</w:t>
      </w:r>
      <w:r>
        <w:rPr>
          <w:rFonts w:ascii="Times New Roman" w:cs="Times New Roman" w:hAnsi="Times New Roman"/>
        </w:rPr>
        <w:t>: Encouraging girls to identify and nurture their talents.</w:t>
      </w:r>
    </w:p>
    <w:p>
      <w:pPr>
        <w:pStyle w:val="style0"/>
        <w:numPr>
          <w:ilvl w:val="0"/>
          <w:numId w:val="6"/>
        </w:numPr>
        <w:spacing w:after="200" w:lineRule="auto" w:line="276"/>
        <w:rPr>
          <w:rFonts w:ascii="Times New Roman" w:cs="Times New Roman" w:hAnsi="Times New Roman"/>
        </w:rPr>
      </w:pPr>
      <w:r>
        <w:rPr>
          <w:rFonts w:ascii="Times New Roman" w:hAnsi="Times New Roman"/>
        </w:rPr>
        <w:t>Sanitary Pad Distribution</w:t>
      </w:r>
      <w:r>
        <w:rPr>
          <w:rFonts w:ascii="Times New Roman" w:cs="Times New Roman" w:hAnsi="Times New Roman"/>
        </w:rPr>
        <w:t>: Providing sanitary pads to ensure girls' dignity and attendance.</w:t>
      </w:r>
    </w:p>
    <w:p>
      <w:pPr>
        <w:pStyle w:val="style0"/>
        <w:rPr>
          <w:rFonts w:ascii="Times New Roman" w:cs="Times New Roman" w:hAnsi="Times New Roman"/>
          <w:b/>
        </w:rPr>
      </w:pPr>
      <w:r>
        <w:rPr>
          <w:rFonts w:ascii="Times New Roman" w:hAnsi="Times New Roman"/>
          <w:b/>
        </w:rPr>
        <w:t>Objectives:</w:t>
      </w:r>
    </w:p>
    <w:p>
      <w:pPr>
        <w:pStyle w:val="style0"/>
        <w:numPr>
          <w:ilvl w:val="0"/>
          <w:numId w:val="7"/>
        </w:numPr>
        <w:spacing w:after="200" w:lineRule="auto" w:line="276"/>
        <w:rPr>
          <w:rFonts w:ascii="Times New Roman" w:hAnsi="Times New Roman"/>
        </w:rPr>
      </w:pPr>
      <w:r>
        <w:rPr>
          <w:rFonts w:ascii="Times New Roman" w:cs="Times New Roman" w:hAnsi="Times New Roman"/>
        </w:rPr>
        <w:t>Empower girls with knowledge and skills for a brighter future.</w:t>
      </w:r>
    </w:p>
    <w:p>
      <w:pPr>
        <w:pStyle w:val="style0"/>
        <w:numPr>
          <w:ilvl w:val="0"/>
          <w:numId w:val="7"/>
        </w:numPr>
        <w:spacing w:after="200" w:lineRule="auto" w:line="276"/>
        <w:rPr>
          <w:rFonts w:ascii="Times New Roman" w:hAnsi="Times New Roman"/>
        </w:rPr>
      </w:pPr>
      <w:r>
        <w:rPr>
          <w:rFonts w:ascii="Times New Roman" w:cs="Times New Roman" w:hAnsi="Times New Roman"/>
        </w:rPr>
        <w:t>Enhance girls' confidence and self-esteem.</w:t>
      </w:r>
    </w:p>
    <w:p>
      <w:pPr>
        <w:pStyle w:val="style0"/>
        <w:numPr>
          <w:ilvl w:val="0"/>
          <w:numId w:val="7"/>
        </w:numPr>
        <w:spacing w:after="200" w:lineRule="auto" w:line="276"/>
        <w:rPr>
          <w:rFonts w:ascii="Times New Roman" w:hAnsi="Times New Roman"/>
        </w:rPr>
      </w:pPr>
      <w:r>
        <w:rPr>
          <w:rFonts w:ascii="Times New Roman" w:cs="Times New Roman" w:hAnsi="Times New Roman"/>
        </w:rPr>
        <w:t>Reduce school dropout rates due to menstruation or lack of guidance.</w:t>
      </w:r>
    </w:p>
    <w:p>
      <w:pPr>
        <w:pStyle w:val="style0"/>
        <w:numPr>
          <w:ilvl w:val="0"/>
          <w:numId w:val="7"/>
        </w:numPr>
        <w:spacing w:after="200" w:lineRule="auto" w:line="276"/>
        <w:rPr>
          <w:rFonts w:ascii="Times New Roman" w:cs="Times New Roman" w:hAnsi="Times New Roman"/>
        </w:rPr>
      </w:pPr>
      <w:r>
        <w:rPr>
          <w:rFonts w:ascii="Times New Roman" w:cs="Times New Roman" w:hAnsi="Times New Roman"/>
        </w:rPr>
        <w:t>Foster a supportive community that promotes girls' education and well-being.</w:t>
      </w:r>
    </w:p>
    <w:p>
      <w:pPr>
        <w:pStyle w:val="style0"/>
        <w:rPr>
          <w:rFonts w:ascii="Times New Roman" w:cs="Times New Roman" w:hAnsi="Times New Roman"/>
          <w:b/>
        </w:rPr>
      </w:pPr>
      <w:r>
        <w:rPr>
          <w:rFonts w:ascii="Times New Roman" w:hAnsi="Times New Roman"/>
          <w:b/>
        </w:rPr>
        <w:t>Implementation:</w:t>
      </w:r>
    </w:p>
    <w:p>
      <w:pPr>
        <w:pStyle w:val="style0"/>
        <w:rPr>
          <w:rFonts w:ascii="Times New Roman" w:cs="Times New Roman" w:hAnsi="Times New Roman"/>
        </w:rPr>
      </w:pPr>
      <w:r>
        <w:rPr>
          <w:rFonts w:ascii="Times New Roman" w:cs="Times New Roman" w:hAnsi="Times New Roman"/>
        </w:rPr>
        <w:t>The project will involve:</w:t>
      </w:r>
    </w:p>
    <w:p>
      <w:pPr>
        <w:pStyle w:val="style0"/>
        <w:numPr>
          <w:ilvl w:val="0"/>
          <w:numId w:val="8"/>
        </w:numPr>
        <w:spacing w:after="200" w:lineRule="auto" w:line="276"/>
        <w:rPr>
          <w:rFonts w:ascii="Times New Roman" w:hAnsi="Times New Roman"/>
        </w:rPr>
      </w:pPr>
      <w:r>
        <w:rPr>
          <w:rFonts w:ascii="Times New Roman" w:cs="Times New Roman" w:hAnsi="Times New Roman"/>
        </w:rPr>
        <w:t>Fundraising and resource mobilization.</w:t>
      </w:r>
    </w:p>
    <w:p>
      <w:pPr>
        <w:pStyle w:val="style0"/>
        <w:numPr>
          <w:ilvl w:val="0"/>
          <w:numId w:val="8"/>
        </w:numPr>
        <w:spacing w:after="200" w:lineRule="auto" w:line="276"/>
        <w:rPr>
          <w:rFonts w:ascii="Times New Roman" w:hAnsi="Times New Roman"/>
        </w:rPr>
      </w:pPr>
      <w:r>
        <w:rPr>
          <w:rFonts w:ascii="Times New Roman" w:cs="Times New Roman" w:hAnsi="Times New Roman"/>
        </w:rPr>
        <w:t>Collaborating with schools and local authorities.</w:t>
      </w:r>
    </w:p>
    <w:p>
      <w:pPr>
        <w:pStyle w:val="style0"/>
        <w:numPr>
          <w:ilvl w:val="0"/>
          <w:numId w:val="8"/>
        </w:numPr>
        <w:spacing w:after="200" w:lineRule="auto" w:line="276"/>
        <w:rPr>
          <w:rFonts w:ascii="Times New Roman" w:hAnsi="Times New Roman"/>
        </w:rPr>
      </w:pPr>
      <w:r>
        <w:rPr>
          <w:rFonts w:ascii="Times New Roman" w:cs="Times New Roman" w:hAnsi="Times New Roman"/>
        </w:rPr>
        <w:t>Identifying and training role models and mentors.</w:t>
      </w:r>
    </w:p>
    <w:p>
      <w:pPr>
        <w:pStyle w:val="style0"/>
        <w:numPr>
          <w:ilvl w:val="0"/>
          <w:numId w:val="8"/>
        </w:numPr>
        <w:spacing w:after="200" w:lineRule="auto" w:line="276"/>
        <w:rPr>
          <w:rFonts w:ascii="Times New Roman" w:cs="Times New Roman" w:hAnsi="Times New Roman"/>
        </w:rPr>
      </w:pPr>
      <w:r>
        <w:rPr>
          <w:rFonts w:ascii="Times New Roman" w:cs="Times New Roman" w:hAnsi="Times New Roman"/>
        </w:rPr>
        <w:t>Developing educational materials and workshops.</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rPr>
        <w:t>By working together, we can create a positive impact in the lives of these young girls and empower them to become agents of change in their communities.</w:t>
      </w:r>
    </w:p>
    <w:p>
      <w:pPr>
        <w:pStyle w:val="style0"/>
        <w:rPr>
          <w:rFonts w:ascii="Times New Roman" w:cs="Times New Roman" w:hAnsi="Times New Roman"/>
        </w:rPr>
      </w:pPr>
    </w:p>
    <w:p>
      <w:pPr>
        <w:pStyle w:val="style179"/>
        <w:numPr>
          <w:ilvl w:val="0"/>
          <w:numId w:val="5"/>
        </w:numPr>
        <w:jc w:val="both"/>
        <w:rPr>
          <w:rFonts w:ascii="Gill Sans MT" w:hAnsi="Gill Sans MT"/>
          <w:sz w:val="20"/>
          <w:szCs w:val="20"/>
          <w:lang w:val="en-GB"/>
        </w:rPr>
      </w:pPr>
      <w:r>
        <w:rPr>
          <w:rFonts w:ascii="Gill Sans MT" w:hAnsi="Gill Sans MT"/>
          <w:sz w:val="20"/>
          <w:szCs w:val="20"/>
          <w:lang w:val="en-GB"/>
        </w:rPr>
        <w:t>20</w:t>
      </w:r>
      <w:r>
        <w:rPr>
          <w:rFonts w:ascii="Gill Sans MT" w:hAnsi="Gill Sans MT"/>
          <w:sz w:val="20"/>
          <w:szCs w:val="20"/>
          <w:vertAlign w:val="superscript"/>
          <w:lang w:val="en-GB"/>
        </w:rPr>
        <w:t>th</w:t>
      </w:r>
      <w:r>
        <w:rPr>
          <w:rFonts w:ascii="Gill Sans MT" w:hAnsi="Gill Sans MT"/>
          <w:sz w:val="20"/>
          <w:szCs w:val="20"/>
          <w:lang w:val="en-GB"/>
        </w:rPr>
        <w:t xml:space="preserve"> December </w:t>
      </w:r>
      <w:r>
        <w:rPr>
          <w:rFonts w:ascii="Gill Sans MT" w:hAnsi="Gill Sans MT"/>
          <w:sz w:val="20"/>
          <w:szCs w:val="20"/>
          <w:lang w:val="en-GB"/>
        </w:rPr>
        <w:t>–</w:t>
      </w:r>
      <w:r>
        <w:rPr>
          <w:rFonts w:ascii="Gill Sans MT" w:hAnsi="Gill Sans MT"/>
          <w:sz w:val="20"/>
          <w:szCs w:val="20"/>
          <w:lang w:val="en-GB"/>
        </w:rPr>
        <w:t xml:space="preserve"> Creation Steppers Summer Festival  </w:t>
      </w:r>
    </w:p>
    <w:bookmarkStart w:id="0" w:name="_GoBack"/>
    <w:bookmarkEnd w:id="0"/>
    <w:p>
      <w:pPr>
        <w:pStyle w:val="style179"/>
        <w:jc w:val="both"/>
        <w:rPr>
          <w:rFonts w:ascii="Gill Sans MT" w:hAnsi="Gill Sans MT"/>
          <w:sz w:val="20"/>
          <w:szCs w:val="20"/>
          <w:lang w:val="en-GB"/>
        </w:rPr>
      </w:pPr>
    </w:p>
    <w:p>
      <w:pPr>
        <w:pStyle w:val="style179"/>
        <w:jc w:val="both"/>
        <w:rPr>
          <w:rFonts w:ascii="Gill Sans MT" w:hAnsi="Gill Sans MT"/>
          <w:sz w:val="20"/>
          <w:szCs w:val="20"/>
          <w:lang w:val="en-GB"/>
        </w:rPr>
      </w:pPr>
      <w:r>
        <w:rPr>
          <w:rFonts w:hAnsi="Gill Sans MT"/>
          <w:sz w:val="20"/>
          <w:szCs w:val="20"/>
          <w:lang w:val="en-US"/>
        </w:rPr>
        <w:t>Creation Steppers Summer Festival Background</w:t>
      </w:r>
    </w:p>
    <w:p>
      <w:pPr>
        <w:pStyle w:val="style179"/>
        <w:jc w:val="both"/>
        <w:rPr>
          <w:rFonts w:ascii="Gill Sans MT" w:hAnsi="Gill Sans MT"/>
          <w:sz w:val="20"/>
          <w:szCs w:val="20"/>
          <w:lang w:val="en-GB"/>
        </w:rPr>
      </w:pPr>
    </w:p>
    <w:p>
      <w:pPr>
        <w:pStyle w:val="style179"/>
        <w:jc w:val="both"/>
        <w:rPr>
          <w:rFonts w:ascii="Gill Sans MT" w:hAnsi="Gill Sans MT"/>
          <w:sz w:val="20"/>
          <w:szCs w:val="20"/>
          <w:lang w:val="en-GB"/>
        </w:rPr>
      </w:pPr>
      <w:r>
        <w:rPr>
          <w:rFonts w:hAnsi="Gill Sans MT"/>
          <w:sz w:val="20"/>
          <w:szCs w:val="20"/>
          <w:lang w:val="en-US"/>
        </w:rPr>
        <w:t>The Creation Steppers Summer Festival is an annual event held on December 20th at Kitalakapel Pokot Bomas, aiming to:</w:t>
      </w:r>
    </w:p>
    <w:p>
      <w:pPr>
        <w:pStyle w:val="style179"/>
        <w:jc w:val="both"/>
        <w:rPr>
          <w:rFonts w:ascii="Gill Sans MT" w:hAnsi="Gill Sans MT"/>
          <w:sz w:val="20"/>
          <w:szCs w:val="20"/>
          <w:lang w:val="en-GB"/>
        </w:rPr>
      </w:pPr>
      <w:r>
        <w:rPr>
          <w:rFonts w:hAnsi="Gill Sans MT"/>
          <w:sz w:val="20"/>
          <w:szCs w:val="20"/>
          <w:lang w:val="en-US"/>
        </w:rPr>
        <w:t>- Foster Unity: Unite artists from Uganda, Kenya, and Sudan across borders.</w:t>
      </w:r>
    </w:p>
    <w:p>
      <w:pPr>
        <w:pStyle w:val="style179"/>
        <w:jc w:val="both"/>
        <w:rPr>
          <w:rFonts w:ascii="Gill Sans MT" w:hAnsi="Gill Sans MT"/>
          <w:sz w:val="20"/>
          <w:szCs w:val="20"/>
          <w:lang w:val="en-GB"/>
        </w:rPr>
      </w:pPr>
      <w:r>
        <w:rPr>
          <w:rFonts w:hAnsi="Gill Sans MT"/>
          <w:sz w:val="20"/>
          <w:szCs w:val="20"/>
          <w:lang w:val="en-US"/>
        </w:rPr>
        <w:t>- Fundraising: Generate income for Creation Steppers Youth Development Initiative.</w:t>
      </w:r>
    </w:p>
    <w:p>
      <w:pPr>
        <w:pStyle w:val="style179"/>
        <w:jc w:val="both"/>
        <w:rPr>
          <w:rFonts w:ascii="Gill Sans MT" w:hAnsi="Gill Sans MT"/>
          <w:sz w:val="20"/>
          <w:szCs w:val="20"/>
          <w:lang w:val="en-GB"/>
        </w:rPr>
      </w:pPr>
      <w:r>
        <w:rPr>
          <w:rFonts w:hAnsi="Gill Sans MT"/>
          <w:sz w:val="20"/>
          <w:szCs w:val="20"/>
          <w:lang w:val="en-US"/>
        </w:rPr>
        <w:t>- Awareness: Keep supporters informed about the organization's existence.</w:t>
      </w:r>
    </w:p>
    <w:p>
      <w:pPr>
        <w:pStyle w:val="style179"/>
        <w:jc w:val="both"/>
        <w:rPr>
          <w:rFonts w:ascii="Gill Sans MT" w:hAnsi="Gill Sans MT"/>
          <w:sz w:val="20"/>
          <w:szCs w:val="20"/>
          <w:lang w:val="en-GB"/>
        </w:rPr>
      </w:pPr>
      <w:r>
        <w:rPr>
          <w:rFonts w:hAnsi="Gill Sans MT"/>
          <w:sz w:val="20"/>
          <w:szCs w:val="20"/>
          <w:lang w:val="en-US"/>
        </w:rPr>
        <w:t>- Consistency: Maintain a regular schedule, showcasing the initiative's activities.</w:t>
      </w:r>
    </w:p>
    <w:p>
      <w:pPr>
        <w:pStyle w:val="style179"/>
        <w:jc w:val="both"/>
        <w:rPr>
          <w:rFonts w:ascii="Gill Sans MT" w:hAnsi="Gill Sans MT"/>
          <w:sz w:val="20"/>
          <w:szCs w:val="20"/>
          <w:lang w:val="en-GB"/>
        </w:rPr>
      </w:pPr>
      <w:r>
        <w:rPr>
          <w:rFonts w:hAnsi="Gill Sans MT"/>
          <w:sz w:val="20"/>
          <w:szCs w:val="20"/>
          <w:lang w:val="en-US"/>
        </w:rPr>
        <w:t>- Sustainability: Ensure long-term viability of Christian Stippers' projects, including empowering girls and youth through education, mentorship, and arts.</w:t>
      </w:r>
    </w:p>
    <w:p>
      <w:pPr>
        <w:pStyle w:val="style179"/>
        <w:jc w:val="both"/>
        <w:rPr>
          <w:rFonts w:ascii="Gill Sans MT" w:hAnsi="Gill Sans MT"/>
          <w:sz w:val="20"/>
          <w:szCs w:val="20"/>
          <w:lang w:val="en-GB"/>
        </w:rPr>
      </w:pPr>
    </w:p>
    <w:p>
      <w:pPr>
        <w:pStyle w:val="style179"/>
        <w:jc w:val="both"/>
        <w:rPr>
          <w:rFonts w:ascii="Gill Sans MT" w:hAnsi="Gill Sans MT"/>
          <w:sz w:val="20"/>
          <w:szCs w:val="20"/>
          <w:lang w:val="en-GB"/>
        </w:rPr>
      </w:pPr>
      <w:r>
        <w:rPr>
          <w:rFonts w:hAnsi="Gill Sans MT"/>
          <w:sz w:val="20"/>
          <w:szCs w:val="20"/>
          <w:lang w:val="en-US"/>
        </w:rPr>
        <w:t>Previous Editions:</w:t>
      </w:r>
    </w:p>
    <w:p>
      <w:pPr>
        <w:pStyle w:val="style179"/>
        <w:jc w:val="both"/>
        <w:rPr>
          <w:rFonts w:ascii="Gill Sans MT" w:hAnsi="Gill Sans MT"/>
          <w:sz w:val="20"/>
          <w:szCs w:val="20"/>
          <w:lang w:val="en-GB"/>
        </w:rPr>
      </w:pPr>
      <w:r>
        <w:rPr>
          <w:rFonts w:hAnsi="Gill Sans MT"/>
          <w:sz w:val="20"/>
          <w:szCs w:val="20"/>
          <w:lang w:val="en-US"/>
        </w:rPr>
        <w:t>- 1st edition: 2022</w:t>
      </w:r>
    </w:p>
    <w:p>
      <w:pPr>
        <w:pStyle w:val="style179"/>
        <w:jc w:val="both"/>
        <w:rPr>
          <w:rFonts w:ascii="Gill Sans MT" w:hAnsi="Gill Sans MT"/>
          <w:sz w:val="20"/>
          <w:szCs w:val="20"/>
          <w:lang w:val="en-GB"/>
        </w:rPr>
      </w:pPr>
      <w:r>
        <w:rPr>
          <w:rFonts w:hAnsi="Gill Sans MT"/>
          <w:sz w:val="20"/>
          <w:szCs w:val="20"/>
          <w:lang w:val="en-US"/>
        </w:rPr>
        <w:t>- 2nd edition: 2023</w:t>
      </w:r>
    </w:p>
    <w:p>
      <w:pPr>
        <w:pStyle w:val="style179"/>
        <w:jc w:val="both"/>
        <w:rPr>
          <w:rFonts w:ascii="Gill Sans MT" w:hAnsi="Gill Sans MT"/>
          <w:sz w:val="20"/>
          <w:szCs w:val="20"/>
          <w:lang w:val="en-GB"/>
        </w:rPr>
      </w:pPr>
      <w:r>
        <w:rPr>
          <w:rFonts w:hAnsi="Gill Sans MT"/>
          <w:sz w:val="20"/>
          <w:szCs w:val="20"/>
          <w:lang w:val="en-US"/>
        </w:rPr>
        <w:t>- 3rd edition: 2024</w:t>
      </w:r>
    </w:p>
    <w:p>
      <w:pPr>
        <w:pStyle w:val="style179"/>
        <w:jc w:val="both"/>
        <w:rPr>
          <w:rFonts w:ascii="Gill Sans MT" w:hAnsi="Gill Sans MT"/>
          <w:sz w:val="20"/>
          <w:szCs w:val="20"/>
          <w:lang w:val="en-GB"/>
        </w:rPr>
      </w:pPr>
      <w:r>
        <w:rPr>
          <w:rFonts w:hAnsi="Gill Sans MT"/>
          <w:sz w:val="20"/>
          <w:szCs w:val="20"/>
          <w:lang w:val="en-US"/>
        </w:rPr>
        <w:t>- Upcoming edition: 4th edition, December 20, 2025</w:t>
      </w:r>
    </w:p>
    <w:p>
      <w:pPr>
        <w:pStyle w:val="style179"/>
        <w:jc w:val="both"/>
        <w:rPr>
          <w:rFonts w:ascii="Gill Sans MT" w:hAnsi="Gill Sans MT"/>
          <w:sz w:val="20"/>
          <w:szCs w:val="20"/>
          <w:lang w:val="en-GB"/>
        </w:rPr>
      </w:pPr>
    </w:p>
    <w:p>
      <w:pPr>
        <w:pStyle w:val="style179"/>
        <w:jc w:val="both"/>
        <w:rPr>
          <w:rFonts w:ascii="Gill Sans MT" w:hAnsi="Gill Sans MT"/>
          <w:sz w:val="20"/>
          <w:szCs w:val="20"/>
          <w:lang w:val="en-GB"/>
        </w:rPr>
      </w:pPr>
      <w:r>
        <w:rPr>
          <w:rFonts w:hAnsi="Gill Sans MT"/>
          <w:sz w:val="20"/>
          <w:szCs w:val="20"/>
          <w:lang w:val="en-US"/>
        </w:rPr>
        <w:t>This event supports Creation Steppers mission to develop youth through various initiatives, promoting positive change in their communities.</w:t>
      </w:r>
    </w:p>
    <w:p>
      <w:pPr>
        <w:pStyle w:val="style0"/>
        <w:jc w:val="both"/>
        <w:rPr>
          <w:rFonts w:ascii="Gill Sans MT" w:hAnsi="Gill Sans MT"/>
          <w:sz w:val="20"/>
          <w:szCs w:val="20"/>
          <w:lang w:val="en-GB"/>
        </w:rPr>
      </w:pPr>
    </w:p>
    <w:p>
      <w:pPr>
        <w:pStyle w:val="style0"/>
        <w:rPr/>
      </w:pPr>
    </w:p>
    <w:sectPr>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3"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Gill Sans MT">
    <w:altName w:val="Gill Sans MT"/>
    <w:panose1 w:val="020b0502020001020203"/>
    <w:charset w:val="00"/>
    <w:family w:val="swiss"/>
    <w:pitch w:val="variable"/>
    <w:sig w:usb0="00000007" w:usb1="00000000" w:usb2="00000000" w:usb3="00000000" w:csb0="00000003" w:csb1="00000000"/>
  </w:font>
  <w:font w:name="Calibri">
    <w:altName w:val="Calibri"/>
    <w:panose1 w:val="020f0502020002030204"/>
    <w:charset w:val="00"/>
    <w:family w:val="swiss"/>
    <w:pitch w:val="variable"/>
    <w:sig w:usb0="E00002FF" w:usb1="4000ACFF" w:usb2="00000001" w:usb3="00000000" w:csb0="0000019F" w:csb1="00000000"/>
  </w:font>
  <w:font w:name="Calibri Light">
    <w:altName w:val="Calibri Light"/>
    <w:panose1 w:val="020f0302020002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7B42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10CEF1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65CC9CFC"/>
    <w:lvl w:ilvl="0" w:tplc="E8640C7C">
      <w:start w:val="1"/>
      <w:numFmt w:val="bullet"/>
      <w:lvlText w:val=""/>
      <w:lvlJc w:val="left"/>
      <w:pPr>
        <w:ind w:left="360" w:hanging="360"/>
      </w:pPr>
      <w:rPr>
        <w:rFonts w:ascii="Symbol" w:hAnsi="Symbol" w:hint="default"/>
        <w:color w:val="000000"/>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21286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0000004"/>
    <w:multiLevelType w:val="hybridMultilevel"/>
    <w:tmpl w:val="84900F7E"/>
    <w:lvl w:ilvl="0" w:tplc="2DA0DDFA">
      <w:start w:val="1"/>
      <w:numFmt w:val="decimal"/>
      <w:lvlText w:val="%1."/>
      <w:lvlJc w:val="left"/>
      <w:pPr>
        <w:ind w:left="1380" w:hanging="360"/>
      </w:pPr>
      <w:rPr>
        <w:rFonts w:hint="default"/>
        <w:color w:val="000000"/>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5">
    <w:nsid w:val="00000005"/>
    <w:multiLevelType w:val="hybridMultilevel"/>
    <w:tmpl w:val="37EEF662"/>
    <w:lvl w:ilvl="0" w:tplc="AF0E373A">
      <w:start w:val="1"/>
      <w:numFmt w:val="bullet"/>
      <w:lvlText w:val="-"/>
      <w:lvlJc w:val="left"/>
      <w:pPr>
        <w:ind w:left="720" w:hanging="360"/>
      </w:pPr>
      <w:rPr>
        <w:rFonts w:ascii="Gill Sans MT" w:cs="宋体" w:eastAsia="Calibri" w:hAnsi="Gill Sans MT"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15DC1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5ABAF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5"/>
  </w:num>
  <w:num w:numId="5">
    <w:abstractNumId w:val="1"/>
  </w:num>
  <w:num w:numId="6">
    <w:abstractNumId w:val="6"/>
  </w:num>
  <w:num w:numId="7">
    <w:abstractNumId w:val="0"/>
  </w:num>
  <w:num w:numId="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link w:val="style4097"/>
    <w:qFormat/>
    <w:uiPriority w:val="1"/>
    <w:pPr>
      <w:spacing w:after="0" w:lineRule="auto" w:line="276"/>
      <w:ind w:left="720"/>
      <w:contextualSpacing/>
    </w:pPr>
    <w:rPr>
      <w:rFonts w:ascii="Times New Roman" w:cs="Times New Roman" w:eastAsia="Times New Roman" w:hAnsi="Times New Roman"/>
      <w:sz w:val="24"/>
      <w:szCs w:val="24"/>
    </w:rPr>
  </w:style>
  <w:style w:type="character" w:customStyle="1" w:styleId="style4097">
    <w:name w:val="List Paragraph Char"/>
    <w:basedOn w:val="style65"/>
    <w:next w:val="style4097"/>
    <w:link w:val="style179"/>
    <w:uiPriority w:val="1"/>
    <w:rPr>
      <w:rFonts w:ascii="Times New Roman" w:cs="Times New Roman" w:eastAsia="Times New Roman" w:hAnsi="Times New Roman"/>
      <w:sz w:val="24"/>
      <w:szCs w:val="24"/>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746B7-679D-4D18-A4A3-C85D2CE3A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Words>886</Words>
  <Pages>3</Pages>
  <Characters>5219</Characters>
  <Application>WPS Office</Application>
  <DocSecurity>0</DocSecurity>
  <Paragraphs>96</Paragraphs>
  <ScaleCrop>false</ScaleCrop>
  <LinksUpToDate>false</LinksUpToDate>
  <CharactersWithSpaces>6050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2025-10-30T21:20:00Z</dcterms:created>
  <dc:creator>Admin</dc:creator>
  <lastModifiedBy>STK-L21</lastModifiedBy>
  <dcterms:modified xsi:type="dcterms:W3CDTF">2025-10-30T23:29:26Z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6ab8f5797f824631917b0ed93e1aff6b</vt:lpwstr>
  </property>
</Properties>
</file>