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467F"/>
          <w:sz w:val="26"/>
        </w:rPr>
        <w:t>Auto-AI Software Diagrams Generator Using LLMs</w:t>
      </w:r>
    </w:p>
    <w:p>
      <w:pPr>
        <w:spacing w:after="80"/>
        <w:jc w:val="center"/>
      </w:pPr>
      <w:r>
        <w:rPr>
          <w:color w:val="505050"/>
          <w:sz w:val="18"/>
        </w:rPr>
        <w:t>Project Proposal  |  Team 5</w:t>
      </w:r>
    </w:p>
    <w:p>
      <w:pPr>
        <w:spacing w:before="120" w:after="40"/>
      </w:pPr>
      <w:r>
        <w:rPr>
          <w:b/>
          <w:color w:val="00467F"/>
          <w:sz w:val="22"/>
        </w:rPr>
        <w:t>1. Problem Statement</w:t>
      </w:r>
    </w:p>
    <w:p>
      <w:pPr>
        <w:spacing w:before="0" w:after="40" w:line="260" w:lineRule="exact"/>
      </w:pPr>
      <w:r>
        <w:rPr>
          <w:sz w:val="18"/>
        </w:rPr>
        <w:t>Maintaining accurate software documentation is a persistent challenge in modern software engineering. UML sequence and class diagrams are essential artifacts for understanding system architecture and runtime behavior, yet their manual creation is labor-intensive, error-prone, and quickly becomes outdated as codebases evolve. This documentation drift hinders developer onboarding, code maintenance, and cross-team collaboration. The scope of the problem spans all software projects regardless of size or language, making an automated, reliable solution broadly impactful. This project addresses the challenge by building a pipeline that automatically generates high-quality UML diagrams directly from source code using multiple Large Language Models (LLMs) in parallel, with built-in quality evaluation and accuracy measurement.</w:t>
      </w:r>
    </w:p>
    <w:p>
      <w:pPr>
        <w:spacing w:before="120" w:after="40"/>
      </w:pPr>
      <w:r>
        <w:rPr>
          <w:b/>
          <w:color w:val="00467F"/>
          <w:sz w:val="22"/>
        </w:rPr>
        <w:t>2. Related Work</w:t>
      </w:r>
    </w:p>
    <w:p>
      <w:pPr>
        <w:spacing w:before="0" w:after="40" w:line="260" w:lineRule="exact"/>
      </w:pPr>
      <w:r>
        <w:rPr>
          <w:sz w:val="18"/>
        </w:rPr>
        <w:t>The following ten academic works form the foundation of this research:</w:t>
      </w:r>
    </w:p>
    <w:p>
      <w:pPr>
        <w:pStyle w:val="ListNumber"/>
        <w:spacing w:before="0" w:after="20" w:line="220" w:lineRule="exact"/>
      </w:pPr>
      <w:r>
        <w:rPr>
          <w:sz w:val="16"/>
        </w:rPr>
        <w:t>Brown, T. B., et al. (2020). "Language Models are Few-Shot Learners." Advances in Neural Information Processing Systems (NeurIPS), 33, 1877–1901.</w:t>
      </w:r>
    </w:p>
    <w:p>
      <w:pPr>
        <w:pStyle w:val="ListNumber"/>
        <w:spacing w:before="0" w:after="20" w:line="220" w:lineRule="exact"/>
      </w:pPr>
      <w:r>
        <w:rPr>
          <w:sz w:val="16"/>
        </w:rPr>
        <w:t>Chen, M., et al. (2021). "Evaluating Large Language Models Trained on Code." arXiv preprint arXiv:2107.03374. OpenAI Codex.</w:t>
      </w:r>
    </w:p>
    <w:p>
      <w:pPr>
        <w:pStyle w:val="ListNumber"/>
        <w:spacing w:before="0" w:after="20" w:line="220" w:lineRule="exact"/>
      </w:pPr>
      <w:r>
        <w:rPr>
          <w:sz w:val="16"/>
        </w:rPr>
        <w:t>Zan, D., et al. (2023). "Large Language Models Meet NL2Code: A Survey." Proceedings of the 61st Annual Meeting of the ACL, 7443–7464.</w:t>
      </w:r>
    </w:p>
    <w:p>
      <w:pPr>
        <w:pStyle w:val="ListNumber"/>
        <w:spacing w:before="0" w:after="20" w:line="220" w:lineRule="exact"/>
      </w:pPr>
      <w:r>
        <w:rPr>
          <w:sz w:val="16"/>
        </w:rPr>
        <w:t>Wei, J., et al. (2022). "Chain-of-Thought Prompting Elicits Reasoning in Large Language Models." NeurIPS 35, 24824–24837.</w:t>
      </w:r>
    </w:p>
    <w:p>
      <w:pPr>
        <w:pStyle w:val="ListNumber"/>
        <w:spacing w:before="0" w:after="20" w:line="220" w:lineRule="exact"/>
      </w:pPr>
      <w:r>
        <w:rPr>
          <w:sz w:val="16"/>
        </w:rPr>
        <w:t>Guo, D., et al. (2024). "DeepSeek-Coder: When the Large Language Model Meets Programming – The Rise of Code Intelligence." arXiv:2401.14196.</w:t>
      </w:r>
    </w:p>
    <w:p>
      <w:pPr>
        <w:pStyle w:val="ListNumber"/>
        <w:spacing w:before="0" w:after="20" w:line="220" w:lineRule="exact"/>
      </w:pPr>
      <w:r>
        <w:rPr>
          <w:sz w:val="16"/>
        </w:rPr>
        <w:t>Lethbridge, T. C., Singer, J., &amp; Forward, A. (2003). "How Software Engineers Use Documentation: The State of the Practice." IEEE Software, 20(6), 35–39.</w:t>
      </w:r>
    </w:p>
    <w:p>
      <w:pPr>
        <w:pStyle w:val="ListNumber"/>
        <w:spacing w:before="0" w:after="20" w:line="220" w:lineRule="exact"/>
      </w:pPr>
      <w:r>
        <w:rPr>
          <w:sz w:val="16"/>
        </w:rPr>
        <w:t>Philippow, I., Streitferdt, D., Riebisch, M., &amp; Naumann, S. (2005). "An Approach for Reverse Engineering of Design Patterns." SEKE 2005, Springer.</w:t>
      </w:r>
    </w:p>
    <w:p>
      <w:pPr>
        <w:pStyle w:val="ListNumber"/>
        <w:spacing w:before="0" w:after="20" w:line="220" w:lineRule="exact"/>
      </w:pPr>
      <w:r>
        <w:rPr>
          <w:sz w:val="16"/>
        </w:rPr>
        <w:t>Treude, C., &amp; Robillard, M. P. (2016). "Augmenting API Documentation with Insights from Stack Overflow." ICSE 2016, IEEE, 392–403.</w:t>
      </w:r>
    </w:p>
    <w:p>
      <w:pPr>
        <w:pStyle w:val="ListNumber"/>
        <w:spacing w:before="0" w:after="20" w:line="220" w:lineRule="exact"/>
      </w:pPr>
      <w:r>
        <w:rPr>
          <w:sz w:val="16"/>
        </w:rPr>
        <w:t>Mäder, P., &amp; Egyed, A. (2015). "Do Developers Benefit from Requirements Traceability When Evolving and Maintaining a Software System?" Empirical Software Engineering, 20(2), 413–453.</w:t>
      </w:r>
    </w:p>
    <w:p>
      <w:pPr>
        <w:pStyle w:val="ListNumber"/>
        <w:spacing w:before="0" w:after="20" w:line="220" w:lineRule="exact"/>
      </w:pPr>
      <w:r>
        <w:rPr>
          <w:sz w:val="16"/>
        </w:rPr>
        <w:t>Bavota, G., De Lucia, A., Di Penta, M., Oliveto, R., &amp; Palomba, F. (2015). "An Experimental Investigation on the Innate Relationship Between Quality and Refactoring." JSS, Elsevier, 107, 1–23.</w:t>
      </w:r>
    </w:p>
    <w:p>
      <w:pPr>
        <w:spacing w:before="120" w:after="40"/>
      </w:pPr>
      <w:r>
        <w:rPr>
          <w:b/>
          <w:color w:val="00467F"/>
          <w:sz w:val="22"/>
        </w:rPr>
        <w:t>3. Research Gap</w:t>
      </w:r>
    </w:p>
    <w:p>
      <w:pPr>
        <w:spacing w:before="0" w:after="40" w:line="260" w:lineRule="exact"/>
      </w:pPr>
      <w:r>
        <w:rPr>
          <w:sz w:val="18"/>
        </w:rPr>
        <w:t>Existing UML generation tools rely on static analysis (AST parsing, reflection APIs) that capture structural information but fail to model semantic behavior or runtime interaction patterns. Early LLM-based approaches generate diagrams from a single model without comparative evaluation, offering no quality guarantee. No prior work combines: (a) parallel multi-provider LLM generation, (b) automated LLM-based judging of diagram quality, and (c) reconstruction-based accuracy scoring as a closed-loop validation mechanism. This triple gap — diversity, evaluation, and measurable accuracy — is what the proposed system fills.</w:t>
      </w:r>
    </w:p>
    <w:p>
      <w:pPr>
        <w:spacing w:before="120" w:after="40"/>
      </w:pPr>
      <w:r>
        <w:rPr>
          <w:b/>
          <w:color w:val="00467F"/>
          <w:sz w:val="22"/>
        </w:rPr>
        <w:t>4. Hypothesis &amp; Proposed Methodology</w:t>
      </w:r>
    </w:p>
    <w:p>
      <w:pPr>
        <w:spacing w:before="0" w:after="40" w:line="260" w:lineRule="exact"/>
      </w:pPr>
      <w:r>
        <w:rPr>
          <w:sz w:val="18"/>
        </w:rPr>
        <w:t>Hypothesis: A multi-LLM pipeline that generates, judges, and reconstructs diagrams produces more accurate and semantically richer UML artifacts than any single-model approach.</w:t>
      </w:r>
    </w:p>
    <w:p>
      <w:pPr>
        <w:spacing w:before="0" w:after="40" w:line="260" w:lineRule="exact"/>
      </w:pPr>
      <w:r>
        <w:rPr>
          <w:sz w:val="18"/>
        </w:rPr>
        <w:t>Methodology: The system (1) analyzes source code to extract structural context (imports, classes, methods, dependencies); (2) constructs a structured prompt for a senior-architect persona and fans out to five LLM providers in parallel — DeepSeek, Anthropic Claude, Google Gemini, Mistral, and Groq; (3) parses and extracts PlantUML sequence and class diagram blocks from each response; (4) scores and ranks candidates via an LLM judge (heuristic fallback if unavailable); (5) reconstructs source code from the winning diagram pair; and (6) measures accuracy across five weighted metrics: AST shape (30%), token Jaccard (20%), line-diff overlap (20%), semantic score (20%), and structural function matching (10%).</w:t>
      </w:r>
    </w:p>
    <w:p>
      <w:pPr>
        <w:spacing w:before="120" w:after="40"/>
      </w:pPr>
      <w:r>
        <w:rPr>
          <w:b/>
          <w:color w:val="00467F"/>
          <w:sz w:val="22"/>
        </w:rPr>
        <w:t>5. Our Contribution / Continuation</w:t>
      </w:r>
    </w:p>
    <w:p>
      <w:pPr>
        <w:spacing w:before="0" w:after="40" w:line="260" w:lineRule="exact"/>
      </w:pPr>
      <w:r>
        <w:rPr>
          <w:sz w:val="18"/>
        </w:rPr>
        <w:t>This work introduces the first multi-LLM comparative pipeline for automated UML diagram generation with a closed-loop accuracy evaluation. Key contributions: (a) parallel multi-provider generation with automatic failover ensures robustness; (b) LLM-based judging with heuristic fallback provides reliable quality ranking; (c) code reconstruction from diagrams as a novel validation technique quantifies diagram fidelity; (d) a weighted five-metric accuracy framework goes beyond prior binary pass/fail assessments; and (e) a git-hook integration enables continuous, commit-level documentation updates. Future continuation includes fine-tuning domain-specific diagram models and extending support to additional languages and CI/CD platforms.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