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AF886" w14:textId="74B55332" w:rsidR="0043001C" w:rsidRPr="00A33673" w:rsidRDefault="0043001C" w:rsidP="0043001C">
      <w:pPr>
        <w:spacing w:line="360" w:lineRule="auto"/>
        <w:jc w:val="both"/>
        <w:rPr>
          <w:rFonts w:ascii="Times New Roman" w:hAnsi="Times New Roman" w:cs="Times New Roman"/>
          <w:b/>
          <w:bCs/>
          <w:sz w:val="24"/>
          <w:szCs w:val="24"/>
        </w:rPr>
      </w:pPr>
      <w:r w:rsidRPr="00A33673">
        <w:rPr>
          <w:rFonts w:ascii="Times New Roman" w:hAnsi="Times New Roman" w:cs="Times New Roman"/>
          <w:b/>
          <w:bCs/>
          <w:sz w:val="24"/>
          <w:szCs w:val="24"/>
        </w:rPr>
        <w:t>Introduction</w:t>
      </w:r>
    </w:p>
    <w:p w14:paraId="71AE2864" w14:textId="51DCFFFB" w:rsidR="0043001C" w:rsidRDefault="0043001C" w:rsidP="0043001C">
      <w:pPr>
        <w:spacing w:line="360" w:lineRule="auto"/>
        <w:jc w:val="both"/>
        <w:rPr>
          <w:rFonts w:ascii="Times New Roman" w:hAnsi="Times New Roman" w:cs="Times New Roman"/>
          <w:sz w:val="24"/>
          <w:szCs w:val="24"/>
        </w:rPr>
      </w:pPr>
      <w:r>
        <w:rPr>
          <w:rFonts w:ascii="Times New Roman" w:hAnsi="Times New Roman" w:cs="Times New Roman"/>
          <w:sz w:val="24"/>
          <w:szCs w:val="24"/>
        </w:rPr>
        <w:t>Today’s India, Bangladesh, Pakistan were colonized under British for more than 200 years.</w:t>
      </w:r>
      <w:r w:rsidR="00A33673">
        <w:rPr>
          <w:rFonts w:ascii="Times New Roman" w:hAnsi="Times New Roman" w:cs="Times New Roman"/>
          <w:sz w:val="24"/>
          <w:szCs w:val="24"/>
        </w:rPr>
        <w:t xml:space="preserve"> Indian</w:t>
      </w:r>
      <w:r>
        <w:rPr>
          <w:rFonts w:ascii="Times New Roman" w:hAnsi="Times New Roman" w:cs="Times New Roman"/>
          <w:sz w:val="24"/>
          <w:szCs w:val="24"/>
        </w:rPr>
        <w:t xml:space="preserve"> subcontinent became a crown colony in 1876. But the initial colonization process can be traced back to 1608, when started arriving in India for business purposes. Initially, the British contact with India was a result of fierce competition with Dutch and Portuguese for trading interest in Asia. Comparing to other Colonial power, British were a little bit latecomer in colonization process of India.</w:t>
      </w:r>
      <w:r w:rsidR="00A33673">
        <w:rPr>
          <w:rFonts w:ascii="Times New Roman" w:hAnsi="Times New Roman" w:cs="Times New Roman"/>
          <w:sz w:val="24"/>
          <w:szCs w:val="24"/>
        </w:rPr>
        <w:t xml:space="preserve"> The establishment of British colonial power in India was a process of evolution, which passed through several periods marked by significant historical events. Initially, it began with a purely commercial and financial perspective, but then it was all about expansion and maintain power.</w:t>
      </w:r>
    </w:p>
    <w:p w14:paraId="2655335A" w14:textId="4FC8B4BF" w:rsidR="00A33673" w:rsidRDefault="00A33673" w:rsidP="00A33673">
      <w:pPr>
        <w:spacing w:line="360" w:lineRule="auto"/>
        <w:jc w:val="both"/>
        <w:rPr>
          <w:rFonts w:ascii="Times New Roman" w:hAnsi="Times New Roman" w:cs="Times New Roman"/>
          <w:sz w:val="24"/>
          <w:szCs w:val="24"/>
        </w:rPr>
      </w:pPr>
      <w:r w:rsidRPr="00A33673">
        <w:rPr>
          <w:rFonts w:ascii="Times New Roman" w:hAnsi="Times New Roman" w:cs="Times New Roman"/>
          <w:sz w:val="24"/>
          <w:szCs w:val="24"/>
        </w:rPr>
        <w:t>Colonialism refers to “the conquest and control of other people’s lands and goods”</w:t>
      </w:r>
      <w:r w:rsidR="00D2406D">
        <w:rPr>
          <w:rFonts w:ascii="Times New Roman" w:hAnsi="Times New Roman" w:cs="Times New Roman"/>
          <w:sz w:val="24"/>
          <w:szCs w:val="24"/>
        </w:rPr>
        <w:t xml:space="preserve"> </w:t>
      </w:r>
      <w:r w:rsidRPr="00A33673">
        <w:rPr>
          <w:rFonts w:ascii="Times New Roman" w:hAnsi="Times New Roman" w:cs="Times New Roman"/>
          <w:sz w:val="24"/>
          <w:szCs w:val="24"/>
        </w:rPr>
        <w:t xml:space="preserve">(Loomba, 1998, p. 2), the forceful seizure of local land and economy, and the reshuffling of </w:t>
      </w:r>
      <w:r w:rsidR="00D2406D" w:rsidRPr="00A33673">
        <w:rPr>
          <w:rFonts w:ascii="Times New Roman" w:hAnsi="Times New Roman" w:cs="Times New Roman"/>
          <w:sz w:val="24"/>
          <w:szCs w:val="24"/>
        </w:rPr>
        <w:t>non</w:t>
      </w:r>
      <w:r w:rsidR="00D2406D">
        <w:rPr>
          <w:rFonts w:ascii="Times New Roman" w:hAnsi="Times New Roman" w:cs="Times New Roman"/>
          <w:sz w:val="24"/>
          <w:szCs w:val="24"/>
        </w:rPr>
        <w:t>-</w:t>
      </w:r>
      <w:r w:rsidR="00D2406D" w:rsidRPr="00A33673">
        <w:rPr>
          <w:rFonts w:ascii="Times New Roman" w:hAnsi="Times New Roman" w:cs="Times New Roman"/>
          <w:sz w:val="24"/>
          <w:szCs w:val="24"/>
        </w:rPr>
        <w:t>capitalist</w:t>
      </w:r>
      <w:r w:rsidRPr="00A33673">
        <w:rPr>
          <w:rFonts w:ascii="Times New Roman" w:hAnsi="Times New Roman" w:cs="Times New Roman"/>
          <w:sz w:val="24"/>
          <w:szCs w:val="24"/>
        </w:rPr>
        <w:t xml:space="preserve"> economies to speed up European capitalism (Loomba, 1998, p. 20). Mercantilism and political and military</w:t>
      </w:r>
      <w:r>
        <w:rPr>
          <w:rFonts w:ascii="Times New Roman" w:hAnsi="Times New Roman" w:cs="Times New Roman"/>
          <w:sz w:val="24"/>
          <w:szCs w:val="24"/>
        </w:rPr>
        <w:t xml:space="preserve"> control</w:t>
      </w:r>
      <w:r w:rsidR="00D2406D">
        <w:rPr>
          <w:rFonts w:ascii="Times New Roman" w:hAnsi="Times New Roman" w:cs="Times New Roman"/>
          <w:sz w:val="24"/>
          <w:szCs w:val="24"/>
        </w:rPr>
        <w:t xml:space="preserve"> were the </w:t>
      </w:r>
      <w:r>
        <w:rPr>
          <w:rFonts w:ascii="Times New Roman" w:hAnsi="Times New Roman" w:cs="Times New Roman"/>
          <w:sz w:val="24"/>
          <w:szCs w:val="24"/>
        </w:rPr>
        <w:t>main factors,</w:t>
      </w:r>
      <w:r w:rsidR="00D2406D">
        <w:rPr>
          <w:rFonts w:ascii="Times New Roman" w:hAnsi="Times New Roman" w:cs="Times New Roman"/>
          <w:sz w:val="24"/>
          <w:szCs w:val="24"/>
        </w:rPr>
        <w:t xml:space="preserve"> played an important rule in expanding British colonial rule in India </w:t>
      </w:r>
      <w:r w:rsidRPr="00A33673">
        <w:rPr>
          <w:rFonts w:ascii="Times New Roman" w:hAnsi="Times New Roman" w:cs="Times New Roman"/>
          <w:sz w:val="24"/>
          <w:szCs w:val="24"/>
        </w:rPr>
        <w:t>(Lloyd, 2008). With India’s defeat on June 23, 1757, in the Battle of Plassey, the Indian subcontinent remained colonized under the British Empire for the next two hundred years (Lyer, 2010).</w:t>
      </w:r>
    </w:p>
    <w:p w14:paraId="61CAD6C8" w14:textId="530302E6" w:rsidR="00D2406D" w:rsidRDefault="00D2406D" w:rsidP="00D2406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the Battle of Plassey, the British took full control over Bengal. Basically, Battle of Plassey was the genesis of British Colonial rule in Indian sub-continent. After the Battle of </w:t>
      </w:r>
      <w:r w:rsidR="000E67D6">
        <w:rPr>
          <w:rFonts w:ascii="Times New Roman" w:hAnsi="Times New Roman" w:cs="Times New Roman"/>
          <w:sz w:val="24"/>
          <w:szCs w:val="24"/>
        </w:rPr>
        <w:t>Boxer</w:t>
      </w:r>
      <w:r>
        <w:rPr>
          <w:rFonts w:ascii="Times New Roman" w:hAnsi="Times New Roman" w:cs="Times New Roman"/>
          <w:sz w:val="24"/>
          <w:szCs w:val="24"/>
        </w:rPr>
        <w:t>, British started to expand their territory in other regions.</w:t>
      </w:r>
      <w:r w:rsidRPr="00D2406D">
        <w:t xml:space="preserve"> </w:t>
      </w:r>
      <w:r w:rsidRPr="00D2406D">
        <w:rPr>
          <w:rFonts w:ascii="Times New Roman" w:hAnsi="Times New Roman" w:cs="Times New Roman"/>
          <w:sz w:val="24"/>
          <w:szCs w:val="24"/>
        </w:rPr>
        <w:t>After the 1857 mutiny, the British Crown established direct rule</w:t>
      </w:r>
      <w:r>
        <w:rPr>
          <w:rFonts w:ascii="Times New Roman" w:hAnsi="Times New Roman" w:cs="Times New Roman"/>
          <w:sz w:val="24"/>
          <w:szCs w:val="24"/>
        </w:rPr>
        <w:t xml:space="preserve"> </w:t>
      </w:r>
      <w:r w:rsidRPr="00D2406D">
        <w:rPr>
          <w:rFonts w:ascii="Times New Roman" w:hAnsi="Times New Roman" w:cs="Times New Roman"/>
          <w:sz w:val="24"/>
          <w:szCs w:val="24"/>
        </w:rPr>
        <w:t xml:space="preserve">giving up the policy of annexation, as a token of recognition to curry </w:t>
      </w:r>
      <w:r w:rsidR="000E67D6" w:rsidRPr="00D2406D">
        <w:rPr>
          <w:rFonts w:ascii="Times New Roman" w:hAnsi="Times New Roman" w:cs="Times New Roman"/>
          <w:sz w:val="24"/>
          <w:szCs w:val="24"/>
        </w:rPr>
        <w:t>favor</w:t>
      </w:r>
      <w:r w:rsidRPr="00D2406D">
        <w:rPr>
          <w:rFonts w:ascii="Times New Roman" w:hAnsi="Times New Roman" w:cs="Times New Roman"/>
          <w:sz w:val="24"/>
          <w:szCs w:val="24"/>
        </w:rPr>
        <w:t xml:space="preserve"> with some native states during the mutiny. However, the colonial administration maintained its right to intervene in the internal affairs of those native states whose rulers were considered to be treacherous to the crown (Lyer, 2010).</w:t>
      </w:r>
    </w:p>
    <w:p w14:paraId="5384B7FA" w14:textId="0FC9B3AB" w:rsidR="00D2406D" w:rsidRDefault="000E67D6" w:rsidP="00D2406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Britain established their direct involvement in India by introducing India Act 1784, initially by bringing East India Company under British Parliament’s direct supervision. The Charter Act 1813 implemented full colonial administration and separated commercial and territorial jurisdiction for East India Company </w:t>
      </w:r>
      <w:r w:rsidRPr="000E67D6">
        <w:rPr>
          <w:rFonts w:ascii="Times New Roman" w:hAnsi="Times New Roman" w:cs="Times New Roman"/>
          <w:sz w:val="24"/>
          <w:szCs w:val="24"/>
        </w:rPr>
        <w:t>(Baber, 1996; Chaudhary, 2009)</w:t>
      </w:r>
      <w:r>
        <w:rPr>
          <w:rFonts w:ascii="Times New Roman" w:hAnsi="Times New Roman" w:cs="Times New Roman"/>
          <w:sz w:val="24"/>
          <w:szCs w:val="24"/>
        </w:rPr>
        <w:t>.</w:t>
      </w:r>
      <w:r w:rsidR="00570CE7">
        <w:rPr>
          <w:rFonts w:ascii="Times New Roman" w:hAnsi="Times New Roman" w:cs="Times New Roman"/>
          <w:sz w:val="24"/>
          <w:szCs w:val="24"/>
        </w:rPr>
        <w:t xml:space="preserve"> British colonial government controlled 680 princely states, that constituted 45% of the total area of British India and 23% of total population </w:t>
      </w:r>
      <w:r w:rsidR="00570CE7">
        <w:rPr>
          <w:rFonts w:ascii="Times New Roman" w:hAnsi="Times New Roman" w:cs="Times New Roman"/>
          <w:sz w:val="24"/>
          <w:szCs w:val="24"/>
        </w:rPr>
        <w:lastRenderedPageBreak/>
        <w:t>(Lyer, 2010). By coordinating political and economic objectives, Britain ruled one of the largest colonies in the world, in terms of area and population (Stokes, 1973).</w:t>
      </w:r>
    </w:p>
    <w:p w14:paraId="47FE549A" w14:textId="3752207E" w:rsidR="00570CE7" w:rsidRDefault="00570CE7" w:rsidP="00D2406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British not only ruled this subcontinent, but also brought a huge change in many sectors. But after Sepoy Mutiny 1857, people became more concerned about their political rights and freedom. </w:t>
      </w:r>
      <w:r w:rsidR="007B668F">
        <w:rPr>
          <w:rFonts w:ascii="Times New Roman" w:hAnsi="Times New Roman" w:cs="Times New Roman"/>
          <w:sz w:val="24"/>
          <w:szCs w:val="24"/>
        </w:rPr>
        <w:t xml:space="preserve">Many anti-colonial Indians, viewed Sepoy Mutiny 1857 as the first of Indian independence. Later many of these Indians joined Indian Independence movement. But the main Independence movement was led by Mahatma Gandhi, who followed peaceful strategy to gain independence. Even today many Indians think that, India’s independence delayed because of Gandhi’s peaceful strategy. During that period, many young </w:t>
      </w:r>
      <w:r w:rsidR="00CB706B">
        <w:rPr>
          <w:rFonts w:ascii="Times New Roman" w:hAnsi="Times New Roman" w:cs="Times New Roman"/>
          <w:sz w:val="24"/>
          <w:szCs w:val="24"/>
        </w:rPr>
        <w:t>revolutionaries also realized it, that’s why they organized to overthrow the British rule by force.</w:t>
      </w:r>
    </w:p>
    <w:p w14:paraId="64B56341" w14:textId="5D372199" w:rsidR="00CB706B" w:rsidRDefault="00CB706B" w:rsidP="00D2406D">
      <w:pPr>
        <w:spacing w:line="360" w:lineRule="auto"/>
        <w:jc w:val="both"/>
        <w:rPr>
          <w:rFonts w:ascii="Times New Roman" w:hAnsi="Times New Roman" w:cs="Times New Roman"/>
          <w:b/>
          <w:bCs/>
          <w:sz w:val="24"/>
          <w:szCs w:val="24"/>
        </w:rPr>
      </w:pPr>
      <w:r w:rsidRPr="00CD6FD4">
        <w:rPr>
          <w:rFonts w:ascii="Times New Roman" w:hAnsi="Times New Roman" w:cs="Times New Roman"/>
          <w:b/>
          <w:bCs/>
          <w:sz w:val="24"/>
          <w:szCs w:val="24"/>
        </w:rPr>
        <w:t>Ba</w:t>
      </w:r>
      <w:r w:rsidR="00CD6FD4" w:rsidRPr="00CD6FD4">
        <w:rPr>
          <w:rFonts w:ascii="Times New Roman" w:hAnsi="Times New Roman" w:cs="Times New Roman"/>
          <w:b/>
          <w:bCs/>
          <w:sz w:val="24"/>
          <w:szCs w:val="24"/>
        </w:rPr>
        <w:t>ckground History</w:t>
      </w:r>
    </w:p>
    <w:p w14:paraId="2710C685" w14:textId="54DFB6BA" w:rsidR="00CD6FD4" w:rsidRDefault="00CD6FD4" w:rsidP="00D2406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Sepoy Mutiny 1857 was the first organized armed movements against British colonial rule after the Battle of Plassey and Boxer. Although this movement failed to achieve its goal of Independence, but it inspired millions of Indians people to </w:t>
      </w:r>
      <w:r w:rsidR="00CF75D5">
        <w:rPr>
          <w:rFonts w:ascii="Times New Roman" w:hAnsi="Times New Roman" w:cs="Times New Roman"/>
          <w:sz w:val="24"/>
          <w:szCs w:val="24"/>
        </w:rPr>
        <w:t>attend Independence movement. During 1905 Partition of Bengal, a revolutionary vibe was created among middle class educated young people. In April, 1906 a party called Jugantar Party was formed by Aurobindo Ghosh, Barin Ghosh, Bhupendranath Datta etc. This party’s aim was to gain Independence by violent means. Their leaders like Barin Ghosh, Bagha J</w:t>
      </w:r>
      <w:r w:rsidR="004F5118">
        <w:rPr>
          <w:rFonts w:ascii="Times New Roman" w:hAnsi="Times New Roman" w:cs="Times New Roman"/>
          <w:sz w:val="24"/>
          <w:szCs w:val="24"/>
        </w:rPr>
        <w:t>atin initiated the process of making explosives. They were responsible for some violent incidents such as The Alipore Bomb case, Muzaffarpur Assassination etc. One of their followers, Madan Lal Dhingra, who was a student in London killed a British M. P Sir Curzon Wylie in July 1,1909.</w:t>
      </w:r>
    </w:p>
    <w:p w14:paraId="692A4190" w14:textId="5D20FDF9" w:rsidR="004F5118" w:rsidRDefault="004F5118" w:rsidP="00D2406D">
      <w:pPr>
        <w:spacing w:line="360" w:lineRule="auto"/>
        <w:jc w:val="both"/>
        <w:rPr>
          <w:rFonts w:ascii="Times New Roman" w:hAnsi="Times New Roman" w:cs="Times New Roman"/>
          <w:sz w:val="24"/>
          <w:szCs w:val="24"/>
        </w:rPr>
      </w:pPr>
      <w:r>
        <w:rPr>
          <w:rFonts w:ascii="Times New Roman" w:hAnsi="Times New Roman" w:cs="Times New Roman"/>
          <w:sz w:val="24"/>
          <w:szCs w:val="24"/>
        </w:rPr>
        <w:t>Jugantor Party along with the Anushilan Samiti opened several branches throughout India. They recruited many young men and women to participate in the revolutionary activities. In the meantime, the did some political assassination and looting. During the first world war, they planned to import arms from abroad and staged an armed revolution against British.</w:t>
      </w:r>
    </w:p>
    <w:p w14:paraId="348426C5" w14:textId="4803D698" w:rsidR="00570CE7" w:rsidRDefault="00B325D0" w:rsidP="00D2406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Indian revolutionaries living in San Francisco published their first issue of Ghadar in November 1, 1913. During the Summer of 1914 the Ghadar Party was officially founded, with 6000 members and vast networks throughout North America, Europe, Asia. The Ghadar part mainly operated </w:t>
      </w:r>
      <w:r>
        <w:rPr>
          <w:rFonts w:ascii="Times New Roman" w:hAnsi="Times New Roman" w:cs="Times New Roman"/>
          <w:sz w:val="24"/>
          <w:szCs w:val="24"/>
        </w:rPr>
        <w:lastRenderedPageBreak/>
        <w:t>from abroad and cooperated the revolutionaries in India. They even helped the Indian revolutionaries with the foreign arms.</w:t>
      </w:r>
    </w:p>
    <w:p w14:paraId="564C5C5C" w14:textId="2457C4AD" w:rsidR="00B325D0" w:rsidRDefault="00B325D0" w:rsidP="00D2406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the first world war many prominent revolutionaries were arrested. In1920. The revolutionaries started to organize again. Under the leadership of Chandrasekhar Azad Hidustan Socialist Republican Association was formed. To protest against the passage of Public Safety Bill and Trade Disputes Bill, on April 8, 1929 Bhagat Singh and Batukeshwar Dutt threw bomb inside the Central Legislative assembly. Following the trail of </w:t>
      </w:r>
      <w:r w:rsidR="00852B27">
        <w:rPr>
          <w:rFonts w:ascii="Times New Roman" w:hAnsi="Times New Roman" w:cs="Times New Roman"/>
          <w:sz w:val="24"/>
          <w:szCs w:val="24"/>
        </w:rPr>
        <w:t>Central Assembly Bomb case, Bhagat Singh, Sukhdev and Rajguru were hanged in 1931.</w:t>
      </w:r>
    </w:p>
    <w:p w14:paraId="64DB892C" w14:textId="0E13E980" w:rsidR="00852B27" w:rsidRDefault="00852B27" w:rsidP="00D2406D">
      <w:pPr>
        <w:spacing w:line="360" w:lineRule="auto"/>
        <w:jc w:val="both"/>
        <w:rPr>
          <w:rFonts w:ascii="Times New Roman" w:hAnsi="Times New Roman" w:cs="Times New Roman"/>
          <w:sz w:val="24"/>
          <w:szCs w:val="24"/>
        </w:rPr>
      </w:pPr>
      <w:r>
        <w:rPr>
          <w:rFonts w:ascii="Times New Roman" w:hAnsi="Times New Roman" w:cs="Times New Roman"/>
          <w:sz w:val="24"/>
          <w:szCs w:val="24"/>
        </w:rPr>
        <w:t>To establish a local government system, Surya Sen, along with his fellow revolutionaries, raided Chittagong Armory in April 18, 1930. They tried to capture arms and ammunition from armory and destroyed the government communication system. In 1932 Pritilata</w:t>
      </w:r>
      <w:r w:rsidR="00593E81">
        <w:rPr>
          <w:rFonts w:ascii="Times New Roman" w:hAnsi="Times New Roman" w:cs="Times New Roman"/>
          <w:sz w:val="24"/>
          <w:szCs w:val="24"/>
        </w:rPr>
        <w:t xml:space="preserve"> </w:t>
      </w:r>
      <w:r>
        <w:rPr>
          <w:rFonts w:ascii="Times New Roman" w:hAnsi="Times New Roman" w:cs="Times New Roman"/>
          <w:sz w:val="24"/>
          <w:szCs w:val="24"/>
        </w:rPr>
        <w:t>Waddedar along with her fellow revolutionaries attacked Chittagong European Club. At the same time, Revolutionary Bina Das attempted to kill Stanely Jackson, the governor of Bengal at Calcutta University. Following the trial of Chittagong Armory case, Surya Sen was hanged and other revolutionaries were sent to prison for life.</w:t>
      </w:r>
    </w:p>
    <w:p w14:paraId="390D5286" w14:textId="696B22A7" w:rsidR="00404035" w:rsidRDefault="00852B27" w:rsidP="00D2406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On December 8, 1930 Binoy-Badal-Dinesh trio killed </w:t>
      </w:r>
      <w:r w:rsidR="00593E81">
        <w:rPr>
          <w:rFonts w:ascii="Times New Roman" w:hAnsi="Times New Roman" w:cs="Times New Roman"/>
          <w:sz w:val="24"/>
          <w:szCs w:val="24"/>
        </w:rPr>
        <w:t xml:space="preserve">NS, Simpson, the General Inspector of Prison. On March 13, 1940 Udham Singh killed Sir Michael O’Dwyer in London, who was responsible for Amritsar massacre. After 1930, the political scenario of Indian subcontinent changed gradually and the violent activities of revolutionaries started to decline. Many of the revolutionaries stated to join mainstream political party like Congress and Muslim League. But their violent activities created nationalism among many Indians and inspired them to join Independence movement. </w:t>
      </w:r>
    </w:p>
    <w:p w14:paraId="1184B880" w14:textId="45436631" w:rsidR="000A4B78" w:rsidRDefault="000A4B78" w:rsidP="000A4B7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Impacts on British Colonial Rule:</w:t>
      </w:r>
    </w:p>
    <w:p w14:paraId="45B43526" w14:textId="52C1B9A5" w:rsidR="000A4B78" w:rsidRDefault="000A4B78" w:rsidP="000A4B7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Chittagong armory raid shook the foundation of British rule in India. It inspired lots of young men and women to raised their voice against colonial rule.</w:t>
      </w:r>
    </w:p>
    <w:p w14:paraId="55B74E02" w14:textId="77777777" w:rsidR="002B3E32" w:rsidRDefault="000A4B78" w:rsidP="000A4B7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After the Chittagong armory raid</w:t>
      </w:r>
      <w:r w:rsidR="002B3E32">
        <w:rPr>
          <w:rFonts w:ascii="Times New Roman" w:hAnsi="Times New Roman" w:cs="Times New Roman"/>
          <w:sz w:val="24"/>
          <w:szCs w:val="24"/>
        </w:rPr>
        <w:t>, many Indian people started to become more concerned about their political freedom and rights.</w:t>
      </w:r>
    </w:p>
    <w:p w14:paraId="6CFBC435" w14:textId="2CF485EE" w:rsidR="000A4B78" w:rsidRDefault="002B3E32" w:rsidP="002B3E3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Chittagong Armory raid created nationalism among Indian people and accelerated the movements of Indian Independence.</w:t>
      </w:r>
    </w:p>
    <w:p w14:paraId="3BC2BF0C" w14:textId="750159F5" w:rsidR="001A27D3" w:rsidRDefault="001A27D3" w:rsidP="001A27D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Reference:</w:t>
      </w:r>
    </w:p>
    <w:p w14:paraId="20425095" w14:textId="77777777" w:rsidR="00400D25" w:rsidRPr="00400D25" w:rsidRDefault="00400D25" w:rsidP="00400D25">
      <w:pPr>
        <w:pStyle w:val="ListParagraph"/>
        <w:spacing w:line="360" w:lineRule="auto"/>
        <w:jc w:val="both"/>
        <w:rPr>
          <w:rFonts w:ascii="Times New Roman" w:hAnsi="Times New Roman" w:cs="Times New Roman"/>
          <w:i/>
          <w:iCs/>
          <w:sz w:val="24"/>
          <w:szCs w:val="24"/>
        </w:rPr>
      </w:pPr>
      <w:r w:rsidRPr="00400D25">
        <w:rPr>
          <w:rFonts w:ascii="Times New Roman" w:hAnsi="Times New Roman" w:cs="Times New Roman"/>
          <w:sz w:val="24"/>
          <w:szCs w:val="24"/>
        </w:rPr>
        <w:t xml:space="preserve">Baber, Z. (1996). </w:t>
      </w:r>
      <w:r w:rsidRPr="00400D25">
        <w:rPr>
          <w:rFonts w:ascii="Times New Roman" w:hAnsi="Times New Roman" w:cs="Times New Roman"/>
          <w:i/>
          <w:iCs/>
          <w:sz w:val="24"/>
          <w:szCs w:val="24"/>
        </w:rPr>
        <w:t xml:space="preserve">The science of empire: Scientific knowledge, </w:t>
      </w:r>
      <w:proofErr w:type="spellStart"/>
      <w:r w:rsidRPr="00400D25">
        <w:rPr>
          <w:rFonts w:ascii="Times New Roman" w:hAnsi="Times New Roman" w:cs="Times New Roman"/>
          <w:i/>
          <w:iCs/>
          <w:sz w:val="24"/>
          <w:szCs w:val="24"/>
        </w:rPr>
        <w:t>civlization</w:t>
      </w:r>
      <w:proofErr w:type="spellEnd"/>
      <w:r w:rsidRPr="00400D25">
        <w:rPr>
          <w:rFonts w:ascii="Times New Roman" w:hAnsi="Times New Roman" w:cs="Times New Roman"/>
          <w:i/>
          <w:iCs/>
          <w:sz w:val="24"/>
          <w:szCs w:val="24"/>
        </w:rPr>
        <w:t xml:space="preserve">, technology and </w:t>
      </w:r>
    </w:p>
    <w:p w14:paraId="4FE50A40" w14:textId="5DF835B0" w:rsidR="00400D25" w:rsidRDefault="00400D25" w:rsidP="00400D25">
      <w:pPr>
        <w:pStyle w:val="ListParagraph"/>
        <w:spacing w:line="360" w:lineRule="auto"/>
        <w:jc w:val="both"/>
        <w:rPr>
          <w:rFonts w:ascii="Times New Roman" w:hAnsi="Times New Roman" w:cs="Times New Roman"/>
          <w:sz w:val="24"/>
          <w:szCs w:val="24"/>
        </w:rPr>
      </w:pPr>
      <w:r w:rsidRPr="00400D25">
        <w:rPr>
          <w:rFonts w:ascii="Times New Roman" w:hAnsi="Times New Roman" w:cs="Times New Roman"/>
          <w:i/>
          <w:iCs/>
          <w:sz w:val="24"/>
          <w:szCs w:val="24"/>
        </w:rPr>
        <w:t xml:space="preserve">              </w:t>
      </w:r>
      <w:r w:rsidRPr="00400D25">
        <w:rPr>
          <w:rFonts w:ascii="Times New Roman" w:hAnsi="Times New Roman" w:cs="Times New Roman"/>
          <w:i/>
          <w:iCs/>
          <w:sz w:val="24"/>
          <w:szCs w:val="24"/>
        </w:rPr>
        <w:t>society.</w:t>
      </w:r>
      <w:r w:rsidRPr="00400D25">
        <w:rPr>
          <w:rFonts w:ascii="Times New Roman" w:hAnsi="Times New Roman" w:cs="Times New Roman"/>
          <w:sz w:val="24"/>
          <w:szCs w:val="24"/>
        </w:rPr>
        <w:t xml:space="preserve"> Albany, NY: State University of New York Press.</w:t>
      </w:r>
    </w:p>
    <w:p w14:paraId="61FAF2E4" w14:textId="77777777" w:rsidR="008F4E93" w:rsidRPr="008F4E93" w:rsidRDefault="008F4E93" w:rsidP="008F4E93">
      <w:pPr>
        <w:pStyle w:val="ListParagraph"/>
        <w:spacing w:line="360" w:lineRule="auto"/>
        <w:jc w:val="both"/>
        <w:rPr>
          <w:rFonts w:ascii="Times New Roman" w:hAnsi="Times New Roman" w:cs="Times New Roman"/>
          <w:i/>
          <w:iCs/>
          <w:sz w:val="24"/>
          <w:szCs w:val="24"/>
        </w:rPr>
      </w:pPr>
      <w:r w:rsidRPr="008F4E93">
        <w:rPr>
          <w:rFonts w:ascii="Times New Roman" w:hAnsi="Times New Roman" w:cs="Times New Roman"/>
          <w:sz w:val="24"/>
          <w:szCs w:val="24"/>
        </w:rPr>
        <w:t xml:space="preserve">Chaudhary, L. (2009). Determinants of primary schooling in British India. </w:t>
      </w:r>
      <w:r w:rsidRPr="008F4E93">
        <w:rPr>
          <w:rFonts w:ascii="Times New Roman" w:hAnsi="Times New Roman" w:cs="Times New Roman"/>
          <w:i/>
          <w:iCs/>
          <w:sz w:val="24"/>
          <w:szCs w:val="24"/>
        </w:rPr>
        <w:t xml:space="preserve">The Journal of </w:t>
      </w:r>
    </w:p>
    <w:p w14:paraId="16309587" w14:textId="7524CC33" w:rsidR="008F4E93" w:rsidRDefault="008F4E93" w:rsidP="008F4E93">
      <w:pPr>
        <w:pStyle w:val="ListParagraph"/>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8F4E93">
        <w:rPr>
          <w:rFonts w:ascii="Times New Roman" w:hAnsi="Times New Roman" w:cs="Times New Roman"/>
          <w:i/>
          <w:iCs/>
          <w:sz w:val="24"/>
          <w:szCs w:val="24"/>
        </w:rPr>
        <w:t>Economic History</w:t>
      </w:r>
      <w:r w:rsidRPr="008F4E93">
        <w:rPr>
          <w:rFonts w:ascii="Times New Roman" w:hAnsi="Times New Roman" w:cs="Times New Roman"/>
          <w:sz w:val="24"/>
          <w:szCs w:val="24"/>
        </w:rPr>
        <w:t>, 69(1), 269.</w:t>
      </w:r>
    </w:p>
    <w:p w14:paraId="4BCAC225" w14:textId="4FAAA17C" w:rsidR="001A27D3" w:rsidRDefault="001A27D3" w:rsidP="001A27D3">
      <w:pPr>
        <w:pStyle w:val="ListParagraph"/>
        <w:spacing w:line="480" w:lineRule="auto"/>
        <w:ind w:left="1440" w:hanging="720"/>
        <w:jc w:val="both"/>
        <w:rPr>
          <w:rFonts w:ascii="Times New Roman" w:hAnsi="Times New Roman" w:cs="Times New Roman"/>
          <w:sz w:val="24"/>
          <w:szCs w:val="24"/>
        </w:rPr>
      </w:pPr>
      <w:r w:rsidRPr="001A27D3">
        <w:rPr>
          <w:rFonts w:ascii="Times New Roman" w:hAnsi="Times New Roman" w:cs="Times New Roman"/>
          <w:sz w:val="24"/>
          <w:szCs w:val="24"/>
        </w:rPr>
        <w:t xml:space="preserve">Loomba, A. (1998). </w:t>
      </w:r>
      <w:r w:rsidRPr="00400D25">
        <w:rPr>
          <w:rFonts w:ascii="Times New Roman" w:hAnsi="Times New Roman" w:cs="Times New Roman"/>
          <w:i/>
          <w:iCs/>
          <w:sz w:val="24"/>
          <w:szCs w:val="24"/>
        </w:rPr>
        <w:t>Colonialism/Postcolonialism.</w:t>
      </w:r>
      <w:r w:rsidRPr="001A27D3">
        <w:rPr>
          <w:rFonts w:ascii="Times New Roman" w:hAnsi="Times New Roman" w:cs="Times New Roman"/>
          <w:sz w:val="24"/>
          <w:szCs w:val="24"/>
        </w:rPr>
        <w:t xml:space="preserve"> London, England: Routledge.</w:t>
      </w:r>
    </w:p>
    <w:p w14:paraId="3C86E2A7" w14:textId="77777777" w:rsidR="001A27D3" w:rsidRPr="001A27D3" w:rsidRDefault="001A27D3" w:rsidP="001A27D3">
      <w:pPr>
        <w:pStyle w:val="ListParagraph"/>
        <w:spacing w:line="480" w:lineRule="auto"/>
        <w:ind w:left="1440" w:hanging="720"/>
        <w:jc w:val="both"/>
        <w:rPr>
          <w:rFonts w:ascii="Times New Roman" w:hAnsi="Times New Roman" w:cs="Times New Roman"/>
          <w:sz w:val="24"/>
          <w:szCs w:val="24"/>
        </w:rPr>
      </w:pPr>
      <w:proofErr w:type="spellStart"/>
      <w:r w:rsidRPr="001A27D3">
        <w:rPr>
          <w:rFonts w:ascii="Times New Roman" w:hAnsi="Times New Roman" w:cs="Times New Roman"/>
          <w:sz w:val="24"/>
          <w:szCs w:val="24"/>
        </w:rPr>
        <w:t>Lyer</w:t>
      </w:r>
      <w:proofErr w:type="spellEnd"/>
      <w:r w:rsidRPr="001A27D3">
        <w:rPr>
          <w:rFonts w:ascii="Times New Roman" w:hAnsi="Times New Roman" w:cs="Times New Roman"/>
          <w:sz w:val="24"/>
          <w:szCs w:val="24"/>
        </w:rPr>
        <w:t xml:space="preserve">, L. (2010). Direct versus indirect colonial rule in India: long-term consequences. The </w:t>
      </w:r>
    </w:p>
    <w:p w14:paraId="32DD34B5" w14:textId="3A974373" w:rsidR="001A27D3" w:rsidRDefault="001A27D3" w:rsidP="001A27D3">
      <w:pPr>
        <w:pStyle w:val="ListParagraph"/>
        <w:spacing w:line="480" w:lineRule="auto"/>
        <w:ind w:left="1440" w:hanging="720"/>
        <w:jc w:val="both"/>
        <w:rPr>
          <w:rFonts w:ascii="Times New Roman" w:hAnsi="Times New Roman" w:cs="Times New Roman"/>
          <w:sz w:val="24"/>
          <w:szCs w:val="24"/>
        </w:rPr>
      </w:pPr>
      <w:r>
        <w:rPr>
          <w:rFonts w:ascii="Times New Roman" w:hAnsi="Times New Roman" w:cs="Times New Roman"/>
          <w:sz w:val="24"/>
          <w:szCs w:val="24"/>
        </w:rPr>
        <w:t xml:space="preserve">              </w:t>
      </w:r>
      <w:r w:rsidRPr="001A27D3">
        <w:rPr>
          <w:rFonts w:ascii="Times New Roman" w:hAnsi="Times New Roman" w:cs="Times New Roman"/>
          <w:sz w:val="24"/>
          <w:szCs w:val="24"/>
        </w:rPr>
        <w:t xml:space="preserve">Review of </w:t>
      </w:r>
      <w:r w:rsidRPr="00400D25">
        <w:rPr>
          <w:rFonts w:ascii="Times New Roman" w:hAnsi="Times New Roman" w:cs="Times New Roman"/>
          <w:i/>
          <w:iCs/>
          <w:sz w:val="24"/>
          <w:szCs w:val="24"/>
        </w:rPr>
        <w:t>Economics and Statistics,</w:t>
      </w:r>
      <w:r w:rsidRPr="001A27D3">
        <w:rPr>
          <w:rFonts w:ascii="Times New Roman" w:hAnsi="Times New Roman" w:cs="Times New Roman"/>
          <w:sz w:val="24"/>
          <w:szCs w:val="24"/>
        </w:rPr>
        <w:t xml:space="preserve"> 92(4), 693–713.</w:t>
      </w:r>
    </w:p>
    <w:p w14:paraId="24ACDCB9" w14:textId="77777777" w:rsidR="001A27D3" w:rsidRPr="00400D25" w:rsidRDefault="001A27D3" w:rsidP="001A27D3">
      <w:pPr>
        <w:pStyle w:val="ListParagraph"/>
        <w:spacing w:line="480" w:lineRule="auto"/>
        <w:ind w:left="1440" w:hanging="720"/>
        <w:jc w:val="both"/>
        <w:rPr>
          <w:rFonts w:ascii="Times New Roman" w:hAnsi="Times New Roman" w:cs="Times New Roman"/>
          <w:i/>
          <w:iCs/>
          <w:sz w:val="24"/>
          <w:szCs w:val="24"/>
        </w:rPr>
      </w:pPr>
      <w:r w:rsidRPr="001A27D3">
        <w:rPr>
          <w:rFonts w:ascii="Times New Roman" w:hAnsi="Times New Roman" w:cs="Times New Roman"/>
          <w:sz w:val="24"/>
          <w:szCs w:val="24"/>
        </w:rPr>
        <w:t xml:space="preserve">Lloyd, D. (2008). Ireland after history. In H. Schwarz &amp; S. Ray (Eds.), </w:t>
      </w:r>
      <w:r w:rsidRPr="00400D25">
        <w:rPr>
          <w:rFonts w:ascii="Times New Roman" w:hAnsi="Times New Roman" w:cs="Times New Roman"/>
          <w:i/>
          <w:iCs/>
          <w:sz w:val="24"/>
          <w:szCs w:val="24"/>
        </w:rPr>
        <w:t xml:space="preserve">A Companion to </w:t>
      </w:r>
    </w:p>
    <w:p w14:paraId="371B4D74" w14:textId="6F5291BD" w:rsidR="001A27D3" w:rsidRDefault="001A27D3" w:rsidP="001A27D3">
      <w:pPr>
        <w:pStyle w:val="ListParagraph"/>
        <w:spacing w:line="480" w:lineRule="auto"/>
        <w:ind w:left="1440" w:hanging="720"/>
        <w:jc w:val="both"/>
        <w:rPr>
          <w:rFonts w:ascii="Times New Roman" w:hAnsi="Times New Roman" w:cs="Times New Roman"/>
          <w:sz w:val="24"/>
          <w:szCs w:val="24"/>
        </w:rPr>
      </w:pPr>
      <w:r w:rsidRPr="00400D25">
        <w:rPr>
          <w:rFonts w:ascii="Times New Roman" w:hAnsi="Times New Roman" w:cs="Times New Roman"/>
          <w:i/>
          <w:iCs/>
          <w:sz w:val="24"/>
          <w:szCs w:val="24"/>
        </w:rPr>
        <w:t xml:space="preserve">               </w:t>
      </w:r>
      <w:r w:rsidRPr="00400D25">
        <w:rPr>
          <w:rFonts w:ascii="Times New Roman" w:hAnsi="Times New Roman" w:cs="Times New Roman"/>
          <w:i/>
          <w:iCs/>
          <w:sz w:val="24"/>
          <w:szCs w:val="24"/>
        </w:rPr>
        <w:t xml:space="preserve">Postcolonial Studies </w:t>
      </w:r>
      <w:r w:rsidRPr="001A27D3">
        <w:rPr>
          <w:rFonts w:ascii="Times New Roman" w:hAnsi="Times New Roman" w:cs="Times New Roman"/>
          <w:sz w:val="24"/>
          <w:szCs w:val="24"/>
        </w:rPr>
        <w:t>(pp. 377–395). Oxford, England: John Wiley &amp; Sons.</w:t>
      </w:r>
    </w:p>
    <w:p w14:paraId="4DADEFAD" w14:textId="509ACEB1" w:rsidR="008F4E93" w:rsidRPr="008F4E93" w:rsidRDefault="008F4E93" w:rsidP="008F4E93">
      <w:pPr>
        <w:pStyle w:val="ListParagraph"/>
        <w:spacing w:line="480" w:lineRule="auto"/>
        <w:ind w:left="1440" w:hanging="720"/>
        <w:jc w:val="both"/>
        <w:rPr>
          <w:rFonts w:ascii="Times New Roman" w:hAnsi="Times New Roman" w:cs="Times New Roman"/>
          <w:sz w:val="24"/>
          <w:szCs w:val="24"/>
        </w:rPr>
      </w:pPr>
      <w:r w:rsidRPr="008F4E93">
        <w:rPr>
          <w:rFonts w:ascii="Times New Roman" w:hAnsi="Times New Roman" w:cs="Times New Roman"/>
          <w:sz w:val="24"/>
          <w:szCs w:val="24"/>
        </w:rPr>
        <w:t xml:space="preserve">Stokes, E. (1973). The First Century of British Colonial Rule in India: Social Revolution or Social Stagnation? </w:t>
      </w:r>
      <w:r w:rsidRPr="008F4E93">
        <w:rPr>
          <w:rFonts w:ascii="Times New Roman" w:hAnsi="Times New Roman" w:cs="Times New Roman"/>
          <w:i/>
          <w:iCs/>
          <w:sz w:val="24"/>
          <w:szCs w:val="24"/>
        </w:rPr>
        <w:t>Past &amp; Present</w:t>
      </w:r>
      <w:r w:rsidRPr="008F4E93">
        <w:rPr>
          <w:rFonts w:ascii="Times New Roman" w:hAnsi="Times New Roman" w:cs="Times New Roman"/>
          <w:sz w:val="24"/>
          <w:szCs w:val="24"/>
        </w:rPr>
        <w:t>, 58, 136–160.</w:t>
      </w:r>
    </w:p>
    <w:sectPr w:rsidR="008F4E93" w:rsidRPr="008F4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703F0B"/>
    <w:multiLevelType w:val="hybridMultilevel"/>
    <w:tmpl w:val="805025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B24A54"/>
    <w:multiLevelType w:val="hybridMultilevel"/>
    <w:tmpl w:val="53CE56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01C"/>
    <w:rsid w:val="000A4B78"/>
    <w:rsid w:val="000E67D6"/>
    <w:rsid w:val="001A27D3"/>
    <w:rsid w:val="002B3E32"/>
    <w:rsid w:val="00400D25"/>
    <w:rsid w:val="00404035"/>
    <w:rsid w:val="0043001C"/>
    <w:rsid w:val="004F5118"/>
    <w:rsid w:val="00570CE7"/>
    <w:rsid w:val="00593E81"/>
    <w:rsid w:val="007B668F"/>
    <w:rsid w:val="00852B27"/>
    <w:rsid w:val="008F4E93"/>
    <w:rsid w:val="009F483C"/>
    <w:rsid w:val="00A33673"/>
    <w:rsid w:val="00AB6FCF"/>
    <w:rsid w:val="00B110AC"/>
    <w:rsid w:val="00B325D0"/>
    <w:rsid w:val="00CB706B"/>
    <w:rsid w:val="00CD6FD4"/>
    <w:rsid w:val="00CF75D5"/>
    <w:rsid w:val="00D24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598EE"/>
  <w15:chartTrackingRefBased/>
  <w15:docId w15:val="{8C450AD1-7047-41AA-A2DC-D11D68A9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4</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Badrul Hasan</dc:creator>
  <cp:keywords/>
  <dc:description/>
  <cp:lastModifiedBy>Badrul Hasan</cp:lastModifiedBy>
  <cp:revision>10</cp:revision>
  <dcterms:created xsi:type="dcterms:W3CDTF">2020-05-29T11:41:00Z</dcterms:created>
  <dcterms:modified xsi:type="dcterms:W3CDTF">2020-05-29T17:47:00Z</dcterms:modified>
</cp:coreProperties>
</file>