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F9CD9A" Type="http://schemas.openxmlformats.org/officeDocument/2006/relationships/officeDocument" Target="/word/document.xml" /><Relationship Id="coreR6CF9CD9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ỦY BAN NHÂN DÂN </w:t>
              <w:br w:type="textWrapping"/>
              <w:t>THÀNH PHỐ HỒ CHÍ MINH</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05/2016/QĐ-UBND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Thành phố Hồ Chí Minh, ngày 01 tháng 03 năm 2016</w:t>
            </w:r>
          </w:p>
        </w:tc>
      </w:tr>
    </w:tbl>
    <w:p>
      <w:pPr>
        <w:spacing w:before="120" w:after="280" w:beforeAutospacing="0" w:afterAutospacing="1"/>
      </w:pPr>
      <w:r>
        <w:t> </w:t>
      </w:r>
    </w:p>
    <w:p>
      <w:pPr>
        <w:spacing w:before="120" w:after="280" w:beforeAutospacing="0" w:afterAutospacing="1"/>
        <w:jc w:val="center"/>
      </w:pPr>
      <w:r>
        <w:rPr>
          <w:b w:val="1"/>
          <w:sz w:val="24"/>
        </w:rPr>
        <w:t>QUYẾT ĐỊNH</w:t>
      </w:r>
    </w:p>
    <w:p>
      <w:pPr>
        <w:spacing w:before="120" w:after="280" w:beforeAutospacing="0" w:afterAutospacing="1"/>
        <w:jc w:val="center"/>
      </w:pPr>
      <w:r>
        <w:t>VỀ SỬA ĐỔI KHOẢN 2 VÀ KHOẢN 3 ĐIỀU 1 QUYẾT ĐỊNH SỐ 69/2011/QĐ-UBND NGÀY 07 THÁNG 11 NĂM 2011 CỦA ỦY BAN NHÂN DÂN THÀNH PHỐ VỀ TRỢ CẤP GIẢNG DẠY ĐỐI VỚI GIÁO VIÊN DẠY HÒA NHẬP CHO NGƯỜI KHUYẾT TẬT TRÊN ĐỊA BÀN THÀNH PHỐ HỒ CHÍ MINH</w:t>
      </w:r>
    </w:p>
    <w:p>
      <w:pPr>
        <w:spacing w:before="120" w:after="280" w:beforeAutospacing="0" w:afterAutospacing="1"/>
        <w:jc w:val="center"/>
      </w:pPr>
      <w:r>
        <w:rPr>
          <w:b w:val="1"/>
          <w:sz w:val="24"/>
        </w:rPr>
        <w:t>ỦY BAN NHÂN DÂN THÀNH PHỐ HỒ CHÍ MINH</w:t>
      </w:r>
    </w:p>
    <w:p>
      <w:pPr>
        <w:spacing w:before="120" w:after="280" w:beforeAutospacing="0" w:afterAutospacing="1"/>
      </w:pPr>
      <w:r>
        <w:rPr>
          <w:i w:val="1"/>
        </w:rPr>
        <w:t>Căn cứ Luật Tổ chức chính quyền địa phương ngày 19 tháng 6 năm 2015;</w:t>
      </w:r>
    </w:p>
    <w:p>
      <w:pPr>
        <w:spacing w:before="120" w:after="280" w:beforeAutospacing="0" w:afterAutospacing="1"/>
      </w:pPr>
      <w:r>
        <w:rPr>
          <w:i w:val="1"/>
        </w:rPr>
        <w:t>Căn cứ Luật Người khuyết tật ngày 17 tháng 6 năm 2010;</w:t>
      </w:r>
    </w:p>
    <w:p>
      <w:pPr>
        <w:spacing w:before="120" w:after="280" w:beforeAutospacing="0" w:afterAutospacing="1"/>
      </w:pPr>
      <w:r>
        <w:rPr>
          <w:i w:val="1"/>
        </w:rPr>
        <w:t>Căn cứ Quyết định số 23/2006/QĐ-BGDĐT ngày 22 tháng 5 năm 2006 của Bộ trưởng Bộ Giáo dục và Đào tạo ban hành Quy định về giáo dục hòa nhập dành cho người tàn tật, khuyết tật;</w:t>
      </w:r>
    </w:p>
    <w:p>
      <w:pPr>
        <w:spacing w:before="120" w:after="280" w:beforeAutospacing="0" w:afterAutospacing="1"/>
      </w:pPr>
      <w:r>
        <w:rPr>
          <w:i w:val="1"/>
        </w:rPr>
        <w:t>Xét đề nghị của Sở Giáo dục và Đào tạo tại Công văn số 286/GDĐT-TC ngày 02 tháng 02 năm 2016,</w:t>
      </w:r>
    </w:p>
    <w:p>
      <w:pPr>
        <w:spacing w:before="120" w:after="280" w:beforeAutospacing="0" w:afterAutospacing="1"/>
        <w:jc w:val="center"/>
      </w:pPr>
      <w:r>
        <w:rPr>
          <w:b w:val="1"/>
          <w:sz w:val="24"/>
        </w:rPr>
        <w:t>QUYẾT ĐỊNH</w:t>
      </w:r>
    </w:p>
    <w:p>
      <w:pPr>
        <w:spacing w:before="120" w:after="280" w:beforeAutospacing="0" w:afterAutospacing="1"/>
      </w:pPr>
      <w:bookmarkStart w:id="0" w:name="dieu_1"/>
      <w:r>
        <w:rPr>
          <w:b w:val="1"/>
        </w:rPr>
        <w:t>Điều 1.</w:t>
      </w:r>
      <w:bookmarkEnd w:id="0"/>
      <w:r>
        <w:t xml:space="preserve"> </w:t>
      </w:r>
      <w:bookmarkStart w:id="1" w:name="dieu_1_name"/>
      <w:r>
        <w:t>Nay sửa đổi Khoản 2 và Khoản 3 Điều 1 Quyết định số 69/2011/QĐ-UBND ngày 07 tháng 11 năm 2011 của Ủy ban nhân dân Thành phố về trợ cấp giảng dạy đối với giáo viên dạy hòa nhập cho người khuyết tật trên địa bàn Thành phố Hồ Chí Minh, như sau:</w:t>
      </w:r>
      <w:bookmarkEnd w:id="1"/>
    </w:p>
    <w:p>
      <w:pPr>
        <w:spacing w:before="120" w:after="280" w:beforeAutospacing="0" w:afterAutospacing="1"/>
      </w:pPr>
      <w:r>
        <w:rPr>
          <w:b w:val="1"/>
          <w:i w:val="1"/>
        </w:rPr>
        <w:t>“2. Mức trợ cấp:</w:t>
      </w:r>
    </w:p>
    <w:p>
      <w:pPr>
        <w:spacing w:before="120" w:after="280" w:beforeAutospacing="0" w:afterAutospacing="1"/>
      </w:pPr>
      <w:r>
        <w:t>a) Bậc mầm non: Giáo viên trực tiếp giảng dạy một học sinh khuyết tật học mầm non được hưởng trợ cấp bằng 600.000 đồng/tháng.</w:t>
      </w:r>
    </w:p>
    <w:p>
      <w:pPr>
        <w:spacing w:before="120" w:after="280" w:beforeAutospacing="0" w:afterAutospacing="1"/>
      </w:pPr>
      <w:r>
        <w:t>b) Cấp tiểu học: Giáo viên trực tiếp giảng dạy một học sinh khuyết tật học tiểu học được hưởng trợ cấp bằng 8.000 đồng/tiết.</w:t>
      </w:r>
    </w:p>
    <w:p>
      <w:pPr>
        <w:spacing w:before="120" w:after="280" w:beforeAutospacing="0" w:afterAutospacing="1"/>
      </w:pPr>
      <w:r>
        <w:t>c) Cấp trung học cơ sở: Giáo viên trực tiếp giảng dạy một học sinh khuyết tật học trung học cơ sở được hưởng trợ cấp bằng 8.000 đồng/tiết.</w:t>
      </w:r>
    </w:p>
    <w:p>
      <w:pPr>
        <w:spacing w:before="120" w:after="280" w:beforeAutospacing="0" w:afterAutospacing="1"/>
      </w:pPr>
      <w:r>
        <w:t>d) Cấp trung học phổ thông và giáo dục thường xuyên: Giáo viên trực tiếp giảng dạy một học sinh khuyết tật học bậc trung học phổ thông, giáo dục thường xuyên được hưởng trợ cấp bằng 9.000 đồng/tiết.</w:t>
      </w:r>
    </w:p>
    <w:p>
      <w:pPr>
        <w:spacing w:before="120" w:after="280" w:beforeAutospacing="0" w:afterAutospacing="1"/>
      </w:pPr>
      <w:r>
        <w:t>Trường hợp giáo viên giảng dạy cho từ 02 học sinh khuyết tật trở lên trong cùng 01 lớp học thì chỉ được hưởng tối đa mức trợ cấp giảng dạy cho 02 học sinh khuyết tật.</w:t>
      </w:r>
    </w:p>
    <w:p>
      <w:pPr>
        <w:spacing w:before="120" w:after="280" w:beforeAutospacing="0" w:afterAutospacing="1"/>
      </w:pPr>
      <w:r>
        <w:rPr>
          <w:b w:val="1"/>
          <w:i w:val="1"/>
        </w:rPr>
        <w:t>3. Thời gian áp dụng:</w:t>
      </w:r>
      <w:r>
        <w:t xml:space="preserve"> kể từ ngày Quyết định này có hiệu lực thi hành.”</w:t>
      </w:r>
    </w:p>
    <w:p>
      <w:pPr>
        <w:spacing w:before="120" w:after="280" w:beforeAutospacing="0" w:afterAutospacing="1"/>
      </w:pPr>
      <w:r>
        <w:rPr>
          <w:b w:val="1"/>
        </w:rPr>
        <w:t>Điều 2.</w:t>
      </w:r>
      <w:r>
        <w:t xml:space="preserve"> Các nội dung khác giữ nguyên theo Quyết định số 69/2011/QĐ-UBND ngày 07 tháng 11 năm 2011 của Ủy ban nhân dân Thành phố Hồ Chí Minh.</w:t>
      </w:r>
    </w:p>
    <w:p>
      <w:pPr>
        <w:spacing w:before="120" w:after="280" w:beforeAutospacing="0" w:afterAutospacing="1"/>
      </w:pPr>
      <w:r>
        <w:rPr>
          <w:b w:val="1"/>
        </w:rPr>
        <w:t>Điều 3.</w:t>
      </w:r>
      <w:r>
        <w:t xml:space="preserve"> Quyết định có hiệu lực thi hành sau 10 ngày, kể từ ngày ký.</w:t>
      </w:r>
    </w:p>
    <w:p>
      <w:pPr>
        <w:spacing w:before="120" w:after="280" w:beforeAutospacing="0" w:afterAutospacing="1"/>
      </w:pPr>
      <w:r>
        <w:rPr>
          <w:b w:val="1"/>
        </w:rPr>
        <w:t>Điều 4.</w:t>
      </w:r>
      <w:r>
        <w:t xml:space="preserve"> Chánh Văn phòng Ủy ban nhân dân Thành phố, Giám đốc Sở Nội vụ, Giám đốc Sở Tài chính, Giám đốc Sở Giáo dục và Đào tạo, Giám đốc Sở Lao động - Thương binh và Xã hội, Thủ trưởng các cơ quan liên quan, Chủ tịch Ủy ban nhân dân quận - huyện, Hiệu trưởng các cơ sở giáo dục công lập trên địa bàn Thành phố Hồ Chí Minh chịu trách nhiệm thi hành Quyết định này./.</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rPr>
                <w:b w:val="1"/>
                <w:i w:val="1"/>
              </w:rPr>
              <w:t>Nơi nhận:</w:t>
              <w:br w:type="textWrapping"/>
            </w:r>
            <w:r>
              <w:rPr>
                <w:sz w:val="16"/>
              </w:rPr>
              <w:t>- Như Điều 4;</w:t>
              <w:br w:type="textWrapping"/>
              <w:t>- Bộ Giáo dục và Đào tạo;</w:t>
              <w:br w:type="textWrapping"/>
              <w:t>- Bộ Lao động - Thương binh và Xã hội;</w:t>
              <w:br w:type="textWrapping"/>
              <w:t>- Bộ Tài chính;</w:t>
              <w:br w:type="textWrapping"/>
              <w:t>- Cục Kiểm tra văn bản - Bộ Tư pháp;</w:t>
              <w:br w:type="textWrapping"/>
              <w:t>- Thường trực Thành ủy;</w:t>
              <w:br w:type="textWrapping"/>
              <w:t>- Thường trực HĐND Thành phố;</w:t>
              <w:br w:type="textWrapping"/>
              <w:t>- TTUB: CT, các PCT;</w:t>
              <w:br w:type="textWrapping"/>
              <w:t>- Ban VHXH-HĐND Thành phố;</w:t>
              <w:br w:type="textWrapping"/>
              <w:t>- Văn phòng Thành ủy;</w:t>
              <w:br w:type="textWrapping"/>
              <w:t>- Ủy ban Mặt trận Tổ quốc Việt Nam TP;</w:t>
              <w:br w:type="textWrapping"/>
              <w:t>- Kho bạc Nhà nước Thành phố;</w:t>
              <w:br w:type="textWrapping"/>
              <w:t>- VPUB: các PVP;</w:t>
              <w:br w:type="textWrapping"/>
              <w:t>- Các Phòng Chuyên viên;</w:t>
              <w:br w:type="textWrapping"/>
              <w:t>- Trung tâm Công báo;</w:t>
              <w:br w:type="textWrapping"/>
              <w:t>- Lưu: VT, (VX/Nh) T.</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TM. ỦY BAN NHÂN DÂN</w:t>
              <w:br w:type="textWrapping"/>
              <w:t>KT. CHỦ TỊCH</w:t>
              <w:br w:type="textWrapping"/>
              <w:t>PHÓ CHỦ TỊCH</w:t>
              <w:br w:type="textWrapping"/>
              <w:br w:type="textWrapping"/>
              <w:br w:type="textWrapping"/>
              <w:br w:type="textWrapping"/>
              <w:br w:type="textWrapping"/>
              <w:t>Nguyễn Thị Thu</w:t>
            </w:r>
          </w:p>
        </w:tc>
      </w:tr>
    </w:tbl>
    <w:p>
      <w:pPr>
        <w:spacing w:before="120" w:after="280" w:beforeAutospacing="0" w:afterAutospacing="1"/>
      </w:pPr>
      <w:r>
        <w:rPr>
          <w:sz w:val="16"/>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