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F3BCE26" Type="http://schemas.openxmlformats.org/officeDocument/2006/relationships/officeDocument" Target="word/document.xml"/><Relationship Id="coreR2F3BCE2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43/2024/QH15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29 tháng 6 năm 2024 </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ĐẤT ĐAI SỐ 31/2024/QH15, LUẬT NHÀ Ở SỐ 27/2023/QH15, LUẬT KINH DOANH BẤT ĐỘNG SẢN SỐ 29/2023/QH15 VÀ LUẬT CÁC TỔ CHỨC TÍN DỤNG SỐ 32/2024/QH15</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spowirtlzs"/>
      <w:r>
        <w:rPr>
          <w:i w:val="1"/>
        </w:rPr>
        <w:t>Luật Đất đai số 31/2024/QH15</w:t>
      </w:r>
      <w:bookmarkEnd w:id="3"/>
      <w:r>
        <w:rPr>
          <w:i w:val="1"/>
        </w:rPr>
        <w:t xml:space="preserve">, </w:t>
      </w:r>
      <w:bookmarkStart w:id="4" w:name="tvpllink_niujhbwmju"/>
      <w:r>
        <w:rPr>
          <w:i w:val="1"/>
        </w:rPr>
        <w:t>Luật Nhà ở số 27/2023/QH15</w:t>
      </w:r>
      <w:bookmarkEnd w:id="4"/>
      <w:r>
        <w:rPr>
          <w:i w:val="1"/>
        </w:rPr>
        <w:t xml:space="preserve">, </w:t>
      </w:r>
      <w:bookmarkStart w:id="5" w:name="tvpllink_xvirsrimdr"/>
      <w:r>
        <w:rPr>
          <w:i w:val="1"/>
        </w:rPr>
        <w:t>Luật Kinh doanh bất động sản số 29/2023/QH15</w:t>
      </w:r>
      <w:bookmarkEnd w:id="5"/>
      <w:r>
        <w:rPr>
          <w:i w:val="1"/>
        </w:rPr>
        <w:t xml:space="preserve"> và </w:t>
      </w:r>
      <w:bookmarkStart w:id="6" w:name="tvpllink_wlwkmhhvjw"/>
      <w:r>
        <w:rPr>
          <w:i w:val="1"/>
        </w:rPr>
        <w:t>Luật Các tổ chức tín dụng số 32/2024/QH15</w:t>
      </w:r>
      <w:bookmarkEnd w:id="6"/>
      <w:r>
        <w:rPr>
          <w:i w:val="1"/>
        </w:rPr>
        <w:t>.</w:t>
      </w:r>
    </w:p>
    <w:p>
      <w:pPr>
        <w:spacing w:before="120" w:after="280" w:beforeAutospacing="0" w:afterAutospacing="1"/>
      </w:pPr>
      <w:bookmarkStart w:id="7" w:name="dieu_1"/>
      <w:r>
        <w:rPr>
          <w:b w:val="1"/>
        </w:rPr>
        <w:t>Điều 1. Sửa đổi, bổ sung một số điều của Luật Đất đai số 31/2024/QH15</w:t>
      </w:r>
      <w:bookmarkEnd w:id="7"/>
    </w:p>
    <w:p>
      <w:pPr>
        <w:spacing w:before="120" w:after="280" w:beforeAutospacing="0" w:afterAutospacing="1"/>
      </w:pPr>
      <w:bookmarkStart w:id="8" w:name="khoan_1_1"/>
      <w:r>
        <w:t>1. Sửa đổi, bổ sung</w:t>
      </w:r>
      <w:bookmarkEnd w:id="8"/>
      <w:r>
        <w:t xml:space="preserve"> </w:t>
      </w:r>
      <w:bookmarkStart w:id="9" w:name="dc_1"/>
      <w:r>
        <w:t>khoản 2 Điều 251</w:t>
      </w:r>
      <w:bookmarkEnd w:id="9"/>
      <w:r>
        <w:t xml:space="preserve"> </w:t>
      </w:r>
      <w:bookmarkStart w:id="10" w:name="khoan_1_1_name"/>
      <w:r>
        <w:t>như sau:</w:t>
      </w:r>
      <w:bookmarkEnd w:id="10"/>
    </w:p>
    <w:p>
      <w:pPr>
        <w:spacing w:before="120" w:after="280" w:beforeAutospacing="0" w:afterAutospacing="1"/>
      </w:pPr>
      <w:r>
        <w:t xml:space="preserve">“2. Bãi bỏ Nghị quyết số </w:t>
      </w:r>
      <w:bookmarkStart w:id="11" w:name="tvpllink_ckhueyuucv"/>
      <w:r>
        <w:t>132/2020/QH14</w:t>
      </w:r>
      <w:bookmarkEnd w:id="11"/>
      <w:r>
        <w:rPr>
          <w:highlight w:val="yellow"/>
        </w:rPr>
        <w:t xml:space="preserve"> ngày 17 tháng 11 năm 2020 của Quốc hội thí điểm một số chính sách để tháo gỡ vướng mắc, tồn đọng trong quản lý, sử dụng đất quốc phòng, an ninh kết hợp với hoạt động lao động sản xuất, xây dựng kinh tế từ ngày 01 tháng 01 năm 2025.”.</w:t>
      </w:r>
    </w:p>
    <w:p>
      <w:pPr>
        <w:spacing w:before="120" w:after="280" w:beforeAutospacing="0" w:afterAutospacing="1"/>
      </w:pPr>
      <w:bookmarkStart w:id="12" w:name="khoan_2_1"/>
      <w:r>
        <w:t>2. Sửa đổi, bổ sung</w:t>
      </w:r>
      <w:bookmarkEnd w:id="12"/>
      <w:r>
        <w:t xml:space="preserve"> </w:t>
      </w:r>
      <w:bookmarkStart w:id="13" w:name="dc_2"/>
      <w:r>
        <w:t>khoản 1 Điều 252</w:t>
      </w:r>
      <w:bookmarkEnd w:id="13"/>
      <w:r>
        <w:t xml:space="preserve"> </w:t>
      </w:r>
      <w:bookmarkStart w:id="14" w:name="khoan_2_1_name"/>
      <w:r>
        <w:t>như sau:</w:t>
      </w:r>
      <w:bookmarkEnd w:id="14"/>
    </w:p>
    <w:p>
      <w:pPr>
        <w:spacing w:before="120" w:after="280" w:beforeAutospacing="0" w:afterAutospacing="1"/>
      </w:pPr>
      <w:r>
        <w:t xml:space="preserve">“1. Luật này có hiệu lực thi hành từ ngày 01 tháng 8 năm 2024, trừ trường hợp quy định tại </w:t>
      </w:r>
      <w:bookmarkStart w:id="15" w:name="dc_3"/>
      <w:r>
        <w:t>khoản 2 và khoản 3</w:t>
      </w:r>
      <w:bookmarkEnd w:id="15"/>
      <w:r>
        <w:t xml:space="preserve"> Điều này.”.</w:t>
      </w:r>
    </w:p>
    <w:p>
      <w:pPr>
        <w:spacing w:before="120" w:after="280" w:beforeAutospacing="0" w:afterAutospacing="1"/>
      </w:pPr>
      <w:bookmarkStart w:id="16" w:name="khoan_3_1"/>
      <w:r>
        <w:t>3. Sửa đổi, bổ sung</w:t>
      </w:r>
      <w:bookmarkEnd w:id="16"/>
      <w:r>
        <w:t xml:space="preserve"> </w:t>
      </w:r>
      <w:bookmarkStart w:id="17" w:name="dc_4"/>
      <w:r>
        <w:t>khoản 10 Điều 255</w:t>
      </w:r>
      <w:bookmarkEnd w:id="17"/>
      <w:r>
        <w:t xml:space="preserve"> </w:t>
      </w:r>
      <w:bookmarkStart w:id="18" w:name="khoan_3_1_name"/>
      <w:r>
        <w:t>như sau:</w:t>
      </w:r>
      <w:bookmarkEnd w:id="18"/>
    </w:p>
    <w:p>
      <w:pPr>
        <w:spacing w:before="120" w:after="280" w:beforeAutospacing="0" w:afterAutospacing="1"/>
      </w:pPr>
      <w:r>
        <w:t xml:space="preserve">“10. Các dự án đầu tư thuộc trường hợp giao đất, cho thuê đất không thông qua hình thức đấu giá quyền sử dụng đất theo quy định của </w:t>
      </w:r>
      <w:bookmarkStart w:id="19" w:name="tvpllink_hgwsdbdiqw"/>
      <w:r>
        <w:t>Luật Đất đai số 45/2013/QH13</w:t>
      </w:r>
      <w:bookmarkEnd w:id="19"/>
      <w:r>
        <w:t>, pháp luật có liên quan và phù hợp với quy hoạch, kế hoạch sử dụng đất mà chưa được giao đất, cho thuê đất thì được tiếp tục thực hiện các bước tiếp theo trong trình tự, thủ tục giao đất, cho thuê đất để giao đất, cho thuê đất cho nhà đầu tư, chủ đầu tư theo quy định của Luật này nếu thuộc một trong các trường hợp sau đây:</w:t>
      </w:r>
    </w:p>
    <w:p>
      <w:pPr>
        <w:spacing w:before="120" w:after="280" w:beforeAutospacing="0" w:afterAutospacing="1"/>
      </w:pPr>
      <w:r>
        <w:t>a) Dự án đã lựa chọn được nhà đầu tư, chủ đầu tư theo đúng quy định của pháp luật về đầu tư, pháp luật về nhà ở, pháp luật về đấu thầu từ ngày 01 tháng 7 năm 2014 đến trước ngày 01 tháng 8 năm 2024;</w:t>
      </w:r>
    </w:p>
    <w:p>
      <w:pPr>
        <w:spacing w:before="120" w:after="280" w:beforeAutospacing="0" w:afterAutospacing="1"/>
      </w:pPr>
      <w:r>
        <w:t>b) Dự án mà nhà đầu tư đã nộp hồ sơ hợp lệ để thực hiện thủ tục lựa chọn nhà đầu tư, chủ đầu tư trước ngày 01 tháng 8 năm 2024 và đã lựa chọn được nhà đầu tư, chủ đầu tư trước ngày 01 tháng 01 năm 2025.</w:t>
      </w:r>
    </w:p>
    <w:p>
      <w:pPr>
        <w:spacing w:before="120" w:after="280" w:beforeAutospacing="0" w:afterAutospacing="1"/>
      </w:pPr>
      <w:r>
        <w:t>Việc lựa chọn nhà đầu tư, chủ đầu tư đối với dự án quy định tại điểm này được thực hiện theo quy định của pháp luật về đầu tư, pháp luật về nhà ở, pháp luật về đấu thầu có hiệu lực tại thời điểm nộp hồ sơ.”.</w:t>
      </w:r>
    </w:p>
    <w:p>
      <w:pPr>
        <w:spacing w:before="120" w:after="280" w:beforeAutospacing="0" w:afterAutospacing="1"/>
      </w:pPr>
      <w:bookmarkStart w:id="20" w:name="khoan_4_1"/>
      <w:r>
        <w:t>4. Sửa đổi, bổ sung khổ đầu</w:t>
      </w:r>
      <w:bookmarkEnd w:id="20"/>
      <w:r>
        <w:t xml:space="preserve"> </w:t>
      </w:r>
      <w:bookmarkStart w:id="21" w:name="dc_5"/>
      <w:r>
        <w:t>khoản 4 Điều 260</w:t>
      </w:r>
      <w:bookmarkEnd w:id="21"/>
      <w:r>
        <w:t xml:space="preserve"> </w:t>
      </w:r>
      <w:bookmarkStart w:id="22" w:name="khoan_4_1_name"/>
      <w:r>
        <w:t>như sau:</w:t>
      </w:r>
      <w:bookmarkEnd w:id="22"/>
    </w:p>
    <w:p>
      <w:pPr>
        <w:spacing w:before="120" w:after="280" w:beforeAutospacing="0" w:afterAutospacing="1"/>
      </w:pPr>
      <w:r>
        <w:t xml:space="preserve">“4. Phương án sử dụng đất, phương án xử lý, phương án sắp xếp lại, xử lý nhà, đất đã được cấp có thẩm quyền phê duyệt theo quy định tại Nghị quyết số </w:t>
      </w:r>
      <w:bookmarkStart w:id="23" w:name="tvpllink_ckhueyuucv_1"/>
      <w:r>
        <w:t>132/2020/QH14</w:t>
      </w:r>
      <w:bookmarkEnd w:id="23"/>
      <w:r>
        <w:rPr>
          <w:highlight w:val="yellow"/>
        </w:rPr>
        <w:t xml:space="preserve"> của Quốc hội thí điểm một số chính sách để tháo gỡ vướng mắc, tồn đọng trong quản lý, sử dụng đất quốc phòng, an ninh kết hợp với hoạt động lao động sản xuất, xây dựng kinh tế trước ngày 01 tháng 01 năm 2025 thì thực hiện theo phương án đã phê duyệt.”.</w:t>
      </w:r>
    </w:p>
    <w:p>
      <w:pPr>
        <w:spacing w:before="120" w:after="280" w:beforeAutospacing="0" w:afterAutospacing="1"/>
      </w:pPr>
      <w:bookmarkStart w:id="24" w:name="dieu_2"/>
      <w:r>
        <w:rPr>
          <w:b w:val="1"/>
        </w:rPr>
        <w:t>Điều 2. Sửa đổi, bổ sung</w:t>
      </w:r>
      <w:bookmarkEnd w:id="24"/>
      <w:r>
        <w:rPr>
          <w:b w:val="1"/>
        </w:rPr>
        <w:t xml:space="preserve"> </w:t>
      </w:r>
      <w:bookmarkStart w:id="25" w:name="dc_6"/>
      <w:r>
        <w:rPr>
          <w:b w:val="1"/>
        </w:rPr>
        <w:t>khoản 1 Điều 197 của Luật Nhà ở số 27/2023/QH15</w:t>
      </w:r>
      <w:bookmarkEnd w:id="25"/>
    </w:p>
    <w:p>
      <w:pPr>
        <w:spacing w:before="120" w:after="280" w:beforeAutospacing="0" w:afterAutospacing="1"/>
      </w:pPr>
      <w:r>
        <w:t xml:space="preserve">Sửa đổi, bổ sung </w:t>
      </w:r>
      <w:bookmarkStart w:id="26" w:name="dc_7"/>
      <w:r>
        <w:t>khoản 1 Điều 197</w:t>
      </w:r>
      <w:bookmarkEnd w:id="26"/>
      <w:r>
        <w:t xml:space="preserve"> như sau:</w:t>
      </w:r>
    </w:p>
    <w:p>
      <w:pPr>
        <w:spacing w:before="120" w:after="280" w:beforeAutospacing="0" w:afterAutospacing="1"/>
      </w:pPr>
      <w:r>
        <w:t>“1. Luật này có hiệu lực thi hành từ ngày 01 tháng 8 năm 2024.”.</w:t>
      </w:r>
    </w:p>
    <w:p>
      <w:pPr>
        <w:spacing w:before="120" w:after="280" w:beforeAutospacing="0" w:afterAutospacing="1"/>
      </w:pPr>
      <w:bookmarkStart w:id="27" w:name="dieu_3"/>
      <w:r>
        <w:rPr>
          <w:b w:val="1"/>
        </w:rPr>
        <w:t>Điều 3. Sửa đổi, bổ sung</w:t>
      </w:r>
      <w:bookmarkEnd w:id="27"/>
      <w:r>
        <w:rPr>
          <w:b w:val="1"/>
        </w:rPr>
        <w:t xml:space="preserve"> </w:t>
      </w:r>
      <w:bookmarkStart w:id="28" w:name="dc_8"/>
      <w:r>
        <w:rPr>
          <w:b w:val="1"/>
        </w:rPr>
        <w:t>khoản 1 Điều 82 của Luật Kinh doanh bất động sản số 29/2023/QH15</w:t>
      </w:r>
      <w:bookmarkEnd w:id="28"/>
    </w:p>
    <w:p>
      <w:pPr>
        <w:spacing w:before="120" w:after="280" w:beforeAutospacing="0" w:afterAutospacing="1"/>
      </w:pPr>
      <w:r>
        <w:t xml:space="preserve">Sửa đổi, bổ sung </w:t>
      </w:r>
      <w:bookmarkStart w:id="29" w:name="dc_9"/>
      <w:r>
        <w:t>khoản 1 Điều 82</w:t>
      </w:r>
      <w:bookmarkEnd w:id="29"/>
      <w:r>
        <w:t xml:space="preserve"> như sau:</w:t>
      </w:r>
    </w:p>
    <w:p>
      <w:pPr>
        <w:spacing w:before="120" w:after="280" w:beforeAutospacing="0" w:afterAutospacing="1"/>
      </w:pPr>
      <w:r>
        <w:t>“1. Luật này có hiệu lực thi hành từ ngày 01 tháng 8 năm 2024.”.</w:t>
      </w:r>
    </w:p>
    <w:p>
      <w:pPr>
        <w:spacing w:before="120" w:after="280" w:beforeAutospacing="0" w:afterAutospacing="1"/>
      </w:pPr>
      <w:bookmarkStart w:id="30" w:name="dieu_4"/>
      <w:r>
        <w:rPr>
          <w:b w:val="1"/>
        </w:rPr>
        <w:t>Điều 4. Sửa đổi, bổ sung</w:t>
      </w:r>
      <w:bookmarkEnd w:id="30"/>
      <w:r>
        <w:rPr>
          <w:b w:val="1"/>
        </w:rPr>
        <w:t xml:space="preserve"> </w:t>
      </w:r>
      <w:bookmarkStart w:id="31" w:name="dc_10"/>
      <w:r>
        <w:rPr>
          <w:b w:val="1"/>
        </w:rPr>
        <w:t>khoản 2 Điều 209 của Luật Các tổ chức tín dụng số 32/2024/QH15</w:t>
      </w:r>
      <w:bookmarkEnd w:id="31"/>
    </w:p>
    <w:p>
      <w:pPr>
        <w:spacing w:before="120" w:after="280" w:beforeAutospacing="0" w:afterAutospacing="1"/>
      </w:pPr>
      <w:r>
        <w:t xml:space="preserve">Sửa đổi, bổ sung </w:t>
      </w:r>
      <w:bookmarkStart w:id="32" w:name="dc_11"/>
      <w:r>
        <w:t>khoản 2 Điều 209</w:t>
      </w:r>
      <w:bookmarkEnd w:id="32"/>
      <w:r>
        <w:t xml:space="preserve"> như sau:</w:t>
      </w:r>
    </w:p>
    <w:p>
      <w:pPr>
        <w:spacing w:before="120" w:after="280" w:beforeAutospacing="0" w:afterAutospacing="1"/>
      </w:pPr>
      <w:r>
        <w:t xml:space="preserve">“2. </w:t>
      </w:r>
      <w:bookmarkStart w:id="33" w:name="dc_12"/>
      <w:r>
        <w:t>Khoản 3 Điều 200 và khoản 15 Điều 210</w:t>
      </w:r>
      <w:bookmarkEnd w:id="33"/>
      <w:r>
        <w:t xml:space="preserve"> của Luật này có hiệu lực thi hành từ ngày 01 tháng 8 năm 2024.”.</w:t>
      </w:r>
    </w:p>
    <w:p>
      <w:pPr>
        <w:spacing w:before="120" w:after="280" w:beforeAutospacing="0" w:afterAutospacing="1"/>
      </w:pPr>
      <w:bookmarkStart w:id="34" w:name="dieu_5"/>
      <w:r>
        <w:rPr>
          <w:b w:val="1"/>
        </w:rPr>
        <w:t>Điều 5. Hiệu lực thi hành</w:t>
      </w:r>
      <w:bookmarkEnd w:id="34"/>
    </w:p>
    <w:p>
      <w:pPr>
        <w:spacing w:before="120" w:after="280" w:beforeAutospacing="0" w:afterAutospacing="1"/>
      </w:pPr>
      <w:r>
        <w:t>Luật này có hiệu lực thi hành từ ngày 01 tháng 8 năm 2024.</w:t>
      </w:r>
    </w:p>
    <w:p>
      <w:pPr>
        <w:spacing w:before="120" w:after="280" w:beforeAutospacing="0" w:afterAutospacing="1"/>
      </w:pPr>
      <w:r>
        <w:rPr>
          <w:i w:val="1"/>
          <w:highlight w:val="yellow"/>
        </w:rPr>
        <w:t>Luật này được Quốc hội nước Cộng hòa xã hội chủ nghĩa Việt Nam khóa XV, kỳ họp thứ 7 thông qua ngày 29 tháng 6 năm 2024.</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Trần Thanh Mẫn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