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Класс эквивалентности — часть области входных или выходных данных, для которой поведение компонента или системы считается одинаковым. 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ind w:left="-360" w:firstLine="0"/>
        <w:jc w:val="both"/>
        <w:rPr/>
      </w:pPr>
      <w:bookmarkStart w:colFirst="0" w:colLast="0" w:name="_1n0kxq1u0rzx" w:id="0"/>
      <w:bookmarkEnd w:id="0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Х классы эквивалентности описать  в регулярках Х</w:t>
      </w:r>
    </w:p>
    <w:p w:rsidR="00000000" w:rsidDel="00000000" w:rsidP="00000000" w:rsidRDefault="00000000" w:rsidRPr="00000000" w14:paraId="00000004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требованиях к продукту указано: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256.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должен быть от 1 до 128 символов.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56.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должен начинаться с буквы или подчеркивания;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Идентификатор может содержать буквы латинского алфавита, символ подчеркивания, минус, цифры.</w:t>
      </w:r>
    </w:p>
    <w:p w:rsidR="00000000" w:rsidDel="00000000" w:rsidP="00000000" w:rsidRDefault="00000000" w:rsidRPr="00000000" w14:paraId="00000008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 эквивалентности:</w:t>
      </w:r>
    </w:p>
    <w:p w:rsidR="00000000" w:rsidDel="00000000" w:rsidP="00000000" w:rsidRDefault="00000000" w:rsidRPr="00000000" w14:paraId="00000009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^([A-Za-z_]){1}([A-Za-z0-9_-]){0,127}$</w:t>
      </w:r>
    </w:p>
    <w:p w:rsidR="00000000" w:rsidDel="00000000" w:rsidP="00000000" w:rsidRDefault="00000000" w:rsidRPr="00000000" w14:paraId="0000000A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^[A-Za-z_][A-Za-z0-9_-]{0,127}$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Данные для тестирования.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Валидные.</w:t>
      </w:r>
    </w:p>
    <w:tbl>
      <w:tblPr>
        <w:tblStyle w:val="Table1"/>
        <w:tblW w:w="5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tblGridChange w:id="0">
          <w:tblGrid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_asdasdd8763asd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asd932sda-sdasd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SSbcdefghabcdefghabcdefghabcdefghabcdefghabcdefghabcdefghabcdefghabcdefghabcdefghabcdefghabcdefghabcdefghabcdefghabcdefg123cde-g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Невалидные.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SSbcdefghabcdefghabcdefghabcdefghabcdefghabcdefghabcdefghabcdefghabcdefghabcdefghabcdefghabcdefghabcdefghabcdefghabcdefg123cde-gSSbcdefghabcdefghabcdefghabcdefghabcdefghabcdefgh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323skpfsevl0ksd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&amp;&amp;&amp;((())_@</w:t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spacing w:after="240" w:before="240" w:lineRule="auto"/>
        <w:jc w:val="both"/>
        <w:rPr/>
      </w:pPr>
      <w:bookmarkStart w:colFirst="0" w:colLast="0" w:name="_lf27ikudv0c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0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Калькулятор кредита работает следующим образом:</w:t>
      </w:r>
    </w:p>
    <w:p w:rsidR="00000000" w:rsidDel="00000000" w:rsidP="00000000" w:rsidRDefault="00000000" w:rsidRPr="00000000" w14:paraId="00000021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Базовая ставка кредита — 15%.</w:t>
      </w:r>
    </w:p>
    <w:p w:rsidR="00000000" w:rsidDel="00000000" w:rsidP="00000000" w:rsidRDefault="00000000" w:rsidRPr="00000000" w14:paraId="00000022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10.000 до 100.000 руб., то ставка остается базовой.</w:t>
      </w:r>
    </w:p>
    <w:p w:rsidR="00000000" w:rsidDel="00000000" w:rsidP="00000000" w:rsidRDefault="00000000" w:rsidRPr="00000000" w14:paraId="00000023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100.001 руб. до 500.000 руб., то ставка уменьшается на 1%</w:t>
      </w:r>
    </w:p>
    <w:p w:rsidR="00000000" w:rsidDel="00000000" w:rsidP="00000000" w:rsidRDefault="00000000" w:rsidRPr="00000000" w14:paraId="00000024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от 500.001 до 1.000.000 руб. включительно, то ставка уменьшается на 2%</w:t>
      </w:r>
    </w:p>
    <w:p w:rsidR="00000000" w:rsidDel="00000000" w:rsidP="00000000" w:rsidRDefault="00000000" w:rsidRPr="00000000" w14:paraId="00000025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сумма кредита более 1.000.000 руб., то ставка обговаривается индивидуально с каждым клиентом.</w:t>
      </w:r>
    </w:p>
    <w:p w:rsidR="00000000" w:rsidDel="00000000" w:rsidP="00000000" w:rsidRDefault="00000000" w:rsidRPr="00000000" w14:paraId="00000026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до 3 лет, то ставка остается базовой.</w:t>
      </w:r>
    </w:p>
    <w:p w:rsidR="00000000" w:rsidDel="00000000" w:rsidP="00000000" w:rsidRDefault="00000000" w:rsidRPr="00000000" w14:paraId="00000027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от 3 до 5 лет включительно, то ставка увеличивается на 1%</w:t>
      </w:r>
    </w:p>
    <w:p w:rsidR="00000000" w:rsidDel="00000000" w:rsidP="00000000" w:rsidRDefault="00000000" w:rsidRPr="00000000" w14:paraId="00000028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от 5 до 10 лет включительно, то ставка увеличивается на 2%.</w:t>
      </w:r>
    </w:p>
    <w:p w:rsidR="00000000" w:rsidDel="00000000" w:rsidP="00000000" w:rsidRDefault="00000000" w:rsidRPr="00000000" w14:paraId="00000029">
      <w:pPr>
        <w:spacing w:after="240" w:before="240" w:lineRule="auto"/>
        <w:ind w:left="-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срок кредита — более 10 лет, то ставка обговаривается индивидуально с каждым клиентом.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Х добавить визуал Х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568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 эквивалентности: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13%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14%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15%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16%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17%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Тестовые данные:</w:t>
      </w:r>
    </w:p>
    <w:p w:rsidR="00000000" w:rsidDel="00000000" w:rsidP="00000000" w:rsidRDefault="00000000" w:rsidRPr="00000000" w14:paraId="00000032">
      <w:pPr>
        <w:pStyle w:val="Heading4"/>
        <w:spacing w:after="240" w:before="240" w:lineRule="auto"/>
        <w:ind w:left="0" w:firstLine="0"/>
        <w:jc w:val="both"/>
        <w:rPr>
          <w:color w:val="000000"/>
        </w:rPr>
      </w:pPr>
      <w:bookmarkStart w:colFirst="0" w:colLast="0" w:name="_ttt2kggwl2cn" w:id="2"/>
      <w:bookmarkEnd w:id="2"/>
      <w:r w:rsidDel="00000000" w:rsidR="00000000" w:rsidRPr="00000000">
        <w:rPr>
          <w:color w:val="000000"/>
          <w:rtl w:val="0"/>
        </w:rPr>
        <w:t xml:space="preserve">1.Cтавка 13% min 12</w:t>
      </w:r>
    </w:p>
    <w:p w:rsidR="00000000" w:rsidDel="00000000" w:rsidP="00000000" w:rsidRDefault="00000000" w:rsidRPr="00000000" w14:paraId="00000033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500.001 до 1.000.000 руб  до 3 лет [ 500.001-1.000.000] [1-3]</w:t>
      </w:r>
    </w:p>
    <w:p w:rsidR="00000000" w:rsidDel="00000000" w:rsidP="00000000" w:rsidRDefault="00000000" w:rsidRPr="00000000" w14:paraId="00000034">
      <w:pPr>
        <w:spacing w:after="240" w:before="240" w:line="256.8" w:lineRule="auto"/>
        <w:ind w:left="-36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Валидные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Невалидные</w:t>
      </w:r>
    </w:p>
    <w:tbl>
      <w:tblPr>
        <w:tblStyle w:val="Table4"/>
        <w:tblW w:w="9386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7.2"/>
        <w:gridCol w:w="1877.2"/>
        <w:gridCol w:w="1877.2"/>
        <w:gridCol w:w="1877.2"/>
        <w:gridCol w:w="1877.2"/>
        <w:tblGridChange w:id="0">
          <w:tblGrid>
            <w:gridCol w:w="1877.2"/>
            <w:gridCol w:w="1877.2"/>
            <w:gridCol w:w="1877.2"/>
            <w:gridCol w:w="1877.2"/>
            <w:gridCol w:w="1877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уточнять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spacing w:after="240" w:before="240" w:lineRule="auto"/>
        <w:ind w:left="0" w:firstLine="0"/>
        <w:jc w:val="both"/>
        <w:rPr>
          <w:color w:val="000000"/>
        </w:rPr>
      </w:pPr>
      <w:bookmarkStart w:colFirst="0" w:colLast="0" w:name="_qsc6e1el3t3v" w:id="3"/>
      <w:bookmarkEnd w:id="3"/>
      <w:r w:rsidDel="00000000" w:rsidR="00000000" w:rsidRPr="00000000">
        <w:rPr>
          <w:color w:val="000000"/>
          <w:rtl w:val="0"/>
        </w:rPr>
        <w:t xml:space="preserve">2.Cтавка 14% min 24</w:t>
      </w:r>
    </w:p>
    <w:p w:rsidR="00000000" w:rsidDel="00000000" w:rsidP="00000000" w:rsidRDefault="00000000" w:rsidRPr="00000000" w14:paraId="00000071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500.001 до 1.000.000 руб  от 3 до 5 лет [500.001-1.000.000] [4-5]</w:t>
      </w:r>
    </w:p>
    <w:p w:rsidR="00000000" w:rsidDel="00000000" w:rsidP="00000000" w:rsidRDefault="00000000" w:rsidRPr="00000000" w14:paraId="00000072">
      <w:pPr>
        <w:spacing w:after="240" w:before="240" w:line="256.8" w:lineRule="auto"/>
        <w:ind w:left="-36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Валидные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Невалидные</w:t>
      </w:r>
    </w:p>
    <w:p w:rsidR="00000000" w:rsidDel="00000000" w:rsidP="00000000" w:rsidRDefault="00000000" w:rsidRPr="00000000" w14:paraId="0000007F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86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7.2"/>
        <w:gridCol w:w="1877.2"/>
        <w:gridCol w:w="1877.2"/>
        <w:gridCol w:w="1877.2"/>
        <w:gridCol w:w="1877.2"/>
        <w:tblGridChange w:id="0">
          <w:tblGrid>
            <w:gridCol w:w="1877.2"/>
            <w:gridCol w:w="1877.2"/>
            <w:gridCol w:w="1877.2"/>
            <w:gridCol w:w="1877.2"/>
            <w:gridCol w:w="1877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100.001 руб. до 500.000 руб  до 3 лет [100.001-500.000] [1-3]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Валидные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Невалидные</w:t>
      </w:r>
    </w:p>
    <w:tbl>
      <w:tblPr>
        <w:tblStyle w:val="Table8"/>
        <w:tblW w:w="9386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7.2"/>
        <w:gridCol w:w="1877.2"/>
        <w:gridCol w:w="1877.2"/>
        <w:gridCol w:w="1877.2"/>
        <w:gridCol w:w="1877.2"/>
        <w:tblGridChange w:id="0">
          <w:tblGrid>
            <w:gridCol w:w="1877.2"/>
            <w:gridCol w:w="1877.2"/>
            <w:gridCol w:w="1877.2"/>
            <w:gridCol w:w="1877.2"/>
            <w:gridCol w:w="1877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-1( 13)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-1( 13)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spacing w:after="240" w:before="240" w:lineRule="auto"/>
        <w:ind w:left="0" w:firstLine="0"/>
        <w:jc w:val="both"/>
        <w:rPr>
          <w:color w:val="000000"/>
        </w:rPr>
      </w:pPr>
      <w:bookmarkStart w:colFirst="0" w:colLast="0" w:name="_s0ya95igw5tr" w:id="4"/>
      <w:bookmarkEnd w:id="4"/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Базовая ставка 15%  min 36</w:t>
      </w:r>
    </w:p>
    <w:p w:rsidR="00000000" w:rsidDel="00000000" w:rsidP="00000000" w:rsidRDefault="00000000" w:rsidRPr="00000000" w14:paraId="000000EC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от 10.000 до 100.000 руб.      до 3 лет [10.000-100.000] [1-3]</w:t>
      </w:r>
    </w:p>
    <w:p w:rsidR="00000000" w:rsidDel="00000000" w:rsidP="00000000" w:rsidRDefault="00000000" w:rsidRPr="00000000" w14:paraId="000000ED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Валидные:</w:t>
      </w:r>
    </w:p>
    <w:tbl>
      <w:tblPr>
        <w:tblStyle w:val="Table9"/>
        <w:tblW w:w="490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55"/>
        <w:tblGridChange w:id="0">
          <w:tblGrid>
            <w:gridCol w:w="225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8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Невалидные:</w:t>
      </w:r>
    </w:p>
    <w:tbl>
      <w:tblPr>
        <w:tblStyle w:val="Table10"/>
        <w:tblW w:w="9386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7.2"/>
        <w:gridCol w:w="1877.2"/>
        <w:gridCol w:w="1877.2"/>
        <w:gridCol w:w="1877.2"/>
        <w:gridCol w:w="1877.2"/>
        <w:tblGridChange w:id="0">
          <w:tblGrid>
            <w:gridCol w:w="1877.2"/>
            <w:gridCol w:w="1877.2"/>
            <w:gridCol w:w="1877.2"/>
            <w:gridCol w:w="1877.2"/>
            <w:gridCol w:w="1877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28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100.001 руб. до 500.000 руб   от 3 до 5 лет [100.001-500.000] [4-5]</w:t>
      </w:r>
    </w:p>
    <w:p w:rsidR="00000000" w:rsidDel="00000000" w:rsidP="00000000" w:rsidRDefault="00000000" w:rsidRPr="00000000" w14:paraId="0000012A">
      <w:pPr>
        <w:spacing w:after="240" w:before="240" w:line="256.8" w:lineRule="auto"/>
        <w:ind w:left="-36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Валидные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Невалидные</w:t>
      </w:r>
    </w:p>
    <w:tbl>
      <w:tblPr>
        <w:tblStyle w:val="Table12"/>
        <w:tblW w:w="9386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7.2"/>
        <w:gridCol w:w="1877.2"/>
        <w:gridCol w:w="1877.2"/>
        <w:gridCol w:w="1877.2"/>
        <w:gridCol w:w="1877.2"/>
        <w:gridCol w:w="1877.2"/>
        <w:tblGridChange w:id="0">
          <w:tblGrid>
            <w:gridCol w:w="1877.2"/>
            <w:gridCol w:w="1877.2"/>
            <w:gridCol w:w="1877.2"/>
            <w:gridCol w:w="1877.2"/>
            <w:gridCol w:w="1877.2"/>
            <w:gridCol w:w="1877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 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="256.8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 500.001 до 1.000.000 руб  от 5 до 10 лет [500.001-1.000.000] [6-10]</w:t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Валидные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Невалидные</w:t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</w:tbl>
    <w:p w:rsidR="00000000" w:rsidDel="00000000" w:rsidP="00000000" w:rsidRDefault="00000000" w:rsidRPr="00000000" w14:paraId="000001A0">
      <w:pPr>
        <w:pStyle w:val="Heading4"/>
        <w:spacing w:after="240" w:before="240" w:lineRule="auto"/>
        <w:jc w:val="both"/>
        <w:rPr>
          <w:color w:val="000000"/>
        </w:rPr>
      </w:pPr>
      <w:bookmarkStart w:colFirst="0" w:colLast="0" w:name="_25fvgcxi14du" w:id="5"/>
      <w:bookmarkEnd w:id="5"/>
      <w:r w:rsidDel="00000000" w:rsidR="00000000" w:rsidRPr="00000000">
        <w:rPr>
          <w:color w:val="000000"/>
          <w:rtl w:val="0"/>
        </w:rPr>
        <w:t xml:space="preserve">4. Ставка 16% min 24</w:t>
      </w:r>
    </w:p>
    <w:p w:rsidR="00000000" w:rsidDel="00000000" w:rsidP="00000000" w:rsidRDefault="00000000" w:rsidRPr="00000000" w14:paraId="000001A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 10.000 до 100.000 руб  от 3 до 5 лет [10.000-100.000] [4-5]</w:t>
      </w:r>
    </w:p>
    <w:p w:rsidR="00000000" w:rsidDel="00000000" w:rsidP="00000000" w:rsidRDefault="00000000" w:rsidRPr="00000000" w14:paraId="000001A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Валидные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A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Невалидные</w:t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+1(17)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+1(17)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D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100.001 руб. до 500.000 руб  от 5 до 10 лет  [100.001-500.000] [6-10]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Валидные</w:t>
      </w:r>
    </w:p>
    <w:p w:rsidR="00000000" w:rsidDel="00000000" w:rsidP="00000000" w:rsidRDefault="00000000" w:rsidRPr="00000000" w14:paraId="000001D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  <w:t xml:space="preserve">Невалидные</w:t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+1(17)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+1(17)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21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4"/>
        <w:spacing w:after="240" w:before="240" w:lineRule="auto"/>
        <w:jc w:val="both"/>
        <w:rPr>
          <w:color w:val="000000"/>
        </w:rPr>
      </w:pPr>
      <w:bookmarkStart w:colFirst="0" w:colLast="0" w:name="_135p6bbgb20m" w:id="6"/>
      <w:bookmarkEnd w:id="6"/>
      <w:r w:rsidDel="00000000" w:rsidR="00000000" w:rsidRPr="00000000">
        <w:rPr>
          <w:color w:val="000000"/>
          <w:rtl w:val="0"/>
        </w:rPr>
        <w:t xml:space="preserve">5. Ставка 17% min 12</w:t>
      </w:r>
    </w:p>
    <w:p w:rsidR="00000000" w:rsidDel="00000000" w:rsidP="00000000" w:rsidRDefault="00000000" w:rsidRPr="00000000" w14:paraId="0000021B">
      <w:pPr>
        <w:spacing w:after="240" w:before="240" w:line="256.8" w:lineRule="auto"/>
        <w:ind w:left="-36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10.000 до 100.000 руб. от 5 до 10 лет [10.000-100.000] [6-10]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Валидные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Невалидные</w:t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Одобрен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ниже граничной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сроку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уточнять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сумме выше границы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 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255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spacing w:after="240" w:before="240" w:lineRule="auto"/>
        <w:ind w:left="-360" w:firstLine="0"/>
        <w:jc w:val="both"/>
        <w:rPr/>
      </w:pPr>
      <w:bookmarkStart w:colFirst="0" w:colLast="0" w:name="_npjmmvtoygq6" w:id="7"/>
      <w:bookmarkEnd w:id="7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257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ввода даты. Три поля: ДД.ММ.ГГГГ. Дата должна быть корректна.</w:t>
      </w:r>
    </w:p>
    <w:p w:rsidR="00000000" w:rsidDel="00000000" w:rsidP="00000000" w:rsidRDefault="00000000" w:rsidRPr="00000000" w14:paraId="00000258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 эквивалентности: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[1-31].[01, 03, 05, 07, 08, 10, 12].[1-9999]</w:t>
      </w:r>
    </w:p>
    <w:p w:rsidR="00000000" w:rsidDel="00000000" w:rsidP="00000000" w:rsidRDefault="00000000" w:rsidRPr="00000000" w14:paraId="0000025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месяцы, в которых 31 день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[1-30].[04, 06, 09, 11].[1-9999]</w:t>
      </w:r>
    </w:p>
    <w:p w:rsidR="00000000" w:rsidDel="00000000" w:rsidP="00000000" w:rsidRDefault="00000000" w:rsidRPr="00000000" w14:paraId="0000025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месяцы, в которых 30 дней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[1-28].[02].[1-9999] или [1-28].[02].[1-9999]</w:t>
      </w:r>
    </w:p>
    <w:p w:rsidR="00000000" w:rsidDel="00000000" w:rsidP="00000000" w:rsidRDefault="00000000" w:rsidRPr="00000000" w14:paraId="0000025E">
      <w:pPr>
        <w:spacing w:after="240" w:before="240" w:lineRule="auto"/>
        <w:ind w:left="0" w:firstLine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февраль обычный или високосный</w:t>
        <w:br w:type="textWrapping"/>
        <w:t xml:space="preserve"> Х </w:t>
      </w:r>
      <w:r w:rsidDel="00000000" w:rsidR="00000000" w:rsidRPr="00000000">
        <w:rPr>
          <w:u w:val="single"/>
          <w:rtl w:val="0"/>
        </w:rPr>
        <w:t xml:space="preserve">добавить условия для проверки високосного года Х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(ГГГГ mod 4 == 0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and ГГГГ mod 100 != 0)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or (ГГГГ mod 100 == 0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and ГГГГ mod 400 == 0)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[1-29].[2].[1-9999]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[1-28].[2].[1-9999]</w:t>
      </w:r>
    </w:p>
    <w:p w:rsidR="00000000" w:rsidDel="00000000" w:rsidP="00000000" w:rsidRDefault="00000000" w:rsidRPr="00000000" w14:paraId="0000026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Тестовые данные:</w:t>
      </w:r>
    </w:p>
    <w:p w:rsidR="00000000" w:rsidDel="00000000" w:rsidP="00000000" w:rsidRDefault="00000000" w:rsidRPr="00000000" w14:paraId="0000026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Валидные</w:t>
      </w:r>
    </w:p>
    <w:tbl>
      <w:tblPr>
        <w:tblStyle w:val="Table2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удовл. классу эквивалентности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31.01.2025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17.09.1234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30.11.1999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23.02.2024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29.02.2024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7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Невалидные</w:t>
      </w:r>
    </w:p>
    <w:tbl>
      <w:tblPr>
        <w:tblStyle w:val="Table2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0.01.1999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 диапазона дня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32.03.2000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12.0.1200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 диапазона месяца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12.13.1200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12.12.0000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 диапазона года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12.12.10000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s.12.1200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тот формат ввода дня, месяца, года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12.s.1200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12.12.s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31.04.2000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месяцы, в которых 30 дней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31.06.2000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31.09.2000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31.11.2000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29.02.2023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февраль високосный/нет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30.02.2024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spacing w:after="240" w:befor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