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866C" w14:textId="47266202" w:rsidR="00C44113" w:rsidRPr="001916E5" w:rsidRDefault="001916E5" w:rsidP="00A97A70">
      <w:pPr>
        <w:jc w:val="both"/>
        <w:rPr>
          <w:b/>
          <w:bCs/>
        </w:rPr>
      </w:pPr>
      <w:r w:rsidRPr="001916E5">
        <w:rPr>
          <w:b/>
          <w:bCs/>
        </w:rPr>
        <w:t>The Clinical Problem and the Motivation for Computational Approaches:</w:t>
      </w:r>
    </w:p>
    <w:p w14:paraId="366BB0EE" w14:textId="4A1352FF" w:rsidR="001916E5" w:rsidRDefault="001916E5" w:rsidP="00A97A70">
      <w:pPr>
        <w:jc w:val="both"/>
        <w:rPr>
          <w:sz w:val="22"/>
          <w:szCs w:val="22"/>
        </w:rPr>
      </w:pPr>
      <w:r w:rsidRPr="001610D2">
        <w:rPr>
          <w:sz w:val="22"/>
          <w:szCs w:val="22"/>
        </w:rPr>
        <w:t xml:space="preserve">Polycystic Ovary Syndrome is one of the most common endocrine disorders that reproductive-aged women </w:t>
      </w:r>
      <w:r w:rsidR="00A97A70" w:rsidRPr="001610D2">
        <w:rPr>
          <w:sz w:val="22"/>
          <w:szCs w:val="22"/>
        </w:rPr>
        <w:t>suffer</w:t>
      </w:r>
      <w:r w:rsidRPr="001610D2">
        <w:rPr>
          <w:sz w:val="22"/>
          <w:szCs w:val="22"/>
        </w:rPr>
        <w:t xml:space="preserve"> and is considered a increasingly significant global health concern. Zhang et al. [1] shows the worldwide increase in incidence, prevalence and years lived with </w:t>
      </w:r>
      <w:r w:rsidR="00A97A70" w:rsidRPr="001610D2">
        <w:rPr>
          <w:sz w:val="22"/>
          <w:szCs w:val="22"/>
        </w:rPr>
        <w:t xml:space="preserve">disability and predicted the escalation of this burden in upcoming decades in his  global burden of disease analysis. As the disorder is characterized by considerable biological and clinical heterogeneity, its significance extends beyond its epidemiological impact. PCOS is increasingly conceptualized as a  complex multifactorial syndrome </w:t>
      </w:r>
      <w:r w:rsidR="007F11CB" w:rsidRPr="001610D2">
        <w:rPr>
          <w:sz w:val="22"/>
          <w:szCs w:val="22"/>
        </w:rPr>
        <w:t xml:space="preserve">spanning neuroendocrine, genetic, metabolic and epigenetic axes, rather than a single pathological entity. Stener-Victorin et al. [2] revealed that, these interconnected pathways contribute not only to reproductive abnormalities but also to a broader spectrum of long-term health consequences, including increased risks of cardiovascular disease, type 2 diabetes, and a greater prevalence of psychological conditions such as depression and anxiety. The challenges of PCOS diagnosis </w:t>
      </w:r>
      <w:r w:rsidR="006B11A0" w:rsidRPr="001610D2">
        <w:rPr>
          <w:sz w:val="22"/>
          <w:szCs w:val="22"/>
        </w:rPr>
        <w:t>are</w:t>
      </w:r>
      <w:r w:rsidR="007F11CB" w:rsidRPr="001610D2">
        <w:rPr>
          <w:sz w:val="22"/>
          <w:szCs w:val="22"/>
        </w:rPr>
        <w:t xml:space="preserve"> significant</w:t>
      </w:r>
      <w:r w:rsidR="006B11A0" w:rsidRPr="001610D2">
        <w:rPr>
          <w:sz w:val="22"/>
          <w:szCs w:val="22"/>
        </w:rPr>
        <w:t>. T</w:t>
      </w:r>
      <w:r w:rsidR="007F11CB" w:rsidRPr="001610D2">
        <w:rPr>
          <w:sz w:val="22"/>
          <w:szCs w:val="22"/>
        </w:rPr>
        <w:t>he</w:t>
      </w:r>
      <w:r w:rsidRPr="001610D2">
        <w:rPr>
          <w:sz w:val="22"/>
          <w:szCs w:val="22"/>
        </w:rPr>
        <w:t xml:space="preserve"> </w:t>
      </w:r>
      <w:r w:rsidR="007F11CB" w:rsidRPr="001610D2">
        <w:rPr>
          <w:sz w:val="22"/>
          <w:szCs w:val="22"/>
        </w:rPr>
        <w:t xml:space="preserve">2023 </w:t>
      </w:r>
      <w:r w:rsidRPr="001610D2">
        <w:rPr>
          <w:sz w:val="22"/>
          <w:szCs w:val="22"/>
        </w:rPr>
        <w:t xml:space="preserve">international evidence-based guideline </w:t>
      </w:r>
      <w:r w:rsidR="006B11A0" w:rsidRPr="001610D2">
        <w:rPr>
          <w:sz w:val="22"/>
          <w:szCs w:val="22"/>
        </w:rPr>
        <w:t xml:space="preserve">of </w:t>
      </w:r>
      <w:r w:rsidRPr="001610D2">
        <w:rPr>
          <w:sz w:val="22"/>
          <w:szCs w:val="22"/>
        </w:rPr>
        <w:t xml:space="preserve"> Teede et al. [3]</w:t>
      </w:r>
      <w:r w:rsidR="006B11A0" w:rsidRPr="001610D2">
        <w:rPr>
          <w:sz w:val="22"/>
          <w:szCs w:val="22"/>
        </w:rPr>
        <w:t xml:space="preserve"> shows </w:t>
      </w:r>
      <w:r w:rsidRPr="001610D2">
        <w:rPr>
          <w:sz w:val="22"/>
          <w:szCs w:val="22"/>
        </w:rPr>
        <w:t>an extensive body of systematically evaluated evidence and has been implemented across approximately 196 countries</w:t>
      </w:r>
      <w:r w:rsidR="006B11A0" w:rsidRPr="001610D2">
        <w:rPr>
          <w:sz w:val="22"/>
          <w:szCs w:val="22"/>
        </w:rPr>
        <w:t xml:space="preserve">. It defines PCOS through a Rotterdam-based combination of hyperandrogenism, ovulatory dysfunction and polycystic ovarian morphology. It also acknowledges anti-Müllerian hormone as an alternative diagnostic marker to ultrasonography in adult populations. Therefore, </w:t>
      </w:r>
      <w:r w:rsidRPr="001610D2">
        <w:rPr>
          <w:sz w:val="22"/>
          <w:szCs w:val="22"/>
        </w:rPr>
        <w:t xml:space="preserve"> these clinically defined characteristics establish the diagnostic boundaries that computational detection systems and machine-learning models are expected to identify and replicate.</w:t>
      </w:r>
      <w:r w:rsidR="001610D2" w:rsidRPr="001610D2">
        <w:rPr>
          <w:sz w:val="22"/>
          <w:szCs w:val="22"/>
        </w:rPr>
        <w:t xml:space="preserve"> </w:t>
      </w:r>
      <w:r w:rsidR="006B11A0" w:rsidRPr="001610D2">
        <w:rPr>
          <w:sz w:val="22"/>
          <w:szCs w:val="22"/>
        </w:rPr>
        <w:t>The</w:t>
      </w:r>
      <w:r w:rsidR="00566193" w:rsidRPr="001610D2">
        <w:rPr>
          <w:sz w:val="22"/>
          <w:szCs w:val="22"/>
        </w:rPr>
        <w:t xml:space="preserve"> important thing is that</w:t>
      </w:r>
      <w:r w:rsidRPr="001610D2">
        <w:rPr>
          <w:sz w:val="22"/>
          <w:szCs w:val="22"/>
        </w:rPr>
        <w:t xml:space="preserve"> the existence of </w:t>
      </w:r>
      <w:r w:rsidR="00566193" w:rsidRPr="001610D2">
        <w:rPr>
          <w:sz w:val="22"/>
          <w:szCs w:val="22"/>
        </w:rPr>
        <w:t>standardized</w:t>
      </w:r>
      <w:r w:rsidRPr="001610D2">
        <w:rPr>
          <w:sz w:val="22"/>
          <w:szCs w:val="22"/>
        </w:rPr>
        <w:t xml:space="preserve"> diagnostic criteria has not </w:t>
      </w:r>
      <w:r w:rsidR="00566193" w:rsidRPr="001610D2">
        <w:rPr>
          <w:sz w:val="22"/>
          <w:szCs w:val="22"/>
        </w:rPr>
        <w:t>solved</w:t>
      </w:r>
      <w:r w:rsidRPr="001610D2">
        <w:rPr>
          <w:sz w:val="22"/>
          <w:szCs w:val="22"/>
        </w:rPr>
        <w:t xml:space="preserve"> the problem of underdiagnosis. Findings from a large electronic health record cohort </w:t>
      </w:r>
      <w:r w:rsidR="00566193" w:rsidRPr="001610D2">
        <w:rPr>
          <w:sz w:val="22"/>
          <w:szCs w:val="22"/>
        </w:rPr>
        <w:t>analyzed</w:t>
      </w:r>
      <w:r w:rsidRPr="001610D2">
        <w:rPr>
          <w:sz w:val="22"/>
          <w:szCs w:val="22"/>
        </w:rPr>
        <w:t xml:space="preserve"> by Silva </w:t>
      </w:r>
      <w:r w:rsidR="00566193" w:rsidRPr="001610D2">
        <w:rPr>
          <w:sz w:val="22"/>
          <w:szCs w:val="22"/>
        </w:rPr>
        <w:t xml:space="preserve">et al. </w:t>
      </w:r>
      <w:r w:rsidRPr="001610D2">
        <w:rPr>
          <w:sz w:val="22"/>
          <w:szCs w:val="22"/>
        </w:rPr>
        <w:t xml:space="preserve">[4] suggest that </w:t>
      </w:r>
      <w:r w:rsidR="00566193" w:rsidRPr="001610D2">
        <w:rPr>
          <w:sz w:val="22"/>
          <w:szCs w:val="22"/>
        </w:rPr>
        <w:t>a considerable proportion of at-risk women</w:t>
      </w:r>
      <w:r w:rsidRPr="001610D2">
        <w:rPr>
          <w:sz w:val="22"/>
          <w:szCs w:val="22"/>
        </w:rPr>
        <w:t xml:space="preserve"> who exhibit clinical characteristics consistent with PCOS remain without a formal diagnosis. Importantly,</w:t>
      </w:r>
      <w:r w:rsidR="00566193" w:rsidRPr="001610D2">
        <w:rPr>
          <w:sz w:val="22"/>
          <w:szCs w:val="22"/>
        </w:rPr>
        <w:t xml:space="preserve"> diagnostic omissions are unevenly distributed across populations.</w:t>
      </w:r>
      <w:r w:rsidRPr="001610D2">
        <w:rPr>
          <w:sz w:val="22"/>
          <w:szCs w:val="22"/>
        </w:rPr>
        <w:t xml:space="preserve"> </w:t>
      </w:r>
      <w:r w:rsidR="00566193" w:rsidRPr="001610D2">
        <w:rPr>
          <w:sz w:val="22"/>
          <w:szCs w:val="22"/>
        </w:rPr>
        <w:t>Patients from marginalized racial backgrounds, those with limited insurance coverage, and individuals residing in socioeconomically vulnerable areas experience higher rates of missed diagnoses. The increasing burden, diagnostic complexity, and persistent underdiagnosis of PCOS have driven growing interest in computational and precision medicine approaches. As reviewed by Narayanan</w:t>
      </w:r>
      <w:r w:rsidR="001610D2" w:rsidRPr="001610D2">
        <w:rPr>
          <w:sz w:val="22"/>
          <w:szCs w:val="22"/>
        </w:rPr>
        <w:t xml:space="preserve"> et al.</w:t>
      </w:r>
      <w:r w:rsidR="00566193" w:rsidRPr="001610D2">
        <w:rPr>
          <w:sz w:val="22"/>
          <w:szCs w:val="22"/>
        </w:rPr>
        <w:t xml:space="preserve"> [5], this shift has contributed to a rapidly expanding field of machine-learning-based PCOS detection, which has been systematically examined by Li </w:t>
      </w:r>
      <w:r w:rsidR="001610D2" w:rsidRPr="001610D2">
        <w:rPr>
          <w:sz w:val="22"/>
          <w:szCs w:val="22"/>
        </w:rPr>
        <w:t xml:space="preserve">et al. </w:t>
      </w:r>
      <w:r w:rsidR="00566193" w:rsidRPr="001610D2">
        <w:rPr>
          <w:sz w:val="22"/>
          <w:szCs w:val="22"/>
        </w:rPr>
        <w:t>[6</w:t>
      </w:r>
      <w:r w:rsidR="001610D2" w:rsidRPr="001610D2">
        <w:rPr>
          <w:sz w:val="22"/>
          <w:szCs w:val="22"/>
        </w:rPr>
        <w:t>]</w:t>
      </w:r>
      <w:r w:rsidR="00566193" w:rsidRPr="001610D2">
        <w:rPr>
          <w:sz w:val="22"/>
          <w:szCs w:val="22"/>
        </w:rPr>
        <w:t>.</w:t>
      </w:r>
    </w:p>
    <w:p w14:paraId="0F05D5C5" w14:textId="378D8F18" w:rsidR="001610D2" w:rsidRPr="001610D2" w:rsidRDefault="001610D2" w:rsidP="00A97A70">
      <w:pPr>
        <w:jc w:val="both"/>
        <w:rPr>
          <w:b/>
          <w:bCs/>
        </w:rPr>
      </w:pPr>
      <w:r w:rsidRPr="001610D2">
        <w:rPr>
          <w:b/>
          <w:bCs/>
        </w:rPr>
        <w:t>Supervised Machine Learning for PCOS Detection on Clinical Tabular Data:</w:t>
      </w:r>
    </w:p>
    <w:p w14:paraId="36807981" w14:textId="5855D0A5" w:rsidR="001610D2" w:rsidRDefault="001610D2" w:rsidP="001610D2">
      <w:pPr>
        <w:jc w:val="both"/>
        <w:rPr>
          <w:sz w:val="22"/>
          <w:szCs w:val="22"/>
        </w:rPr>
      </w:pPr>
      <w:r>
        <w:rPr>
          <w:sz w:val="22"/>
          <w:szCs w:val="22"/>
        </w:rPr>
        <w:t xml:space="preserve">A </w:t>
      </w:r>
      <w:r w:rsidR="000625F6">
        <w:rPr>
          <w:sz w:val="22"/>
          <w:szCs w:val="22"/>
        </w:rPr>
        <w:t>large</w:t>
      </w:r>
      <w:r>
        <w:rPr>
          <w:sz w:val="22"/>
          <w:szCs w:val="22"/>
        </w:rPr>
        <w:t xml:space="preserve"> portion of existing </w:t>
      </w:r>
      <w:r w:rsidR="000625F6">
        <w:rPr>
          <w:sz w:val="22"/>
          <w:szCs w:val="22"/>
        </w:rPr>
        <w:t>work</w:t>
      </w:r>
      <w:r>
        <w:rPr>
          <w:sz w:val="22"/>
          <w:szCs w:val="22"/>
        </w:rPr>
        <w:t xml:space="preserve"> </w:t>
      </w:r>
      <w:r w:rsidR="000625F6">
        <w:rPr>
          <w:sz w:val="22"/>
          <w:szCs w:val="22"/>
        </w:rPr>
        <w:t>labels</w:t>
      </w:r>
      <w:r>
        <w:rPr>
          <w:sz w:val="22"/>
          <w:szCs w:val="22"/>
        </w:rPr>
        <w:t xml:space="preserve"> PCOS detection as a supervised</w:t>
      </w:r>
      <w:r w:rsidRPr="001610D2">
        <w:rPr>
          <w:sz w:val="22"/>
          <w:szCs w:val="22"/>
        </w:rPr>
        <w:t xml:space="preserve"> classification task based on routine clinical and tabular patient attributes. Although </w:t>
      </w:r>
      <w:r>
        <w:rPr>
          <w:sz w:val="22"/>
          <w:szCs w:val="22"/>
        </w:rPr>
        <w:t>different</w:t>
      </w:r>
      <w:r w:rsidRPr="001610D2">
        <w:rPr>
          <w:sz w:val="22"/>
          <w:szCs w:val="22"/>
        </w:rPr>
        <w:t xml:space="preserve"> studies employ</w:t>
      </w:r>
      <w:r>
        <w:rPr>
          <w:sz w:val="22"/>
          <w:szCs w:val="22"/>
        </w:rPr>
        <w:t>ed</w:t>
      </w:r>
      <w:r w:rsidRPr="001610D2">
        <w:rPr>
          <w:sz w:val="22"/>
          <w:szCs w:val="22"/>
        </w:rPr>
        <w:t xml:space="preserve"> different algorithms and optimization strategies, a</w:t>
      </w:r>
      <w:r>
        <w:rPr>
          <w:sz w:val="22"/>
          <w:szCs w:val="22"/>
        </w:rPr>
        <w:t xml:space="preserve"> </w:t>
      </w:r>
      <w:r w:rsidRPr="001610D2">
        <w:rPr>
          <w:sz w:val="22"/>
          <w:szCs w:val="22"/>
        </w:rPr>
        <w:t xml:space="preserve">methodological convergence can be </w:t>
      </w:r>
      <w:r>
        <w:rPr>
          <w:sz w:val="22"/>
          <w:szCs w:val="22"/>
        </w:rPr>
        <w:t>seen</w:t>
      </w:r>
      <w:r w:rsidRPr="001610D2">
        <w:rPr>
          <w:sz w:val="22"/>
          <w:szCs w:val="22"/>
        </w:rPr>
        <w:t xml:space="preserve"> across the literature. Most approaches </w:t>
      </w:r>
      <w:r>
        <w:rPr>
          <w:sz w:val="22"/>
          <w:szCs w:val="22"/>
        </w:rPr>
        <w:t>depend</w:t>
      </w:r>
      <w:r w:rsidRPr="001610D2">
        <w:rPr>
          <w:sz w:val="22"/>
          <w:szCs w:val="22"/>
        </w:rPr>
        <w:t xml:space="preserve"> on systematic comparisons among multiple classifiers, incorporate dedicated feature-selection mechanisms, address class imbalance through synthetic sampling techniques, and frequently employ post-hoc interpretability frameworks to explain model decisions. Rahman</w:t>
      </w:r>
      <w:r w:rsidR="000625F6">
        <w:rPr>
          <w:sz w:val="22"/>
          <w:szCs w:val="22"/>
        </w:rPr>
        <w:t xml:space="preserve"> et al.</w:t>
      </w:r>
      <w:r w:rsidRPr="001610D2">
        <w:rPr>
          <w:sz w:val="22"/>
          <w:szCs w:val="22"/>
        </w:rPr>
        <w:t xml:space="preserve"> [7] compared thirteen conventional machine-learning algorithms using mutual</w:t>
      </w:r>
      <w:r>
        <w:rPr>
          <w:sz w:val="22"/>
          <w:szCs w:val="22"/>
        </w:rPr>
        <w:t xml:space="preserve"> </w:t>
      </w:r>
      <w:r w:rsidRPr="001610D2">
        <w:rPr>
          <w:sz w:val="22"/>
          <w:szCs w:val="22"/>
        </w:rPr>
        <w:t>information</w:t>
      </w:r>
      <w:r>
        <w:rPr>
          <w:sz w:val="22"/>
          <w:szCs w:val="22"/>
        </w:rPr>
        <w:t>-</w:t>
      </w:r>
      <w:r w:rsidRPr="001610D2">
        <w:rPr>
          <w:sz w:val="22"/>
          <w:szCs w:val="22"/>
        </w:rPr>
        <w:t>based feature selection and found that AdaBoost and Random Forest achieved the highest performance, with reported accuracies of 94%; the resulting framework was subsequently implemented as a web-based diagnostic application. Uddin</w:t>
      </w:r>
      <w:r w:rsidR="000625F6">
        <w:rPr>
          <w:sz w:val="22"/>
          <w:szCs w:val="22"/>
        </w:rPr>
        <w:t xml:space="preserve"> et al. </w:t>
      </w:r>
      <w:r w:rsidRPr="001610D2">
        <w:rPr>
          <w:sz w:val="22"/>
          <w:szCs w:val="22"/>
        </w:rPr>
        <w:t xml:space="preserve">[8] </w:t>
      </w:r>
      <w:r w:rsidR="000625F6">
        <w:rPr>
          <w:sz w:val="22"/>
          <w:szCs w:val="22"/>
        </w:rPr>
        <w:t xml:space="preserve">used </w:t>
      </w:r>
      <w:r w:rsidRPr="001610D2">
        <w:rPr>
          <w:sz w:val="22"/>
          <w:szCs w:val="22"/>
        </w:rPr>
        <w:t xml:space="preserve"> stacking and voting ensemble strategies integrated with a SelectKBest, Chi-square, and XGBoost feature-selection pipeline, reporting classification accuracies close to 99.8%.</w:t>
      </w:r>
      <w:r w:rsidR="00EA1774">
        <w:rPr>
          <w:sz w:val="22"/>
          <w:szCs w:val="22"/>
        </w:rPr>
        <w:t xml:space="preserve"> </w:t>
      </w:r>
      <w:r w:rsidR="000625F6">
        <w:rPr>
          <w:sz w:val="22"/>
          <w:szCs w:val="22"/>
        </w:rPr>
        <w:t>Though</w:t>
      </w:r>
      <w:r w:rsidRPr="001610D2">
        <w:rPr>
          <w:sz w:val="22"/>
          <w:szCs w:val="22"/>
        </w:rPr>
        <w:t xml:space="preserve"> the specific combinations of models and </w:t>
      </w:r>
      <w:r w:rsidR="000625F6" w:rsidRPr="001610D2">
        <w:rPr>
          <w:sz w:val="22"/>
          <w:szCs w:val="22"/>
        </w:rPr>
        <w:t>optimization</w:t>
      </w:r>
      <w:r w:rsidRPr="001610D2">
        <w:rPr>
          <w:sz w:val="22"/>
          <w:szCs w:val="22"/>
        </w:rPr>
        <w:t xml:space="preserve"> techniques vary</w:t>
      </w:r>
      <w:r w:rsidR="000625F6">
        <w:rPr>
          <w:sz w:val="22"/>
          <w:szCs w:val="22"/>
        </w:rPr>
        <w:t>, very similar</w:t>
      </w:r>
      <w:r w:rsidR="000625F6" w:rsidRPr="001610D2">
        <w:rPr>
          <w:sz w:val="22"/>
          <w:szCs w:val="22"/>
        </w:rPr>
        <w:t xml:space="preserve"> methodological patterns are</w:t>
      </w:r>
      <w:r w:rsidR="000625F6">
        <w:rPr>
          <w:sz w:val="22"/>
          <w:szCs w:val="22"/>
        </w:rPr>
        <w:t xml:space="preserve"> found </w:t>
      </w:r>
      <w:r w:rsidR="000625F6" w:rsidRPr="001610D2">
        <w:rPr>
          <w:sz w:val="22"/>
          <w:szCs w:val="22"/>
        </w:rPr>
        <w:t>in later studies</w:t>
      </w:r>
      <w:r w:rsidRPr="001610D2">
        <w:rPr>
          <w:sz w:val="22"/>
          <w:szCs w:val="22"/>
        </w:rPr>
        <w:t xml:space="preserve">. Uddin </w:t>
      </w:r>
      <w:r w:rsidR="000625F6">
        <w:rPr>
          <w:sz w:val="22"/>
          <w:szCs w:val="22"/>
        </w:rPr>
        <w:t xml:space="preserve">et al. </w:t>
      </w:r>
      <w:r w:rsidRPr="001610D2">
        <w:rPr>
          <w:sz w:val="22"/>
          <w:szCs w:val="22"/>
        </w:rPr>
        <w:t>[9</w:t>
      </w:r>
      <w:r w:rsidR="000625F6">
        <w:rPr>
          <w:sz w:val="22"/>
          <w:szCs w:val="22"/>
        </w:rPr>
        <w:t>]</w:t>
      </w:r>
      <w:r w:rsidRPr="001610D2">
        <w:rPr>
          <w:sz w:val="22"/>
          <w:szCs w:val="22"/>
        </w:rPr>
        <w:t xml:space="preserve"> developed a soft-voting ensemble incorporating MLP and CatBoost models</w:t>
      </w:r>
      <w:r w:rsidR="00EA1774">
        <w:rPr>
          <w:sz w:val="22"/>
          <w:szCs w:val="22"/>
        </w:rPr>
        <w:t xml:space="preserve">. </w:t>
      </w:r>
      <w:r w:rsidRPr="001610D2">
        <w:rPr>
          <w:sz w:val="22"/>
          <w:szCs w:val="22"/>
        </w:rPr>
        <w:t>Their approach achieved 96.88% accuracy</w:t>
      </w:r>
      <w:r w:rsidR="00EA1774">
        <w:rPr>
          <w:sz w:val="22"/>
          <w:szCs w:val="22"/>
        </w:rPr>
        <w:t xml:space="preserve">. Similarly, </w:t>
      </w:r>
      <w:r w:rsidRPr="001610D2">
        <w:rPr>
          <w:sz w:val="22"/>
          <w:szCs w:val="22"/>
        </w:rPr>
        <w:t>Patil</w:t>
      </w:r>
      <w:r w:rsidR="00EA1774">
        <w:rPr>
          <w:sz w:val="22"/>
          <w:szCs w:val="22"/>
        </w:rPr>
        <w:t xml:space="preserve"> et al. </w:t>
      </w:r>
      <w:r w:rsidRPr="001610D2">
        <w:rPr>
          <w:sz w:val="22"/>
          <w:szCs w:val="22"/>
        </w:rPr>
        <w:t>[10] employed a hybrid feature-selection strategy involving genetic algorithms, mutual information, and Boruta before applying stacked ensemble models. Their findings suggested that f</w:t>
      </w:r>
      <w:r w:rsidR="00EA1774">
        <w:rPr>
          <w:sz w:val="22"/>
          <w:szCs w:val="22"/>
        </w:rPr>
        <w:t>ollicle counts is the dominant predictor</w:t>
      </w:r>
      <w:r w:rsidRPr="001610D2">
        <w:rPr>
          <w:sz w:val="22"/>
          <w:szCs w:val="22"/>
        </w:rPr>
        <w:t xml:space="preserve">.  Sadegh-Zadeh </w:t>
      </w:r>
      <w:r w:rsidR="00C24D54">
        <w:rPr>
          <w:sz w:val="22"/>
          <w:szCs w:val="22"/>
        </w:rPr>
        <w:t xml:space="preserve">et al. </w:t>
      </w:r>
      <w:r w:rsidRPr="001610D2">
        <w:rPr>
          <w:sz w:val="22"/>
          <w:szCs w:val="22"/>
        </w:rPr>
        <w:t xml:space="preserve">[11] </w:t>
      </w:r>
      <w:r w:rsidR="00F6054C">
        <w:rPr>
          <w:sz w:val="22"/>
          <w:szCs w:val="22"/>
        </w:rPr>
        <w:t>used</w:t>
      </w:r>
      <w:r w:rsidRPr="001610D2">
        <w:rPr>
          <w:sz w:val="22"/>
          <w:szCs w:val="22"/>
        </w:rPr>
        <w:t xml:space="preserve"> a Random Forest, CatBoost, and MLP stacking framework operating under a BorutaShap and SMOTE-based pipeline, reaching an accuracy of 95.15%. Attention has also been directed toward improving the feature-selection process itself. Reka </w:t>
      </w:r>
      <w:r w:rsidR="00C24D54">
        <w:rPr>
          <w:sz w:val="22"/>
          <w:szCs w:val="22"/>
        </w:rPr>
        <w:t xml:space="preserve">et al. </w:t>
      </w:r>
      <w:r w:rsidRPr="001610D2">
        <w:rPr>
          <w:sz w:val="22"/>
          <w:szCs w:val="22"/>
        </w:rPr>
        <w:t>[12] introduced a reinforcement-learning</w:t>
      </w:r>
      <w:r w:rsidR="00F6054C">
        <w:rPr>
          <w:sz w:val="22"/>
          <w:szCs w:val="22"/>
        </w:rPr>
        <w:t xml:space="preserve"> </w:t>
      </w:r>
      <w:r w:rsidRPr="001610D2">
        <w:rPr>
          <w:sz w:val="22"/>
          <w:szCs w:val="22"/>
        </w:rPr>
        <w:t xml:space="preserve">driven equilibrium </w:t>
      </w:r>
      <w:r w:rsidR="00F6054C" w:rsidRPr="001610D2">
        <w:rPr>
          <w:sz w:val="22"/>
          <w:szCs w:val="22"/>
        </w:rPr>
        <w:t>optimizer</w:t>
      </w:r>
      <w:r w:rsidRPr="001610D2">
        <w:rPr>
          <w:sz w:val="22"/>
          <w:szCs w:val="22"/>
        </w:rPr>
        <w:t xml:space="preserve"> coupled with a fuzzy k-nearest-neighbour classifier, </w:t>
      </w:r>
      <w:r w:rsidRPr="001610D2">
        <w:rPr>
          <w:sz w:val="22"/>
          <w:szCs w:val="22"/>
        </w:rPr>
        <w:lastRenderedPageBreak/>
        <w:t>obtaining 96.3</w:t>
      </w:r>
      <w:r w:rsidR="00F6054C">
        <w:rPr>
          <w:sz w:val="22"/>
          <w:szCs w:val="22"/>
        </w:rPr>
        <w:t>2</w:t>
      </w:r>
      <w:r w:rsidRPr="001610D2">
        <w:rPr>
          <w:sz w:val="22"/>
          <w:szCs w:val="22"/>
        </w:rPr>
        <w:t xml:space="preserve">% accuracy and reinforcing the validity of the results through statistical significance analysis. Extending beyond purely clinical variables, Hou </w:t>
      </w:r>
      <w:r w:rsidR="00C24D54">
        <w:rPr>
          <w:sz w:val="22"/>
          <w:szCs w:val="22"/>
        </w:rPr>
        <w:t xml:space="preserve">et al. </w:t>
      </w:r>
      <w:r w:rsidRPr="001610D2">
        <w:rPr>
          <w:sz w:val="22"/>
          <w:szCs w:val="22"/>
        </w:rPr>
        <w:t>[13] demonstrated that the inclusion of laboratory and ultrasound information could substantially improve predictive capability, with a stepwise Random Forest model increasing from 0.85 accuracy using only clinical features to 0.948 when additional modalities were incorporated.</w:t>
      </w:r>
      <w:r w:rsidR="00F6054C">
        <w:rPr>
          <w:sz w:val="22"/>
          <w:szCs w:val="22"/>
        </w:rPr>
        <w:t xml:space="preserve"> </w:t>
      </w:r>
      <w:r w:rsidRPr="001610D2">
        <w:rPr>
          <w:sz w:val="22"/>
          <w:szCs w:val="22"/>
        </w:rPr>
        <w:t xml:space="preserve">Despite differences in algorithmic design, these studies reveal a highly </w:t>
      </w:r>
      <w:r w:rsidR="00F6054C" w:rsidRPr="001610D2">
        <w:rPr>
          <w:sz w:val="22"/>
          <w:szCs w:val="22"/>
        </w:rPr>
        <w:t>standardized</w:t>
      </w:r>
      <w:r w:rsidRPr="001610D2">
        <w:rPr>
          <w:sz w:val="22"/>
          <w:szCs w:val="22"/>
        </w:rPr>
        <w:t xml:space="preserve"> experimental framework. An important consideration is that many of these methods have been validated using the same publicly available clinical datase</w:t>
      </w:r>
      <w:r w:rsidR="00F6054C">
        <w:rPr>
          <w:sz w:val="22"/>
          <w:szCs w:val="22"/>
        </w:rPr>
        <w:t>t</w:t>
      </w:r>
      <w:r w:rsidRPr="001610D2">
        <w:rPr>
          <w:sz w:val="22"/>
          <w:szCs w:val="22"/>
        </w:rPr>
        <w:t xml:space="preserve">. This shared experimental foundation provides a useful benchmark for direct performance comparison; however, it may also contribute to the increasingly limited performance gains reported across successive studies. </w:t>
      </w:r>
      <w:r w:rsidR="00F6054C" w:rsidRPr="00F6054C">
        <w:rPr>
          <w:sz w:val="22"/>
          <w:szCs w:val="22"/>
        </w:rPr>
        <w:t>The concentration of high accuracy values on a single, curated dataset complicates model evaluation. It remains unclear whether these marginal gains represent genuine advances in modeling capability. Instead, they may simply reflect continued optimization within a highly constrained evaluation setting.</w:t>
      </w:r>
      <w:r w:rsidR="00C24D54">
        <w:rPr>
          <w:sz w:val="22"/>
          <w:szCs w:val="22"/>
        </w:rPr>
        <w:t xml:space="preserve"> </w:t>
      </w:r>
      <w:r w:rsidRPr="001610D2">
        <w:rPr>
          <w:sz w:val="22"/>
          <w:szCs w:val="22"/>
        </w:rPr>
        <w:t xml:space="preserve">Evidence from independent patient cohorts offers a more </w:t>
      </w:r>
      <w:r w:rsidR="00C24D54" w:rsidRPr="00C24D54">
        <w:rPr>
          <w:sz w:val="22"/>
          <w:szCs w:val="22"/>
        </w:rPr>
        <w:t xml:space="preserve">complex </w:t>
      </w:r>
      <w:r w:rsidRPr="001610D2">
        <w:rPr>
          <w:sz w:val="22"/>
          <w:szCs w:val="22"/>
        </w:rPr>
        <w:t xml:space="preserve">perspective on the </w:t>
      </w:r>
      <w:r w:rsidR="00C24D54" w:rsidRPr="001610D2">
        <w:rPr>
          <w:sz w:val="22"/>
          <w:szCs w:val="22"/>
        </w:rPr>
        <w:t>generalizability</w:t>
      </w:r>
      <w:r w:rsidRPr="001610D2">
        <w:rPr>
          <w:sz w:val="22"/>
          <w:szCs w:val="22"/>
        </w:rPr>
        <w:t xml:space="preserve"> of these approaches. Tong </w:t>
      </w:r>
      <w:r w:rsidR="00C24D54">
        <w:rPr>
          <w:sz w:val="22"/>
          <w:szCs w:val="22"/>
        </w:rPr>
        <w:t xml:space="preserve">et al. </w:t>
      </w:r>
      <w:r w:rsidRPr="001610D2">
        <w:rPr>
          <w:sz w:val="22"/>
          <w:szCs w:val="22"/>
        </w:rPr>
        <w:t>[14] demonstrated that a relatively simple logistic-regression model with LASSO-based variable selection achieved the strongest discrimination on a 139-patient hospital cohort, reaching an AUC of 0.934, while anti-Müllerian hormone alone produced an AUC of 0.925.</w:t>
      </w:r>
      <w:r w:rsidR="007802E9">
        <w:rPr>
          <w:sz w:val="22"/>
          <w:szCs w:val="22"/>
        </w:rPr>
        <w:t xml:space="preserve"> </w:t>
      </w:r>
      <w:r w:rsidRPr="001610D2">
        <w:rPr>
          <w:sz w:val="22"/>
          <w:szCs w:val="22"/>
        </w:rPr>
        <w:t>In contrast, Wang</w:t>
      </w:r>
      <w:r w:rsidR="007802E9">
        <w:rPr>
          <w:sz w:val="22"/>
          <w:szCs w:val="22"/>
        </w:rPr>
        <w:t xml:space="preserve"> et al.</w:t>
      </w:r>
      <w:r w:rsidRPr="001610D2">
        <w:rPr>
          <w:sz w:val="22"/>
          <w:szCs w:val="22"/>
        </w:rPr>
        <w:t xml:space="preserve"> [15] evaluated machine-learning models on a larger and more heterogeneous population of 1,120 patients and reported considerably lower performance, with Random Forest attaining an AUC of 0.717. At the scale of electronic health records, Zad </w:t>
      </w:r>
      <w:r w:rsidR="007802E9">
        <w:rPr>
          <w:sz w:val="22"/>
          <w:szCs w:val="22"/>
        </w:rPr>
        <w:t xml:space="preserve">et al. </w:t>
      </w:r>
      <w:r w:rsidRPr="001610D2">
        <w:rPr>
          <w:sz w:val="22"/>
          <w:szCs w:val="22"/>
        </w:rPr>
        <w:t>[16] integrated conventional machine-learning methods with a neural-network-derived hormonal risk score to predict PCOS before formal clinical diagnosis, achieving AUC values between 0.80 and 0.85 across a population exceeding thirty thousand patients.</w:t>
      </w:r>
      <w:r w:rsidR="007802E9">
        <w:rPr>
          <w:sz w:val="22"/>
          <w:szCs w:val="22"/>
        </w:rPr>
        <w:t xml:space="preserve"> </w:t>
      </w:r>
      <w:r w:rsidRPr="001610D2">
        <w:rPr>
          <w:sz w:val="22"/>
          <w:szCs w:val="22"/>
        </w:rPr>
        <w:t>Collectively, this body of work indicates that supervised learning approaches for PCOS prediction from structured clinical data have reached a considerable level of methodological maturity. Nevertheless, a deeper examination reveals a persistent conceptual limitation shared across these otherwise diverse models. Nearly all existing approaches represent each patient as an isolated feature vector, implicitly assuming that observations are independent and that meaningful information is contained solely within individual patient attributes. Such a representation may overlook relational patterns arising from similarities and interactions within the patient population.</w:t>
      </w:r>
      <w:r w:rsidR="007802E9">
        <w:rPr>
          <w:sz w:val="22"/>
          <w:szCs w:val="22"/>
        </w:rPr>
        <w:t xml:space="preserve"> </w:t>
      </w:r>
      <w:r w:rsidR="007802E9" w:rsidRPr="007802E9">
        <w:rPr>
          <w:sz w:val="22"/>
          <w:szCs w:val="22"/>
        </w:rPr>
        <w:t>Current datasets and standard pipelines offer diminishing returns due to methodological convergence. Consequently, explicitly modeling inter-patient structures presents a promising alternative direction.</w:t>
      </w:r>
      <w:r w:rsidR="007802E9">
        <w:rPr>
          <w:sz w:val="22"/>
          <w:szCs w:val="22"/>
        </w:rPr>
        <w:t xml:space="preserve"> </w:t>
      </w:r>
      <w:r w:rsidRPr="001610D2">
        <w:rPr>
          <w:sz w:val="22"/>
          <w:szCs w:val="22"/>
        </w:rPr>
        <w:t>Graph-based learning frameworks are particularly well suited to this objective because they can encode relational dependencies that remain inaccessible to traditional tabular classification methods.</w:t>
      </w:r>
    </w:p>
    <w:p w14:paraId="6FD9AF57" w14:textId="77777777" w:rsidR="00AE1A34" w:rsidRDefault="00AE1A34" w:rsidP="001610D2">
      <w:pPr>
        <w:jc w:val="both"/>
        <w:rPr>
          <w:sz w:val="22"/>
          <w:szCs w:val="22"/>
        </w:rPr>
      </w:pPr>
    </w:p>
    <w:p w14:paraId="6436BBBD" w14:textId="51A32DAD" w:rsidR="00AE1A34" w:rsidRPr="00AE1A34" w:rsidRDefault="00AE1A34" w:rsidP="001610D2">
      <w:pPr>
        <w:jc w:val="both"/>
        <w:rPr>
          <w:b/>
          <w:bCs/>
        </w:rPr>
      </w:pPr>
      <w:r w:rsidRPr="00AE1A34">
        <w:rPr>
          <w:b/>
          <w:bCs/>
        </w:rPr>
        <w:t>Deep Learning, Imaging, and Multimodal Approaches:</w:t>
      </w:r>
    </w:p>
    <w:p w14:paraId="27FF8617" w14:textId="4B511E39" w:rsidR="00AE1A34" w:rsidRDefault="00AE1A34" w:rsidP="00AE1A34">
      <w:pPr>
        <w:jc w:val="both"/>
      </w:pPr>
      <w:r w:rsidRPr="00AE1A34">
        <w:t xml:space="preserve">Deep-learning and image-driven approaches have increasingly </w:t>
      </w:r>
      <w:r>
        <w:t>been applie</w:t>
      </w:r>
      <w:r w:rsidRPr="00AE1A34">
        <w:t xml:space="preserve"> to the field of PCOS prediction</w:t>
      </w:r>
      <w:r>
        <w:t>. H</w:t>
      </w:r>
      <w:r w:rsidRPr="00AE1A34">
        <w:t>owever, they largely retain the fundamental representational assumption underlying conventional supervised methods, namely that patients are treated as independent observations. In the context of tabular clinical data, Pulluparambil</w:t>
      </w:r>
      <w:r>
        <w:t xml:space="preserve"> and Bhat</w:t>
      </w:r>
      <w:r w:rsidRPr="00AE1A34">
        <w:t xml:space="preserve"> [17] introduced a densely connected attention-based convolutional architecture combined with hybrid feature-selection, reporting an accuracy of 99.2. Importantly, their ablation analysis provides a more </w:t>
      </w:r>
      <w:r w:rsidR="00A91A58" w:rsidRPr="00A91A58">
        <w:t xml:space="preserve">sophisticated </w:t>
      </w:r>
      <w:r w:rsidRPr="00AE1A34">
        <w:t xml:space="preserve">interpretation of these results, suggesting that the observed performance improvement may be attributable not only to the deep architecture itself but also to the supporting preprocessing pipeline. A comparable tendency can be observed in the work of Smithakranthi </w:t>
      </w:r>
      <w:r w:rsidR="00A91A58">
        <w:t xml:space="preserve">and Haritha </w:t>
      </w:r>
      <w:r w:rsidRPr="00AE1A34">
        <w:t>[18], who combined a one-dimensional convolutional encoder with a gated feature-learning mechanism through a meta-learning framework and achieved 97.8% accuracy alongside a Matthews correlation coefficient of 96.6%. Although these architectures introduce greater representational complexity, they do not fundamentally alter the underlying data representation, as each patient continues to be encoded as a standalone feature vector without explicit consideration of relationships among individuals.</w:t>
      </w:r>
      <w:r w:rsidR="00A91A58">
        <w:t xml:space="preserve"> </w:t>
      </w:r>
      <w:r w:rsidRPr="00AE1A34">
        <w:t xml:space="preserve">The transition from tabular </w:t>
      </w:r>
      <w:r w:rsidRPr="00AE1A34">
        <w:lastRenderedPageBreak/>
        <w:t>data to medical imaging introduces a different methodological direction. Silambarasan [19] employed a DenseNet-based convolutional network to analyse ultrasound images, achieving 97.68% accuracy, while simultaneously developing a Walrus-optimised support-vector framework for structured clinical attributes. Similarly, Agirsoy</w:t>
      </w:r>
      <w:r w:rsidR="00A91A58">
        <w:t xml:space="preserve"> and </w:t>
      </w:r>
      <w:r w:rsidR="00A91A58" w:rsidRPr="00A91A58">
        <w:t>Oehlschlaeger</w:t>
      </w:r>
      <w:r w:rsidR="00A91A58">
        <w:t xml:space="preserve"> </w:t>
      </w:r>
      <w:r w:rsidRPr="00AE1A34">
        <w:t xml:space="preserve">[20] investigated multimodal feature-subset modelling by separating clinical, biomarker, and ultrasound-derived variables according to Rotterdam diagnostic categories and applying gradient-boosted tree models across various feature combinations. Their findings reveal an important methodological tension: despite strong training performance in the ultrasound-only configuration, with an AUC of 0.964, the test AUC declined to 0.831, indicating potential overfitting and illustrating that exceptionally high reported accuracies may not necessarily translate into robust </w:t>
      </w:r>
      <w:r w:rsidR="00A91A58" w:rsidRPr="00AE1A34">
        <w:t>generalization</w:t>
      </w:r>
      <w:r w:rsidRPr="00AE1A34">
        <w:t>.</w:t>
      </w:r>
      <w:r w:rsidR="00A91A58">
        <w:t xml:space="preserve"> </w:t>
      </w:r>
      <w:r w:rsidRPr="00AE1A34">
        <w:t>Taken together, these studies demonstrate that increasing model complexity or incorporating imaging modalities can yield strong predictive performance under specific experimental conditions. Nevertheless, two persistent limitations remain apparent. First, deep-learning approaches operating on structured clinical data continue to adopt an independent patient representation, thereby potentially neglecting informative similarity patterns that exist within the broader patient cohort. Second, image-based frameworks rely on ultrasound information, a data source that is often unavailable in routine clinical tabular records. Consequently, neither direction directly addresses the problem of learning from relational structures embedded within conventional clinical datasets</w:t>
      </w:r>
      <w:r w:rsidR="00A91A58">
        <w:t>.</w:t>
      </w:r>
    </w:p>
    <w:p w14:paraId="14BC65FF" w14:textId="77777777" w:rsidR="00A45383" w:rsidRPr="00AE1A34" w:rsidRDefault="00A45383" w:rsidP="00AE1A34">
      <w:pPr>
        <w:jc w:val="both"/>
      </w:pPr>
    </w:p>
    <w:p w14:paraId="2702AFF5" w14:textId="2D30990A" w:rsidR="00AE1A34" w:rsidRDefault="008E3AFB" w:rsidP="001610D2">
      <w:pPr>
        <w:jc w:val="both"/>
        <w:rPr>
          <w:b/>
          <w:bCs/>
        </w:rPr>
      </w:pPr>
      <w:r w:rsidRPr="008E3AFB">
        <w:rPr>
          <w:b/>
          <w:bCs/>
        </w:rPr>
        <w:t>Molecular, Omics, and Exposure-Oriented Machine Learning:</w:t>
      </w:r>
    </w:p>
    <w:p w14:paraId="08DE8C24" w14:textId="6A44E944" w:rsidR="008E3AFB" w:rsidRPr="008E3AFB" w:rsidRDefault="00C45065" w:rsidP="008E3AFB">
      <w:pPr>
        <w:jc w:val="both"/>
      </w:pPr>
      <w:r w:rsidRPr="00C45065">
        <w:t>Beyond conventional clinical and tabular datasets, machine-learning techniques have increasingly been applied to investigate PCOS at the molecular, cellular, and physiological levels</w:t>
      </w:r>
      <w:r w:rsidR="00A530F4">
        <w:t>.</w:t>
      </w:r>
      <w:r w:rsidR="00DD2723">
        <w:t xml:space="preserve"> </w:t>
      </w:r>
      <w:r w:rsidR="008E3AFB" w:rsidRPr="008E3AFB">
        <w:t xml:space="preserve">These studies shift the focus from diagnostic prediction based solely on observable patient characteristics toward the identification of underlying biological mechanisms, molecular biomarkers, and </w:t>
      </w:r>
      <w:r w:rsidR="00F54E1B" w:rsidRPr="00F54E1B">
        <w:t>environmental factors underlying disease development and progression</w:t>
      </w:r>
      <w:r w:rsidR="008E3AFB" w:rsidRPr="008E3AFB">
        <w:t xml:space="preserve">. Senthilkumar </w:t>
      </w:r>
      <w:r w:rsidR="00DD2723">
        <w:t xml:space="preserve">and Arumugam </w:t>
      </w:r>
      <w:r w:rsidR="008E3AFB" w:rsidRPr="008E3AFB">
        <w:t xml:space="preserve">[21] and Chen </w:t>
      </w:r>
      <w:r w:rsidR="00DD2723">
        <w:t xml:space="preserve">et al. </w:t>
      </w:r>
      <w:r w:rsidR="008E3AFB" w:rsidRPr="008E3AFB">
        <w:t xml:space="preserve">[22] </w:t>
      </w:r>
      <w:r w:rsidR="00E6602D">
        <w:t>combined</w:t>
      </w:r>
      <w:r w:rsidR="008E3AFB" w:rsidRPr="008E3AFB">
        <w:t xml:space="preserve"> differential gene-expression analysis with ensemble feature-selection approaches to identify potential diagnostic signatures from transcriptomic datasets. Senthilkumar</w:t>
      </w:r>
      <w:r w:rsidR="00DD2723">
        <w:t xml:space="preserve"> and Arumugam </w:t>
      </w:r>
      <w:r w:rsidR="008E3AFB" w:rsidRPr="008E3AFB">
        <w:t>[21] constructed a protein–protein interaction network containing 547</w:t>
      </w:r>
      <w:r w:rsidR="00E6602D">
        <w:t xml:space="preserve"> interconnected</w:t>
      </w:r>
      <w:r w:rsidR="008E3AFB" w:rsidRPr="008E3AFB">
        <w:t xml:space="preserve"> nodes to identify central hub genes associated with PCOS, whereas Chen </w:t>
      </w:r>
      <w:r w:rsidR="001930F9">
        <w:t xml:space="preserve">et al. </w:t>
      </w:r>
      <w:r w:rsidR="008E3AFB" w:rsidRPr="008E3AFB">
        <w:t>[22] reported classification performance with AUC values reaching 0.875 using granulosa-cell gene-expression profiles. Extending this molecular perspective to single-cell resolution, Xu</w:t>
      </w:r>
      <w:r w:rsidR="001930F9">
        <w:t xml:space="preserve"> et al.</w:t>
      </w:r>
      <w:r w:rsidR="008E3AFB" w:rsidRPr="008E3AFB">
        <w:t xml:space="preserve"> [23] developed a three-gene diagnostic signature that</w:t>
      </w:r>
      <w:r w:rsidR="001930F9">
        <w:t xml:space="preserve"> </w:t>
      </w:r>
      <w:r w:rsidR="00E6602D">
        <w:t>identified</w:t>
      </w:r>
      <w:r w:rsidR="008E3AFB" w:rsidRPr="008E3AFB">
        <w:t xml:space="preserve"> a previously </w:t>
      </w:r>
      <w:r w:rsidR="001930F9" w:rsidRPr="008E3AFB">
        <w:t>uncharacterized</w:t>
      </w:r>
      <w:r w:rsidR="008E3AFB" w:rsidRPr="008E3AFB">
        <w:t xml:space="preserve"> proliferative granulosa-cell subpopulation</w:t>
      </w:r>
      <w:r w:rsidR="00E6602D">
        <w:t xml:space="preserve">, </w:t>
      </w:r>
      <w:r w:rsidR="00E6602D" w:rsidRPr="00E6602D">
        <w:t>providing new insights into the cellular heterogeneity underlying PCOS</w:t>
      </w:r>
      <w:r w:rsidR="008E3AFB" w:rsidRPr="008E3AFB">
        <w:t>.</w:t>
      </w:r>
      <w:r w:rsidR="000867FA">
        <w:t xml:space="preserve"> </w:t>
      </w:r>
      <w:r w:rsidR="008E3AFB" w:rsidRPr="008E3AFB">
        <w:t xml:space="preserve">Other studies have explored the interaction between metabolic processes, environmental exposures, and PCOS susceptibility. Xu </w:t>
      </w:r>
      <w:r w:rsidR="001930F9">
        <w:t xml:space="preserve">et al. </w:t>
      </w:r>
      <w:r w:rsidR="008E3AFB" w:rsidRPr="008E3AFB">
        <w:t xml:space="preserve">[24], combined serum metabolomic profiling with machine-learning analysis in a letrozole-induced model, identifying elaidic acid as a potential contributor to the underlying disease mechanism. Similarly, Hou </w:t>
      </w:r>
      <w:r w:rsidR="001930F9">
        <w:t xml:space="preserve">et al. </w:t>
      </w:r>
      <w:r w:rsidR="008E3AFB" w:rsidRPr="008E3AFB">
        <w:t xml:space="preserve">[25] </w:t>
      </w:r>
      <w:r w:rsidR="009F048D">
        <w:t>integrated</w:t>
      </w:r>
      <w:r w:rsidR="008E3AFB" w:rsidRPr="008E3AFB">
        <w:t xml:space="preserve"> a backpropagation neural network together with weighted</w:t>
      </w:r>
      <w:r w:rsidR="001930F9">
        <w:t xml:space="preserve"> </w:t>
      </w:r>
      <w:r w:rsidR="008E3AFB" w:rsidRPr="008E3AFB">
        <w:t>quantile</w:t>
      </w:r>
      <w:r w:rsidR="001930F9">
        <w:t xml:space="preserve"> </w:t>
      </w:r>
      <w:r w:rsidR="008E3AFB" w:rsidRPr="008E3AFB">
        <w:t>sum regression to evaluate the combined influence of environmental pollutants and hormonal factors on PCOS risk</w:t>
      </w:r>
      <w:r w:rsidR="000867FA">
        <w:t>. These works portray</w:t>
      </w:r>
      <w:r w:rsidR="008E3AFB" w:rsidRPr="008E3AFB">
        <w:t xml:space="preserve"> the methodological diversity of machine-learning applications within PCOS research and highlights how computational models can be used not only for prediction but also for biological discovery.</w:t>
      </w:r>
    </w:p>
    <w:p w14:paraId="3445A6E8" w14:textId="700F5331" w:rsidR="00A45383" w:rsidRDefault="003D4AFA" w:rsidP="001610D2">
      <w:pPr>
        <w:jc w:val="both"/>
      </w:pPr>
      <w:r>
        <w:t>Collectively, these</w:t>
      </w:r>
      <w:r w:rsidR="000867FA" w:rsidRPr="000867FA">
        <w:t xml:space="preserve"> graph-based </w:t>
      </w:r>
      <w:r>
        <w:t>studies</w:t>
      </w:r>
      <w:r w:rsidR="000867FA" w:rsidRPr="000867FA">
        <w:t xml:space="preserve"> </w:t>
      </w:r>
      <w:r w:rsidRPr="000867FA">
        <w:t>highlight</w:t>
      </w:r>
      <w:r w:rsidR="000867FA" w:rsidRPr="000867FA">
        <w:t xml:space="preserve"> a critical distinction in the role of relational information.</w:t>
      </w:r>
      <w:r w:rsidR="000867FA">
        <w:t xml:space="preserve"> </w:t>
      </w:r>
      <w:r w:rsidR="000867FA" w:rsidRPr="000867FA">
        <w:t xml:space="preserve">Existing literature primarily utilizes graph representations to model molecular </w:t>
      </w:r>
      <w:r w:rsidR="000867FA" w:rsidRPr="000867FA">
        <w:lastRenderedPageBreak/>
        <w:t>relationships, such as protein–protein interaction networks, rather than connectivity among individual patients</w:t>
      </w:r>
      <w:r w:rsidR="008E3AFB" w:rsidRPr="008E3AFB">
        <w:t xml:space="preserve">. Although these approaches provide valuable insight into the biological architecture of PCOS, they generally rely on </w:t>
      </w:r>
      <w:r w:rsidR="000867FA" w:rsidRPr="008E3AFB">
        <w:t>specialized</w:t>
      </w:r>
      <w:r w:rsidR="008E3AFB" w:rsidRPr="008E3AFB">
        <w:t xml:space="preserve"> data sources, including transcriptomics, single-cell sequencing, metabolomics, or detailed environmental exposure measurements, which are rarely available within routine clinical workflows. </w:t>
      </w:r>
      <w:r w:rsidR="00A45383" w:rsidRPr="00A45383">
        <w:t>As a result, a fundamental distinction exists between molecular-level modeling and the structural analysis of patient cohorts. The application of graph frameworks to routine clinical data determines whether the explicit modeling of inter-patient relationships provides complementary insights that conventional tabular representations cannot capture.</w:t>
      </w:r>
    </w:p>
    <w:p w14:paraId="58F32244" w14:textId="77777777" w:rsidR="00A45383" w:rsidRDefault="00A45383" w:rsidP="001610D2">
      <w:pPr>
        <w:jc w:val="both"/>
      </w:pPr>
    </w:p>
    <w:p w14:paraId="65B7ED36" w14:textId="6F20D0B2" w:rsidR="00AE1A34" w:rsidRPr="00AE1A34" w:rsidRDefault="00AE1A34" w:rsidP="001610D2">
      <w:pPr>
        <w:jc w:val="both"/>
        <w:rPr>
          <w:b/>
          <w:bCs/>
        </w:rPr>
      </w:pPr>
      <w:r w:rsidRPr="00AE1A34">
        <w:rPr>
          <w:b/>
          <w:bCs/>
        </w:rPr>
        <w:t>Unsupervised Subtyping and Phenotypic Clustering of PCOS</w:t>
      </w:r>
      <w:r>
        <w:rPr>
          <w:b/>
          <w:bCs/>
        </w:rPr>
        <w:t>:</w:t>
      </w:r>
    </w:p>
    <w:p w14:paraId="5B9AA5CB" w14:textId="05357EDB" w:rsidR="00AE1A34" w:rsidRDefault="00AE1A34" w:rsidP="001610D2">
      <w:pPr>
        <w:jc w:val="both"/>
        <w:rPr>
          <w:b/>
          <w:bCs/>
          <w:sz w:val="18"/>
          <w:szCs w:val="20"/>
        </w:rPr>
      </w:pPr>
      <w:r w:rsidRPr="00AE1A34">
        <w:rPr>
          <w:b/>
          <w:bCs/>
          <w:sz w:val="18"/>
          <w:szCs w:val="20"/>
        </w:rPr>
        <w:t>What the subtyping literature establishes</w:t>
      </w:r>
      <w:r w:rsidR="00563CBB">
        <w:rPr>
          <w:b/>
          <w:bCs/>
          <w:sz w:val="18"/>
          <w:szCs w:val="20"/>
        </w:rPr>
        <w:t>:</w:t>
      </w:r>
    </w:p>
    <w:p w14:paraId="7297821E" w14:textId="2950C582" w:rsidR="00AA5388" w:rsidRPr="00AA5388" w:rsidRDefault="00013BEA" w:rsidP="00AA5388">
      <w:pPr>
        <w:jc w:val="both"/>
      </w:pPr>
      <w:r>
        <w:t xml:space="preserve">A parallel line of research has employed unsupervised learning to investigate the </w:t>
      </w:r>
      <w:r w:rsidRPr="00AA5388">
        <w:t>substantial heterogeneity of the disorder and to identify clinically meaningful phenotypic subgroups</w:t>
      </w:r>
      <w:r>
        <w:t xml:space="preserve">. </w:t>
      </w:r>
      <w:r w:rsidRPr="00013BEA">
        <w:t xml:space="preserve">Rather than treating PCOS as a single homogeneous condition, recent </w:t>
      </w:r>
      <w:r w:rsidR="00392820">
        <w:t>studies</w:t>
      </w:r>
      <w:r w:rsidRPr="00013BEA">
        <w:t xml:space="preserve"> </w:t>
      </w:r>
      <w:r w:rsidR="00392820">
        <w:t>founded on the</w:t>
      </w:r>
      <w:r w:rsidRPr="00013BEA">
        <w:t xml:space="preserve"> premise that distinct patient populations </w:t>
      </w:r>
      <w:r w:rsidR="00392820">
        <w:t>can</w:t>
      </w:r>
      <w:r w:rsidRPr="00013BEA">
        <w:t xml:space="preserve"> be d</w:t>
      </w:r>
      <w:r w:rsidR="00392820">
        <w:t>istinguished</w:t>
      </w:r>
      <w:r w:rsidRPr="00013BEA">
        <w:t xml:space="preserve"> by </w:t>
      </w:r>
      <w:r w:rsidR="00392820">
        <w:t>differences</w:t>
      </w:r>
      <w:r w:rsidRPr="00013BEA">
        <w:t xml:space="preserve"> in reproductive, metabolic, and hormonal profiles.</w:t>
      </w:r>
      <w:r w:rsidR="00AC53B9">
        <w:t xml:space="preserve"> </w:t>
      </w:r>
      <w:r w:rsidR="00AA5388" w:rsidRPr="00AA5388">
        <w:t xml:space="preserve">One of the most influential recent contributions is provided by Gao </w:t>
      </w:r>
      <w:r w:rsidR="00AC53B9">
        <w:t xml:space="preserve">et al. </w:t>
      </w:r>
      <w:r w:rsidR="00AA5388" w:rsidRPr="00AA5388">
        <w:t xml:space="preserve">[26], who applied k-means clustering after progressively reducing an initial set of twenty-nine variables to nine through a combination of principal component analysis, correlation filtering, and exploratory factor analysis. Their resulting four-cluster solution </w:t>
      </w:r>
      <w:r w:rsidR="00392820">
        <w:t xml:space="preserve">demonstrated good stability according to </w:t>
      </w:r>
      <w:r w:rsidR="00392820" w:rsidRPr="00AA5388">
        <w:t>Jaccard</w:t>
      </w:r>
      <w:r w:rsidR="00AA5388" w:rsidRPr="00AA5388">
        <w:t xml:space="preserve">-based </w:t>
      </w:r>
      <w:r w:rsidR="00392820">
        <w:t>validation and exhibited meaningful associations with distinct clinical outcomes</w:t>
      </w:r>
      <w:r w:rsidR="00AA5388" w:rsidRPr="00AA5388">
        <w:t>.</w:t>
      </w:r>
      <w:r w:rsidR="00AC53B9">
        <w:t xml:space="preserve"> </w:t>
      </w:r>
      <w:r w:rsidR="00AA5388" w:rsidRPr="00AA5388">
        <w:t xml:space="preserve">A broadly similar methodological framework can be observed across subsequent studies, although the specific clustering techniques differ according to assumptions regarding data structure. Dapas </w:t>
      </w:r>
      <w:r w:rsidR="00AC53B9">
        <w:t xml:space="preserve">et al. </w:t>
      </w:r>
      <w:r w:rsidR="00AA5388" w:rsidRPr="00AA5388">
        <w:t>[27]</w:t>
      </w:r>
      <w:r w:rsidR="00AC53B9">
        <w:t xml:space="preserve"> </w:t>
      </w:r>
      <w:r w:rsidR="00AA5388" w:rsidRPr="00AA5388">
        <w:t xml:space="preserve">employed a Gaussian mixture model, arguing that its probabilistic formulation and ability to </w:t>
      </w:r>
      <w:r w:rsidR="00742234">
        <w:t xml:space="preserve">capture </w:t>
      </w:r>
      <w:r w:rsidR="00AA5388" w:rsidRPr="00AA5388">
        <w:t>elliptical cluster distributions offer advantages over the spherical partitioning assumptions typically associated with k-means</w:t>
      </w:r>
      <w:r w:rsidR="00742234">
        <w:t xml:space="preserve"> clustering</w:t>
      </w:r>
      <w:r w:rsidR="00AA5388" w:rsidRPr="00AA5388">
        <w:t xml:space="preserve">. </w:t>
      </w:r>
      <w:r w:rsidR="00AC53B9">
        <w:t>D</w:t>
      </w:r>
      <w:r w:rsidR="00AA5388" w:rsidRPr="00AA5388">
        <w:t>imensionality reduction through principal component analysis preceded clustering, and the robustness of the identified subtypes was evaluated using bootstrapped Jaccard stability measures</w:t>
      </w:r>
      <w:r w:rsidR="00AC53B9">
        <w:t xml:space="preserve">, </w:t>
      </w:r>
      <w:r w:rsidR="009719DD">
        <w:t>consistent with</w:t>
      </w:r>
      <w:r w:rsidR="00AC53B9" w:rsidRPr="00AA5388">
        <w:t xml:space="preserve"> Gao </w:t>
      </w:r>
      <w:r w:rsidR="00AC53B9">
        <w:t xml:space="preserve">et al. </w:t>
      </w:r>
      <w:r w:rsidR="00AC53B9" w:rsidRPr="00AA5388">
        <w:t>[26]</w:t>
      </w:r>
      <w:r w:rsidR="00AA5388" w:rsidRPr="00AA5388">
        <w:t xml:space="preserve">. The resulting reproductive and metabolic clusters were </w:t>
      </w:r>
      <w:r w:rsidR="00004E20">
        <w:t>further</w:t>
      </w:r>
      <w:r w:rsidR="00AA5388" w:rsidRPr="00AA5388">
        <w:t xml:space="preserve"> associated with novel genetic signals, </w:t>
      </w:r>
      <w:r w:rsidR="00AC53B9">
        <w:t>suggest</w:t>
      </w:r>
      <w:r w:rsidR="00004E20">
        <w:t>ing</w:t>
      </w:r>
      <w:r w:rsidR="00AA5388" w:rsidRPr="00AA5388">
        <w:t xml:space="preserve"> that data-driven phenotypic stratification may capture biologically</w:t>
      </w:r>
      <w:r w:rsidR="00004E20">
        <w:t xml:space="preserve"> meaningful</w:t>
      </w:r>
      <w:r w:rsidR="00AA5388" w:rsidRPr="00AA5388">
        <w:t xml:space="preserve"> variation beyond conventional diagnostic categories.</w:t>
      </w:r>
      <w:r w:rsidR="00776794">
        <w:t xml:space="preserve"> </w:t>
      </w:r>
      <w:r w:rsidR="00AA5388" w:rsidRPr="00AA5388">
        <w:t xml:space="preserve">Hierarchical clustering studies have reached broadly comparable </w:t>
      </w:r>
      <w:r w:rsidR="00AA5388" w:rsidRPr="00227E7F">
        <w:t>conclusions. Van der Ham</w:t>
      </w:r>
      <w:r w:rsidR="00AC53B9" w:rsidRPr="00227E7F">
        <w:t xml:space="preserve"> et al. </w:t>
      </w:r>
      <w:r w:rsidR="00AA5388" w:rsidRPr="00227E7F">
        <w:t xml:space="preserve">[28] applied Ward-linkage agglomerative clustering using a set of hormonal and metabolic </w:t>
      </w:r>
      <w:r w:rsidR="007B31F2">
        <w:t>biomarkers</w:t>
      </w:r>
      <w:r w:rsidR="00AC53B9" w:rsidRPr="00227E7F">
        <w:t xml:space="preserve">. </w:t>
      </w:r>
      <w:r w:rsidR="00AA5388" w:rsidRPr="00227E7F">
        <w:t>Burns</w:t>
      </w:r>
      <w:r w:rsidR="00776794" w:rsidRPr="00227E7F">
        <w:t xml:space="preserve"> </w:t>
      </w:r>
      <w:r w:rsidR="00776794">
        <w:t xml:space="preserve">et al. </w:t>
      </w:r>
      <w:r w:rsidR="00AA5388" w:rsidRPr="00AA5388">
        <w:t xml:space="preserve">[29] combined the same clustering strategy with principal component analysis and stability </w:t>
      </w:r>
      <w:r w:rsidR="007B31F2">
        <w:t>assessment</w:t>
      </w:r>
      <w:r w:rsidR="00AA5388" w:rsidRPr="00AA5388">
        <w:t xml:space="preserve"> across resampled datasets. Although these </w:t>
      </w:r>
      <w:r w:rsidR="007B31F2">
        <w:t xml:space="preserve">studies </w:t>
      </w:r>
      <w:r w:rsidR="00AA5388" w:rsidRPr="00AA5388">
        <w:t xml:space="preserve">differ in cohort composition, feature-selection </w:t>
      </w:r>
      <w:r w:rsidR="007B31F2">
        <w:t>strategies</w:t>
      </w:r>
      <w:r w:rsidR="00AA5388" w:rsidRPr="00AA5388">
        <w:t xml:space="preserve">, and clustering algorithms, they </w:t>
      </w:r>
      <w:r w:rsidR="007B31F2">
        <w:t>consistently</w:t>
      </w:r>
      <w:r w:rsidR="00AA5388" w:rsidRPr="00AA5388">
        <w:t xml:space="preserve"> identify a limited number of recurring PCOS phenotypes that are predominantly </w:t>
      </w:r>
      <w:r w:rsidR="00776794" w:rsidRPr="00AA5388">
        <w:t>organized</w:t>
      </w:r>
      <w:r w:rsidR="00AA5388" w:rsidRPr="00AA5388">
        <w:t xml:space="preserve"> around reproductive and metabolic </w:t>
      </w:r>
      <w:r w:rsidR="007B31F2">
        <w:t>characteristics</w:t>
      </w:r>
      <w:r w:rsidR="00AA5388" w:rsidRPr="00AA5388">
        <w:t>.</w:t>
      </w:r>
      <w:r w:rsidR="002B6ED3">
        <w:t xml:space="preserve"> </w:t>
      </w:r>
      <w:r w:rsidR="00AA5388" w:rsidRPr="00AA5388">
        <w:t xml:space="preserve">Taken together, this literature provides compelling evidence that PCOS represents a heterogeneous syndrome whose variation can be systematically captured through unsupervised learning. At the same time, the </w:t>
      </w:r>
      <w:r w:rsidR="0076103F">
        <w:t>primary</w:t>
      </w:r>
      <w:r w:rsidR="00AA5388" w:rsidRPr="00AA5388">
        <w:t xml:space="preserve"> objective of these approaches is phenotypic stratification rather than diagnostic prediction. The relationships identified among patients are used to partition the cohort into discrete groups, rather than being explicitly encoded as a relational structure for a predictive model. This distinction is particularly relevant in the context of graph-based learning, where inter-patient similarity can be </w:t>
      </w:r>
      <w:r w:rsidR="0076103F">
        <w:t>integrated</w:t>
      </w:r>
      <w:r w:rsidR="00AA5388" w:rsidRPr="00AA5388">
        <w:t xml:space="preserve"> directly into the prediction process instead of serving solely as a basis for subtype discovery.</w:t>
      </w:r>
    </w:p>
    <w:p w14:paraId="2EC3EA27" w14:textId="3967BBBA" w:rsidR="00563CBB" w:rsidRDefault="00563CBB" w:rsidP="001610D2">
      <w:pPr>
        <w:jc w:val="both"/>
      </w:pPr>
      <w:r w:rsidRPr="00563CBB">
        <w:lastRenderedPageBreak/>
        <w:t xml:space="preserve"> </w:t>
      </w:r>
    </w:p>
    <w:p w14:paraId="021C0D58" w14:textId="52DF572B" w:rsidR="00AE1A34" w:rsidRPr="00AE1A34" w:rsidRDefault="00AE1A34" w:rsidP="001610D2">
      <w:pPr>
        <w:jc w:val="both"/>
        <w:rPr>
          <w:b/>
          <w:bCs/>
          <w:sz w:val="18"/>
          <w:szCs w:val="20"/>
        </w:rPr>
      </w:pPr>
      <w:r w:rsidRPr="00AE1A34">
        <w:rPr>
          <w:b/>
          <w:bCs/>
          <w:sz w:val="18"/>
          <w:szCs w:val="20"/>
        </w:rPr>
        <w:t>Scope, constraints, and the present framing</w:t>
      </w:r>
      <w:r w:rsidR="00C3775C">
        <w:rPr>
          <w:b/>
          <w:bCs/>
          <w:sz w:val="18"/>
          <w:szCs w:val="20"/>
        </w:rPr>
        <w:t>:</w:t>
      </w:r>
    </w:p>
    <w:p w14:paraId="5A970038" w14:textId="747AE8FC" w:rsidR="00EB2E3F" w:rsidRPr="00EB2E3F" w:rsidRDefault="00CA4511" w:rsidP="00EB2E3F">
      <w:pPr>
        <w:jc w:val="both"/>
      </w:pPr>
      <w:r w:rsidRPr="00CA4511">
        <w:t xml:space="preserve">Consequently, </w:t>
      </w:r>
      <w:r w:rsidR="0076103F" w:rsidRPr="0076103F">
        <w:t>two principal conclusions define the scope of the present study</w:t>
      </w:r>
      <w:r w:rsidRPr="00CA4511">
        <w:t>.</w:t>
      </w:r>
      <w:r>
        <w:t xml:space="preserve"> </w:t>
      </w:r>
      <w:r w:rsidR="00EB2E3F" w:rsidRPr="00EB2E3F">
        <w:t xml:space="preserve">The first concerns the nature and richness of the variables used to derive established PCOS phenotypic taxonomies. </w:t>
      </w:r>
      <w:r w:rsidR="0076103F">
        <w:t>For example, t</w:t>
      </w:r>
      <w:r>
        <w:t>he</w:t>
      </w:r>
      <w:r w:rsidR="00EB2E3F" w:rsidRPr="00EB2E3F">
        <w:t xml:space="preserve"> clustering framework proposed by van der Ham </w:t>
      </w:r>
      <w:r w:rsidR="00C3775C">
        <w:t xml:space="preserve">et al. </w:t>
      </w:r>
      <w:r w:rsidR="00EB2E3F" w:rsidRPr="00EB2E3F">
        <w:t xml:space="preserve">[28] relies on an extensive panel of hormonal and metabolic biomarkers, including body mass index, luteinizing hormone, follicle-stimulating hormone, dehydroepiandrosterone sulfate, sex-hormone-binding globulin, testosterone, insulin, and glucose. These measurements encompass direct and adrenal androgen markers, hormone-binding proteins, and fasting metabolic </w:t>
      </w:r>
      <w:r w:rsidR="0076103F">
        <w:t xml:space="preserve">biomarkers </w:t>
      </w:r>
      <w:r w:rsidR="00EB2E3F" w:rsidRPr="00EB2E3F">
        <w:t xml:space="preserve">that are </w:t>
      </w:r>
      <w:r>
        <w:t>generally unavailable</w:t>
      </w:r>
      <w:r w:rsidR="00EB2E3F" w:rsidRPr="00EB2E3F">
        <w:t xml:space="preserve"> in the routine clinical </w:t>
      </w:r>
      <w:r>
        <w:t>datasets</w:t>
      </w:r>
      <w:r w:rsidR="00EB2E3F" w:rsidRPr="00EB2E3F">
        <w:t xml:space="preserve">. A model </w:t>
      </w:r>
      <w:r w:rsidR="0068519C">
        <w:t>developed</w:t>
      </w:r>
      <w:r w:rsidR="00EB2E3F" w:rsidRPr="00EB2E3F">
        <w:t xml:space="preserve"> exclusively from routinely collected clinical attributes cannot reasonably be expected to reproduce these established subtype definitions independently, and any assertion of equivalent phenotypic recovery would require stronger evidential support than the available data can provide.</w:t>
      </w:r>
      <w:r>
        <w:t xml:space="preserve"> </w:t>
      </w:r>
      <w:r w:rsidR="00EB2E3F" w:rsidRPr="00EB2E3F">
        <w:t>A second</w:t>
      </w:r>
      <w:r w:rsidR="0068519C">
        <w:t xml:space="preserve"> methodological</w:t>
      </w:r>
      <w:r w:rsidR="00EB2E3F" w:rsidRPr="00EB2E3F">
        <w:t xml:space="preserve"> consideration </w:t>
      </w:r>
      <w:r w:rsidR="0068519C">
        <w:t>concerns</w:t>
      </w:r>
      <w:r w:rsidR="00EB2E3F" w:rsidRPr="00EB2E3F">
        <w:t xml:space="preserve"> the role of clustering when applied to more constrained and heterogeneous real-world datasets. Under such conditions, unsupervised methods tend to function as exploratory tools rather than definitive mechanisms for establishing disease subtypes. This </w:t>
      </w:r>
      <w:r>
        <w:t>limitation</w:t>
      </w:r>
      <w:r w:rsidR="00EB2E3F" w:rsidRPr="00EB2E3F">
        <w:t xml:space="preserve"> is illustrated by Emanuel</w:t>
      </w:r>
      <w:r>
        <w:t xml:space="preserve"> et al.</w:t>
      </w:r>
      <w:r w:rsidR="00EB2E3F" w:rsidRPr="00EB2E3F">
        <w:t xml:space="preserve"> [30], who applied k-means clustering to laboratory measurements collected from a large online health forum. Using nearest-neighbor imputation and feature standardization, </w:t>
      </w:r>
      <w:r>
        <w:t>he</w:t>
      </w:r>
      <w:r w:rsidR="00EB2E3F" w:rsidRPr="00EB2E3F">
        <w:t xml:space="preserve"> identified potentially informative patterns, but the resulting group structures remained inherently provisional due to the limitations of the underlying data source.</w:t>
      </w:r>
      <w:r>
        <w:t xml:space="preserve"> </w:t>
      </w:r>
      <w:r w:rsidR="00EB2E3F" w:rsidRPr="00EB2E3F">
        <w:t xml:space="preserve">Rather than </w:t>
      </w:r>
      <w:r w:rsidR="00334259">
        <w:t>treating</w:t>
      </w:r>
      <w:r w:rsidR="00EB2E3F" w:rsidRPr="00EB2E3F">
        <w:t xml:space="preserve"> unsupervised analysis of routine</w:t>
      </w:r>
      <w:r w:rsidR="00334259">
        <w:t>ly</w:t>
      </w:r>
      <w:r w:rsidR="00EB2E3F" w:rsidRPr="00EB2E3F">
        <w:t xml:space="preserve"> clinical features as a means of </w:t>
      </w:r>
      <w:r w:rsidR="00334259">
        <w:t>re</w:t>
      </w:r>
      <w:r w:rsidR="00EB2E3F" w:rsidRPr="00EB2E3F">
        <w:t xml:space="preserve">covering canonical PCOS phenotypes, </w:t>
      </w:r>
      <w:r>
        <w:t>this study</w:t>
      </w:r>
      <w:r w:rsidR="00EB2E3F" w:rsidRPr="00EB2E3F">
        <w:t xml:space="preserve"> treats clustering as an exploratory strategy for identifying approximate patterns of patient variation </w:t>
      </w:r>
      <w:r w:rsidR="00334259">
        <w:t>that are supported by the available data.</w:t>
      </w:r>
    </w:p>
    <w:p w14:paraId="525079CE" w14:textId="77777777" w:rsidR="00EB2E3F" w:rsidRPr="00EB2E3F" w:rsidRDefault="00EB2E3F" w:rsidP="001610D2">
      <w:pPr>
        <w:jc w:val="both"/>
      </w:pPr>
    </w:p>
    <w:p w14:paraId="7AA2ECBC" w14:textId="2F8D144C" w:rsidR="00AE1A34" w:rsidRPr="00AE1A34" w:rsidRDefault="00AE1A34" w:rsidP="001610D2">
      <w:pPr>
        <w:jc w:val="both"/>
        <w:rPr>
          <w:b/>
          <w:bCs/>
        </w:rPr>
      </w:pPr>
      <w:r w:rsidRPr="00AE1A34">
        <w:rPr>
          <w:b/>
          <w:bCs/>
        </w:rPr>
        <w:t>Graph Neural Networks</w:t>
      </w:r>
      <w:r>
        <w:rPr>
          <w:b/>
          <w:bCs/>
        </w:rPr>
        <w:t>:</w:t>
      </w:r>
    </w:p>
    <w:p w14:paraId="78B74874" w14:textId="1490EEE2" w:rsidR="00AE1A34" w:rsidRDefault="00AE1A34" w:rsidP="001610D2">
      <w:pPr>
        <w:jc w:val="both"/>
        <w:rPr>
          <w:b/>
          <w:bCs/>
          <w:sz w:val="18"/>
          <w:szCs w:val="22"/>
        </w:rPr>
      </w:pPr>
      <w:r w:rsidRPr="00AE1A34">
        <w:rPr>
          <w:b/>
          <w:bCs/>
          <w:sz w:val="18"/>
          <w:szCs w:val="22"/>
        </w:rPr>
        <w:t>Foundations: the implemented architectures</w:t>
      </w:r>
      <w:r w:rsidR="00227E7F">
        <w:rPr>
          <w:b/>
          <w:bCs/>
          <w:sz w:val="18"/>
          <w:szCs w:val="22"/>
        </w:rPr>
        <w:t>:</w:t>
      </w:r>
    </w:p>
    <w:p w14:paraId="3B4E3027" w14:textId="77777777" w:rsidR="009E36FF" w:rsidRDefault="00C61E7C" w:rsidP="00227E7F">
      <w:pPr>
        <w:jc w:val="both"/>
        <w:rPr>
          <w:szCs w:val="32"/>
        </w:rPr>
      </w:pPr>
      <w:r w:rsidRPr="00C61E7C">
        <w:rPr>
          <w:szCs w:val="32"/>
        </w:rPr>
        <w:t>Graph neural network (GNN) architectures generally belong to the broader class of message-passing frameworks. These models learn node representations by iteratively exchanging and aggregating feature information across local graph neighborhoods.</w:t>
      </w:r>
      <w:r>
        <w:rPr>
          <w:szCs w:val="32"/>
        </w:rPr>
        <w:t xml:space="preserve"> </w:t>
      </w:r>
    </w:p>
    <w:p w14:paraId="3E59C04F" w14:textId="24C8BBE0" w:rsidR="00227E7F" w:rsidRPr="00227E7F" w:rsidRDefault="00227E7F" w:rsidP="00227E7F">
      <w:pPr>
        <w:jc w:val="both"/>
        <w:rPr>
          <w:szCs w:val="32"/>
        </w:rPr>
      </w:pPr>
      <w:r w:rsidRPr="00227E7F">
        <w:rPr>
          <w:szCs w:val="32"/>
        </w:rPr>
        <w:t xml:space="preserve">At </w:t>
      </w:r>
      <w:r w:rsidR="00AD4EA1">
        <w:rPr>
          <w:szCs w:val="32"/>
        </w:rPr>
        <w:t>the</w:t>
      </w:r>
      <w:r w:rsidRPr="00227E7F">
        <w:rPr>
          <w:szCs w:val="32"/>
        </w:rPr>
        <w:t xml:space="preserve"> conceptual level, these </w:t>
      </w:r>
      <w:r w:rsidR="00AD4EA1">
        <w:rPr>
          <w:szCs w:val="32"/>
        </w:rPr>
        <w:t>approaches</w:t>
      </w:r>
      <w:r w:rsidRPr="00227E7F">
        <w:rPr>
          <w:szCs w:val="32"/>
        </w:rPr>
        <w:t xml:space="preserve"> are grounded in the message-passing neural </w:t>
      </w:r>
      <w:r w:rsidR="00AD4EA1" w:rsidRPr="00227E7F">
        <w:rPr>
          <w:szCs w:val="32"/>
        </w:rPr>
        <w:t>network</w:t>
      </w:r>
      <w:r w:rsidR="00AD4EA1">
        <w:rPr>
          <w:szCs w:val="32"/>
        </w:rPr>
        <w:t xml:space="preserve"> (MPNN)</w:t>
      </w:r>
      <w:r w:rsidRPr="00227E7F">
        <w:rPr>
          <w:szCs w:val="32"/>
        </w:rPr>
        <w:t xml:space="preserve"> framework proposed by Gilmer </w:t>
      </w:r>
      <w:r w:rsidR="00C61E7C">
        <w:rPr>
          <w:szCs w:val="32"/>
        </w:rPr>
        <w:t xml:space="preserve">et al. </w:t>
      </w:r>
      <w:r w:rsidRPr="00227E7F">
        <w:rPr>
          <w:szCs w:val="32"/>
        </w:rPr>
        <w:t xml:space="preserve">[31], which </w:t>
      </w:r>
      <w:r w:rsidR="00AD4EA1" w:rsidRPr="00227E7F">
        <w:rPr>
          <w:szCs w:val="32"/>
        </w:rPr>
        <w:t>formul</w:t>
      </w:r>
      <w:r w:rsidR="00AD4EA1">
        <w:rPr>
          <w:szCs w:val="32"/>
        </w:rPr>
        <w:t>ates</w:t>
      </w:r>
      <w:r w:rsidRPr="00227E7F">
        <w:rPr>
          <w:szCs w:val="32"/>
        </w:rPr>
        <w:t xml:space="preserve"> graph learning as an iterative </w:t>
      </w:r>
      <w:r w:rsidR="00AD4EA1">
        <w:rPr>
          <w:szCs w:val="32"/>
        </w:rPr>
        <w:t xml:space="preserve">process </w:t>
      </w:r>
      <w:r w:rsidRPr="00227E7F">
        <w:rPr>
          <w:szCs w:val="32"/>
        </w:rPr>
        <w:t xml:space="preserve">of message generation, </w:t>
      </w:r>
      <w:r w:rsidR="00AD4EA1">
        <w:rPr>
          <w:szCs w:val="32"/>
        </w:rPr>
        <w:t>node-</w:t>
      </w:r>
      <w:r w:rsidRPr="00227E7F">
        <w:rPr>
          <w:szCs w:val="32"/>
        </w:rPr>
        <w:t>state updating, and graph-level readout operations. This f</w:t>
      </w:r>
      <w:r w:rsidR="00AD4EA1">
        <w:rPr>
          <w:szCs w:val="32"/>
        </w:rPr>
        <w:t xml:space="preserve">ramework </w:t>
      </w:r>
      <w:r w:rsidRPr="00227E7F">
        <w:rPr>
          <w:szCs w:val="32"/>
        </w:rPr>
        <w:t xml:space="preserve">has become </w:t>
      </w:r>
      <w:r w:rsidR="00AD4EA1">
        <w:rPr>
          <w:szCs w:val="32"/>
        </w:rPr>
        <w:t xml:space="preserve">highly </w:t>
      </w:r>
      <w:r w:rsidRPr="00227E7F">
        <w:rPr>
          <w:szCs w:val="32"/>
        </w:rPr>
        <w:t xml:space="preserve">influential because it provides a common theoretical </w:t>
      </w:r>
      <w:r w:rsidR="00AD4EA1">
        <w:rPr>
          <w:szCs w:val="32"/>
        </w:rPr>
        <w:t>foundation</w:t>
      </w:r>
      <w:r w:rsidRPr="00227E7F">
        <w:rPr>
          <w:szCs w:val="32"/>
        </w:rPr>
        <w:t xml:space="preserve"> through </w:t>
      </w:r>
      <w:r w:rsidR="00AD4EA1" w:rsidRPr="00227E7F">
        <w:rPr>
          <w:szCs w:val="32"/>
        </w:rPr>
        <w:t>which diverse</w:t>
      </w:r>
      <w:r w:rsidRPr="00227E7F">
        <w:rPr>
          <w:szCs w:val="32"/>
        </w:rPr>
        <w:t xml:space="preserve"> graph </w:t>
      </w:r>
      <w:r w:rsidR="00AD4EA1">
        <w:rPr>
          <w:szCs w:val="32"/>
        </w:rPr>
        <w:t xml:space="preserve">neural network </w:t>
      </w:r>
      <w:r w:rsidRPr="00227E7F">
        <w:rPr>
          <w:szCs w:val="32"/>
        </w:rPr>
        <w:t>architectures can be</w:t>
      </w:r>
      <w:r w:rsidR="00AD4EA1">
        <w:rPr>
          <w:szCs w:val="32"/>
        </w:rPr>
        <w:t xml:space="preserve"> systematically </w:t>
      </w:r>
      <w:r w:rsidRPr="00227E7F">
        <w:rPr>
          <w:szCs w:val="32"/>
        </w:rPr>
        <w:t>understood and compared.</w:t>
      </w:r>
      <w:r w:rsidR="00C61E7C">
        <w:rPr>
          <w:szCs w:val="32"/>
        </w:rPr>
        <w:t xml:space="preserve"> </w:t>
      </w:r>
      <w:r w:rsidRPr="00227E7F">
        <w:rPr>
          <w:szCs w:val="32"/>
        </w:rPr>
        <w:t xml:space="preserve">Within this framework, different models primarily distinguish themselves through the </w:t>
      </w:r>
      <w:r w:rsidR="00AD4EA1">
        <w:rPr>
          <w:szCs w:val="32"/>
        </w:rPr>
        <w:t>mechanisms by</w:t>
      </w:r>
      <w:r w:rsidRPr="00227E7F">
        <w:rPr>
          <w:szCs w:val="32"/>
        </w:rPr>
        <w:t xml:space="preserve"> which information</w:t>
      </w:r>
      <w:r w:rsidR="00AD4EA1">
        <w:rPr>
          <w:szCs w:val="32"/>
        </w:rPr>
        <w:t xml:space="preserve"> from neighboring nodes</w:t>
      </w:r>
      <w:r w:rsidRPr="00227E7F">
        <w:rPr>
          <w:szCs w:val="32"/>
        </w:rPr>
        <w:t xml:space="preserve"> is aggregated and incorporated into node representations. The graph convolutional network (GCN) </w:t>
      </w:r>
      <w:r w:rsidR="00872A76">
        <w:rPr>
          <w:szCs w:val="32"/>
        </w:rPr>
        <w:t>proposed</w:t>
      </w:r>
      <w:r w:rsidRPr="00227E7F">
        <w:rPr>
          <w:szCs w:val="32"/>
        </w:rPr>
        <w:t xml:space="preserve"> by Kipf [32] remains one of the foundational architectures in the field. </w:t>
      </w:r>
      <w:r w:rsidR="00872A76">
        <w:rPr>
          <w:szCs w:val="32"/>
        </w:rPr>
        <w:t>Based</w:t>
      </w:r>
      <w:r w:rsidRPr="00227E7F">
        <w:rPr>
          <w:szCs w:val="32"/>
        </w:rPr>
        <w:t xml:space="preserve"> on spectral graph theory, it employs a symmetrically normalized propagation mechanism that combines information from adjacent nodes and has consequently become a standard benchmark for semi-supervised node-classification tasks. </w:t>
      </w:r>
      <w:r w:rsidR="00872A76">
        <w:rPr>
          <w:szCs w:val="32"/>
        </w:rPr>
        <w:t>Despite of its effectiveness, the model assumes that all neighboring nodes contribute equally during aggregation, an assumption that has motivated the development of subsequent architectures capable of learning more expressive and adaptive neighborhood representations</w:t>
      </w:r>
      <w:r w:rsidRPr="00227E7F">
        <w:rPr>
          <w:szCs w:val="32"/>
        </w:rPr>
        <w:t xml:space="preserve">. The graph attention network (GAT) proposed by </w:t>
      </w:r>
      <w:r w:rsidRPr="00227E7F">
        <w:rPr>
          <w:szCs w:val="32"/>
        </w:rPr>
        <w:lastRenderedPageBreak/>
        <w:t xml:space="preserve">Veličković </w:t>
      </w:r>
      <w:r w:rsidR="0039033E">
        <w:rPr>
          <w:szCs w:val="32"/>
        </w:rPr>
        <w:t xml:space="preserve">et al. </w:t>
      </w:r>
      <w:r w:rsidRPr="00227E7F">
        <w:rPr>
          <w:szCs w:val="32"/>
        </w:rPr>
        <w:t>[33</w:t>
      </w:r>
      <w:r w:rsidR="0039033E" w:rsidRPr="00227E7F">
        <w:rPr>
          <w:szCs w:val="32"/>
        </w:rPr>
        <w:t xml:space="preserve">], </w:t>
      </w:r>
      <w:r w:rsidR="0039033E">
        <w:rPr>
          <w:szCs w:val="32"/>
        </w:rPr>
        <w:t>introduces</w:t>
      </w:r>
      <w:r w:rsidRPr="00227E7F">
        <w:rPr>
          <w:szCs w:val="32"/>
        </w:rPr>
        <w:t xml:space="preserve"> learned attention coefficients that assign varying levels of importance to neighboring nodes. </w:t>
      </w:r>
      <w:r w:rsidR="0039033E">
        <w:rPr>
          <w:szCs w:val="32"/>
        </w:rPr>
        <w:t xml:space="preserve">This allows the model to </w:t>
      </w:r>
      <w:r w:rsidR="0039033E" w:rsidRPr="00227E7F">
        <w:rPr>
          <w:szCs w:val="32"/>
        </w:rPr>
        <w:t>focus</w:t>
      </w:r>
      <w:r w:rsidRPr="00227E7F">
        <w:rPr>
          <w:szCs w:val="32"/>
        </w:rPr>
        <w:t xml:space="preserve"> more strongly on locally informative relationships while attenuating less relevant connections.</w:t>
      </w:r>
      <w:r w:rsidR="006208DC">
        <w:rPr>
          <w:szCs w:val="32"/>
        </w:rPr>
        <w:t xml:space="preserve"> </w:t>
      </w:r>
      <w:r w:rsidRPr="00227E7F">
        <w:rPr>
          <w:szCs w:val="32"/>
        </w:rPr>
        <w:t xml:space="preserve">A </w:t>
      </w:r>
      <w:r w:rsidR="0039033E">
        <w:rPr>
          <w:szCs w:val="32"/>
        </w:rPr>
        <w:t>complementary</w:t>
      </w:r>
      <w:r w:rsidRPr="00227E7F">
        <w:rPr>
          <w:szCs w:val="32"/>
        </w:rPr>
        <w:t xml:space="preserve"> perspective is offered by GraphSAGE [34], which is particularly relevant to the methodological </w:t>
      </w:r>
      <w:r w:rsidR="0039033E">
        <w:rPr>
          <w:szCs w:val="32"/>
        </w:rPr>
        <w:t>framework adopter in</w:t>
      </w:r>
      <w:r w:rsidRPr="00227E7F">
        <w:rPr>
          <w:szCs w:val="32"/>
        </w:rPr>
        <w:t xml:space="preserve"> the present study. </w:t>
      </w:r>
      <w:r w:rsidR="0039033E">
        <w:rPr>
          <w:szCs w:val="32"/>
        </w:rPr>
        <w:t>Unlike GCN, which learns representations specific to a fixed graph structure,</w:t>
      </w:r>
      <w:r w:rsidRPr="00227E7F">
        <w:rPr>
          <w:szCs w:val="32"/>
        </w:rPr>
        <w:t xml:space="preserve"> GraphSAGE learns aggregation functions capable of generalizing to previously unseen nodes. Neighborhood information is sampled and combined through trainable aggregators, enabling inductive inference beyond the training graph. This </w:t>
      </w:r>
      <w:r w:rsidR="003C06F6">
        <w:rPr>
          <w:szCs w:val="32"/>
        </w:rPr>
        <w:t xml:space="preserve">characteristic </w:t>
      </w:r>
      <w:r w:rsidR="003C06F6" w:rsidRPr="00227E7F">
        <w:rPr>
          <w:szCs w:val="32"/>
        </w:rPr>
        <w:t>is</w:t>
      </w:r>
      <w:r w:rsidRPr="00227E7F">
        <w:rPr>
          <w:szCs w:val="32"/>
        </w:rPr>
        <w:t xml:space="preserve"> especially valuable in clinical applications, where new patients</w:t>
      </w:r>
      <w:r w:rsidR="003C06F6">
        <w:rPr>
          <w:szCs w:val="32"/>
        </w:rPr>
        <w:t xml:space="preserve"> are</w:t>
      </w:r>
      <w:r w:rsidRPr="00227E7F">
        <w:rPr>
          <w:szCs w:val="32"/>
        </w:rPr>
        <w:t xml:space="preserve"> continuously </w:t>
      </w:r>
      <w:r w:rsidR="003C06F6">
        <w:rPr>
          <w:szCs w:val="32"/>
        </w:rPr>
        <w:t>introduced</w:t>
      </w:r>
      <w:r w:rsidRPr="00227E7F">
        <w:rPr>
          <w:szCs w:val="32"/>
        </w:rPr>
        <w:t xml:space="preserve"> and must be incorporated into an existing relational structure. </w:t>
      </w:r>
      <w:r w:rsidR="003C06F6">
        <w:rPr>
          <w:szCs w:val="32"/>
        </w:rPr>
        <w:t xml:space="preserve">As a result, GraphSAGE provides a practical mechanism for incorporating validation and testing patients without requiring complete retraining of the underlying graph model. </w:t>
      </w:r>
      <w:r w:rsidRPr="00227E7F">
        <w:rPr>
          <w:szCs w:val="32"/>
        </w:rPr>
        <w:t xml:space="preserve">At the opposite end of the </w:t>
      </w:r>
      <w:r w:rsidR="00BF0F87">
        <w:rPr>
          <w:szCs w:val="32"/>
        </w:rPr>
        <w:t xml:space="preserve">representational </w:t>
      </w:r>
      <w:r w:rsidR="00BF0F87" w:rsidRPr="00227E7F">
        <w:rPr>
          <w:szCs w:val="32"/>
        </w:rPr>
        <w:t>spectrum</w:t>
      </w:r>
      <w:r w:rsidR="00BF0F87">
        <w:rPr>
          <w:szCs w:val="32"/>
        </w:rPr>
        <w:t xml:space="preserve">, </w:t>
      </w:r>
      <w:r w:rsidRPr="00227E7F">
        <w:rPr>
          <w:szCs w:val="32"/>
        </w:rPr>
        <w:t>the graph isomorphism network (GIN) developed by Xu</w:t>
      </w:r>
      <w:r w:rsidR="00BF0F87">
        <w:rPr>
          <w:szCs w:val="32"/>
        </w:rPr>
        <w:t xml:space="preserve"> et al. </w:t>
      </w:r>
      <w:r w:rsidRPr="00227E7F">
        <w:rPr>
          <w:szCs w:val="32"/>
        </w:rPr>
        <w:t>[35</w:t>
      </w:r>
      <w:r w:rsidR="00BF0F87">
        <w:rPr>
          <w:szCs w:val="32"/>
        </w:rPr>
        <w:t xml:space="preserve">] prioritized expressive representation learning over computational simplicity. By combining sum-based </w:t>
      </w:r>
      <w:r w:rsidR="00A72CE8">
        <w:rPr>
          <w:szCs w:val="32"/>
        </w:rPr>
        <w:t>neighborhood</w:t>
      </w:r>
      <w:r w:rsidR="00BF0F87">
        <w:rPr>
          <w:szCs w:val="32"/>
        </w:rPr>
        <w:t xml:space="preserve"> aggregation with a </w:t>
      </w:r>
      <w:r w:rsidR="00A72CE8">
        <w:rPr>
          <w:szCs w:val="32"/>
        </w:rPr>
        <w:t>multilayer</w:t>
      </w:r>
      <w:r w:rsidR="00BF0F87">
        <w:rPr>
          <w:szCs w:val="32"/>
        </w:rPr>
        <w:t xml:space="preserve"> perceptron, the model achieves the same </w:t>
      </w:r>
      <w:r w:rsidR="00A72CE8">
        <w:rPr>
          <w:szCs w:val="32"/>
        </w:rPr>
        <w:t>capability as the Weisfeiler</w:t>
      </w:r>
      <w:r w:rsidRPr="00227E7F">
        <w:rPr>
          <w:szCs w:val="32"/>
        </w:rPr>
        <w:t>-Lehman graph-isomorphism test. Within the graph-learning literature, it is frequently regarded as one of the most expressive message-passing architectures available under the standard neighborhood-aggregation paradigm.</w:t>
      </w:r>
      <w:r w:rsidR="006208DC">
        <w:rPr>
          <w:szCs w:val="32"/>
        </w:rPr>
        <w:t xml:space="preserve"> </w:t>
      </w:r>
      <w:r w:rsidRPr="00227E7F">
        <w:rPr>
          <w:szCs w:val="32"/>
        </w:rPr>
        <w:t xml:space="preserve">The effectiveness of these models, however, depends not only on the aggregation mechanism but also on the quality of the initial node representations. For this reason, the present work incorporates graph embedding techniques that capture structural information before message passing begins. DeepWalk [36] and node2vec [37] generate low-dimensional node embeddings by performing random walks over the graph and applying a skip-gram objective to the resulting node sequences. Although both methods are </w:t>
      </w:r>
      <w:r w:rsidR="00A72CE8">
        <w:rPr>
          <w:szCs w:val="32"/>
        </w:rPr>
        <w:t xml:space="preserve">based om the premise </w:t>
      </w:r>
      <w:r w:rsidR="00A72CE8" w:rsidRPr="00227E7F">
        <w:rPr>
          <w:szCs w:val="32"/>
        </w:rPr>
        <w:t>that</w:t>
      </w:r>
      <w:r w:rsidRPr="00227E7F">
        <w:rPr>
          <w:szCs w:val="32"/>
        </w:rPr>
        <w:t xml:space="preserve"> nodes appearing in similar </w:t>
      </w:r>
      <w:r w:rsidR="00A72CE8">
        <w:rPr>
          <w:szCs w:val="32"/>
        </w:rPr>
        <w:t>sturctural</w:t>
      </w:r>
      <w:r w:rsidRPr="00227E7F">
        <w:rPr>
          <w:szCs w:val="32"/>
        </w:rPr>
        <w:t xml:space="preserve"> contexts should obtain similar representations</w:t>
      </w:r>
      <w:r w:rsidR="00A72CE8">
        <w:rPr>
          <w:szCs w:val="32"/>
        </w:rPr>
        <w:t>. However,</w:t>
      </w:r>
      <w:r w:rsidRPr="00227E7F">
        <w:rPr>
          <w:szCs w:val="32"/>
        </w:rPr>
        <w:t xml:space="preserve"> node2vec extends the original DeepWalk </w:t>
      </w:r>
      <w:r w:rsidR="00A72CE8">
        <w:rPr>
          <w:szCs w:val="32"/>
        </w:rPr>
        <w:t>framework</w:t>
      </w:r>
      <w:r w:rsidRPr="00227E7F">
        <w:rPr>
          <w:szCs w:val="32"/>
        </w:rPr>
        <w:t xml:space="preserve"> </w:t>
      </w:r>
      <w:r w:rsidR="00A72CE8">
        <w:rPr>
          <w:szCs w:val="32"/>
        </w:rPr>
        <w:t xml:space="preserve">by introducing </w:t>
      </w:r>
      <w:r w:rsidR="00A72CE8" w:rsidRPr="00227E7F">
        <w:rPr>
          <w:szCs w:val="32"/>
        </w:rPr>
        <w:t>a</w:t>
      </w:r>
      <w:r w:rsidRPr="00227E7F">
        <w:rPr>
          <w:szCs w:val="32"/>
        </w:rPr>
        <w:t xml:space="preserve"> biased sampling strategy that permits a more flexible exploration of local and global graph structure. These embeddings provide an informative </w:t>
      </w:r>
      <w:r w:rsidR="00FA5571">
        <w:rPr>
          <w:szCs w:val="32"/>
        </w:rPr>
        <w:t xml:space="preserve">initial node </w:t>
      </w:r>
      <w:r w:rsidR="00B50EE8">
        <w:rPr>
          <w:szCs w:val="32"/>
        </w:rPr>
        <w:t>representation</w:t>
      </w:r>
      <w:r w:rsidRPr="00227E7F">
        <w:rPr>
          <w:szCs w:val="32"/>
        </w:rPr>
        <w:t xml:space="preserve"> for downstream graph neural networks and may help encode relational patterns that are not immediately apparent from raw node attributes alone.</w:t>
      </w:r>
      <w:r w:rsidR="006208DC">
        <w:rPr>
          <w:szCs w:val="32"/>
        </w:rPr>
        <w:t xml:space="preserve"> </w:t>
      </w:r>
      <w:r w:rsidRPr="00227E7F">
        <w:rPr>
          <w:szCs w:val="32"/>
        </w:rPr>
        <w:t>Taken together, the selected architectures and embedding methods represent a spectrum of graph-learning paradigms that differ in their assumptions regarding neighborhood aggregation, expressiveness, and generalization. Their inclusion is therefore not merely a matter of algorithmic comparison. Rather, it enables an examination of how alternative forms of relational representation learning perform when patient similarity is modelled explicitly, a question that lies at the core of the methodological contribution advanced in this thesis.</w:t>
      </w:r>
    </w:p>
    <w:p w14:paraId="1B5C92B8" w14:textId="77777777" w:rsidR="00227E7F" w:rsidRPr="00227E7F" w:rsidRDefault="00227E7F" w:rsidP="001610D2">
      <w:pPr>
        <w:jc w:val="both"/>
        <w:rPr>
          <w:szCs w:val="32"/>
        </w:rPr>
      </w:pPr>
    </w:p>
    <w:p w14:paraId="22D459C9" w14:textId="47852BEA" w:rsidR="00AE1A34" w:rsidRDefault="00AE1A34" w:rsidP="001610D2">
      <w:pPr>
        <w:jc w:val="both"/>
        <w:rPr>
          <w:b/>
          <w:bCs/>
          <w:sz w:val="18"/>
          <w:szCs w:val="22"/>
        </w:rPr>
      </w:pPr>
      <w:r w:rsidRPr="00AE1A34">
        <w:rPr>
          <w:b/>
          <w:bCs/>
          <w:sz w:val="18"/>
          <w:szCs w:val="22"/>
        </w:rPr>
        <w:t>Graph neural networks on tabular data: the open problem and the baseline standard</w:t>
      </w:r>
    </w:p>
    <w:p w14:paraId="7726BE1E" w14:textId="4DDF2F72" w:rsidR="006208DC" w:rsidRPr="006208DC" w:rsidRDefault="006208DC" w:rsidP="006208DC">
      <w:pPr>
        <w:jc w:val="both"/>
        <w:rPr>
          <w:szCs w:val="32"/>
        </w:rPr>
      </w:pPr>
      <w:r w:rsidRPr="006208DC">
        <w:rPr>
          <w:szCs w:val="32"/>
        </w:rPr>
        <w:t>The application of graph neural networks to tabular clinical datasets presents a</w:t>
      </w:r>
      <w:r w:rsidR="00B50EE8">
        <w:rPr>
          <w:szCs w:val="32"/>
        </w:rPr>
        <w:t xml:space="preserve"> fundamental </w:t>
      </w:r>
      <w:r w:rsidR="00B50EE8" w:rsidRPr="006208DC">
        <w:rPr>
          <w:szCs w:val="32"/>
        </w:rPr>
        <w:t>challenge</w:t>
      </w:r>
      <w:r w:rsidRPr="006208DC">
        <w:rPr>
          <w:szCs w:val="32"/>
        </w:rPr>
        <w:t xml:space="preserve"> that is largely absent in traditional graph domains. Whereas molecules, social networks, and citation graphs contain explicitly defined relationships, a tabular dataset consists </w:t>
      </w:r>
      <w:r w:rsidR="00B50EE8">
        <w:rPr>
          <w:szCs w:val="32"/>
        </w:rPr>
        <w:t>solely</w:t>
      </w:r>
      <w:r w:rsidRPr="006208DC">
        <w:rPr>
          <w:szCs w:val="32"/>
        </w:rPr>
        <w:t xml:space="preserve"> of observations and attributes, providing no inherent edge structure through which information can propagate. Consequently, the </w:t>
      </w:r>
      <w:r w:rsidR="00B50EE8">
        <w:rPr>
          <w:szCs w:val="32"/>
        </w:rPr>
        <w:t>effectiveness</w:t>
      </w:r>
      <w:r w:rsidRPr="006208DC">
        <w:rPr>
          <w:szCs w:val="32"/>
        </w:rPr>
        <w:t xml:space="preserve"> of graph-based learning in such settings depends not on the graph neural network </w:t>
      </w:r>
      <w:r w:rsidR="00B50EE8">
        <w:rPr>
          <w:szCs w:val="32"/>
        </w:rPr>
        <w:t>itself</w:t>
      </w:r>
      <w:r w:rsidRPr="006208DC">
        <w:rPr>
          <w:szCs w:val="32"/>
        </w:rPr>
        <w:t xml:space="preserve"> but</w:t>
      </w:r>
      <w:r w:rsidR="00B50EE8">
        <w:rPr>
          <w:szCs w:val="32"/>
        </w:rPr>
        <w:t xml:space="preserve"> also</w:t>
      </w:r>
      <w:r w:rsidRPr="006208DC">
        <w:rPr>
          <w:szCs w:val="32"/>
        </w:rPr>
        <w:t xml:space="preserve"> on the prior construction of a meaningful graph representation.</w:t>
      </w:r>
      <w:r>
        <w:rPr>
          <w:szCs w:val="32"/>
        </w:rPr>
        <w:t xml:space="preserve"> </w:t>
      </w:r>
      <w:r w:rsidRPr="006208DC">
        <w:rPr>
          <w:szCs w:val="32"/>
        </w:rPr>
        <w:t>This issue has attracted growing attention within the graph-learning community. Li</w:t>
      </w:r>
      <w:r w:rsidR="00EA05C1">
        <w:rPr>
          <w:szCs w:val="32"/>
        </w:rPr>
        <w:t xml:space="preserve"> et al. </w:t>
      </w:r>
      <w:r w:rsidRPr="006208DC">
        <w:rPr>
          <w:szCs w:val="32"/>
        </w:rPr>
        <w:t xml:space="preserve"> [38], in a comprehensive survey of graph neural networks for tabular data, argues that conventional tabular representations may fail to capture latent dependencies that exist both among samples and among features. From this perspective, transforming tabular data into a graph </w:t>
      </w:r>
      <w:r w:rsidR="00EA05C1">
        <w:rPr>
          <w:szCs w:val="32"/>
        </w:rPr>
        <w:t>represents more than a</w:t>
      </w:r>
      <w:r w:rsidRPr="006208DC">
        <w:rPr>
          <w:szCs w:val="32"/>
        </w:rPr>
        <w:t xml:space="preserve"> technical reformulation of </w:t>
      </w:r>
      <w:r w:rsidRPr="006208DC">
        <w:rPr>
          <w:szCs w:val="32"/>
        </w:rPr>
        <w:lastRenderedPageBreak/>
        <w:t>the problem. Rather, it constitutes a representational shift intended to expose relational structure that would otherwise remain inaccessible to standard learning algorithms. Different graph-construction strategies have consequently emerged, linking instances, features, or hybrid combinations of both, each reflecting distinct assumptions about where informative relationships reside within the data.</w:t>
      </w:r>
      <w:r>
        <w:rPr>
          <w:szCs w:val="32"/>
        </w:rPr>
        <w:t xml:space="preserve"> </w:t>
      </w:r>
      <w:r w:rsidRPr="006208DC">
        <w:rPr>
          <w:szCs w:val="32"/>
        </w:rPr>
        <w:t>The significance of this representational challenge becomes particularly evident when considered alongside the continuing dominance of tree-based methods on tabular prediction tasks. Despite substantial advances in deep learning, evidence suggests that conventional neural architectures often struggle to surpass established ensemble techniques in this domain. Grinsztajn</w:t>
      </w:r>
      <w:r w:rsidR="00302E03">
        <w:rPr>
          <w:szCs w:val="32"/>
        </w:rPr>
        <w:t xml:space="preserve"> et al.</w:t>
      </w:r>
      <w:r w:rsidRPr="006208DC">
        <w:rPr>
          <w:szCs w:val="32"/>
        </w:rPr>
        <w:t xml:space="preserve"> [39], </w:t>
      </w:r>
      <w:r w:rsidR="00302E03">
        <w:rPr>
          <w:szCs w:val="32"/>
        </w:rPr>
        <w:t xml:space="preserve">conducted </w:t>
      </w:r>
      <w:r w:rsidRPr="006208DC">
        <w:rPr>
          <w:szCs w:val="32"/>
        </w:rPr>
        <w:t xml:space="preserve">a large-scale benchmark </w:t>
      </w:r>
      <w:r w:rsidR="00302E03">
        <w:rPr>
          <w:szCs w:val="32"/>
        </w:rPr>
        <w:t>spanning</w:t>
      </w:r>
      <w:r w:rsidRPr="006208DC">
        <w:rPr>
          <w:szCs w:val="32"/>
        </w:rPr>
        <w:t xml:space="preserve"> forty-five datasets and approximately twenty thousand compute-hours of hyperparameter </w:t>
      </w:r>
      <w:r w:rsidR="00302E03" w:rsidRPr="006208DC">
        <w:rPr>
          <w:szCs w:val="32"/>
        </w:rPr>
        <w:t>optimization</w:t>
      </w:r>
      <w:r w:rsidRPr="006208DC">
        <w:rPr>
          <w:szCs w:val="32"/>
        </w:rPr>
        <w:t>, demonstrated that Random Forest and gradient-boosted tree models consistently outperformed deep</w:t>
      </w:r>
      <w:r w:rsidR="00302E03">
        <w:rPr>
          <w:szCs w:val="32"/>
        </w:rPr>
        <w:t xml:space="preserve">-learning </w:t>
      </w:r>
      <w:r w:rsidR="00302E03" w:rsidRPr="006208DC">
        <w:rPr>
          <w:szCs w:val="32"/>
        </w:rPr>
        <w:t>architecture</w:t>
      </w:r>
      <w:r w:rsidR="00302E03">
        <w:rPr>
          <w:szCs w:val="32"/>
        </w:rPr>
        <w:t xml:space="preserve"> designed for tabular data</w:t>
      </w:r>
      <w:r w:rsidRPr="006208DC">
        <w:rPr>
          <w:szCs w:val="32"/>
        </w:rPr>
        <w:t xml:space="preserve">, including multilayer perceptrons, ResNet-based models, and the FT-Transformer. Their analysis </w:t>
      </w:r>
      <w:r w:rsidR="00302E03">
        <w:rPr>
          <w:szCs w:val="32"/>
        </w:rPr>
        <w:t>suggests that</w:t>
      </w:r>
      <w:r w:rsidRPr="006208DC">
        <w:rPr>
          <w:szCs w:val="32"/>
        </w:rPr>
        <w:t xml:space="preserve"> this performance gap</w:t>
      </w:r>
      <w:r w:rsidR="00302E03">
        <w:rPr>
          <w:szCs w:val="32"/>
        </w:rPr>
        <w:t xml:space="preserve"> aries</w:t>
      </w:r>
      <w:r w:rsidRPr="006208DC">
        <w:rPr>
          <w:szCs w:val="32"/>
        </w:rPr>
        <w:t xml:space="preserve">, at least in part, to the smoothness assumptions </w:t>
      </w:r>
      <w:r w:rsidR="00302E03">
        <w:rPr>
          <w:szCs w:val="32"/>
        </w:rPr>
        <w:t>inherent</w:t>
      </w:r>
      <w:r w:rsidRPr="006208DC">
        <w:rPr>
          <w:szCs w:val="32"/>
        </w:rPr>
        <w:t xml:space="preserve"> in neural networks </w:t>
      </w:r>
      <w:r w:rsidR="00B01FDE" w:rsidRPr="006208DC">
        <w:rPr>
          <w:szCs w:val="32"/>
        </w:rPr>
        <w:t>and their</w:t>
      </w:r>
      <w:r w:rsidRPr="006208DC">
        <w:rPr>
          <w:szCs w:val="32"/>
        </w:rPr>
        <w:t xml:space="preserve"> sensitivity to irrelevant or weakly informative features. These findings have contributed to an ongoing debate regarding whether the limitations of deep learning on tabular data arise from deficiencies in model architecture, data representation, or</w:t>
      </w:r>
      <w:r w:rsidR="008E04E7">
        <w:rPr>
          <w:szCs w:val="32"/>
        </w:rPr>
        <w:t xml:space="preserve"> a combination of</w:t>
      </w:r>
      <w:r w:rsidRPr="006208DC">
        <w:rPr>
          <w:szCs w:val="32"/>
        </w:rPr>
        <w:t xml:space="preserve"> both.</w:t>
      </w:r>
      <w:r>
        <w:rPr>
          <w:szCs w:val="32"/>
        </w:rPr>
        <w:t xml:space="preserve"> </w:t>
      </w:r>
      <w:r w:rsidRPr="006208DC">
        <w:rPr>
          <w:szCs w:val="32"/>
        </w:rPr>
        <w:t xml:space="preserve">Within this context, </w:t>
      </w:r>
      <w:r w:rsidR="008E04E7" w:rsidRPr="006208DC">
        <w:rPr>
          <w:szCs w:val="32"/>
        </w:rPr>
        <w:t>graph</w:t>
      </w:r>
      <w:r w:rsidRPr="006208DC">
        <w:rPr>
          <w:szCs w:val="32"/>
        </w:rPr>
        <w:t>-based</w:t>
      </w:r>
      <w:r w:rsidR="008E04E7">
        <w:rPr>
          <w:szCs w:val="32"/>
        </w:rPr>
        <w:t xml:space="preserve"> learning </w:t>
      </w:r>
      <w:r w:rsidR="008E04E7" w:rsidRPr="008E04E7">
        <w:rPr>
          <w:szCs w:val="32"/>
        </w:rPr>
        <w:t>has emerged as one potential approach to addressing the representational dimension of this challenge by explicitly modelling relationships that remain absent in conventional tabular representations</w:t>
      </w:r>
      <w:r w:rsidRPr="006208DC">
        <w:rPr>
          <w:szCs w:val="32"/>
        </w:rPr>
        <w:t xml:space="preserve">. The conversion of </w:t>
      </w:r>
      <w:r w:rsidR="008E04E7">
        <w:rPr>
          <w:szCs w:val="32"/>
        </w:rPr>
        <w:t>tabular clinical data</w:t>
      </w:r>
      <w:r w:rsidRPr="006208DC">
        <w:rPr>
          <w:szCs w:val="32"/>
        </w:rPr>
        <w:t xml:space="preserve"> into a patient-similarity graph is </w:t>
      </w:r>
      <w:r w:rsidR="008E04E7" w:rsidRPr="006208DC">
        <w:rPr>
          <w:szCs w:val="32"/>
        </w:rPr>
        <w:t>not merely</w:t>
      </w:r>
      <w:r w:rsidR="008E04E7">
        <w:rPr>
          <w:szCs w:val="32"/>
        </w:rPr>
        <w:t xml:space="preserve"> a</w:t>
      </w:r>
      <w:r w:rsidRPr="006208DC">
        <w:rPr>
          <w:szCs w:val="32"/>
        </w:rPr>
        <w:t xml:space="preserve"> preprocessing step but the foundational operation that enables graph neural networks to be applied in the first place. Decisions </w:t>
      </w:r>
      <w:r w:rsidR="008E04E7">
        <w:rPr>
          <w:szCs w:val="32"/>
        </w:rPr>
        <w:t>regarding</w:t>
      </w:r>
      <w:r w:rsidRPr="006208DC">
        <w:rPr>
          <w:szCs w:val="32"/>
        </w:rPr>
        <w:t xml:space="preserve"> similarity measurement, </w:t>
      </w:r>
      <w:r w:rsidR="008E04E7" w:rsidRPr="006208DC">
        <w:rPr>
          <w:szCs w:val="32"/>
        </w:rPr>
        <w:t>neighborhood</w:t>
      </w:r>
      <w:r w:rsidRPr="006208DC">
        <w:rPr>
          <w:szCs w:val="32"/>
        </w:rPr>
        <w:t xml:space="preserve"> formation, and graph </w:t>
      </w:r>
      <w:r w:rsidR="008E04E7" w:rsidRPr="006208DC">
        <w:rPr>
          <w:szCs w:val="32"/>
        </w:rPr>
        <w:t>connectivity assume</w:t>
      </w:r>
      <w:r w:rsidRPr="006208DC">
        <w:rPr>
          <w:szCs w:val="32"/>
        </w:rPr>
        <w:t xml:space="preserve"> </w:t>
      </w:r>
      <w:r w:rsidR="008E04E7">
        <w:rPr>
          <w:szCs w:val="32"/>
        </w:rPr>
        <w:t xml:space="preserve">critical </w:t>
      </w:r>
      <w:r w:rsidRPr="006208DC">
        <w:rPr>
          <w:szCs w:val="32"/>
        </w:rPr>
        <w:t>methodological importance because they directly determine the relational information available for message passing.</w:t>
      </w:r>
      <w:r w:rsidR="008E04E7">
        <w:rPr>
          <w:szCs w:val="32"/>
        </w:rPr>
        <w:t xml:space="preserve"> An</w:t>
      </w:r>
      <w:r w:rsidRPr="006208DC">
        <w:rPr>
          <w:szCs w:val="32"/>
        </w:rPr>
        <w:t xml:space="preserve"> </w:t>
      </w:r>
      <w:r w:rsidR="008E04E7">
        <w:rPr>
          <w:szCs w:val="32"/>
        </w:rPr>
        <w:t>e</w:t>
      </w:r>
      <w:r w:rsidRPr="006208DC">
        <w:rPr>
          <w:szCs w:val="32"/>
        </w:rPr>
        <w:t xml:space="preserve">qually important </w:t>
      </w:r>
      <w:r w:rsidR="00295C86">
        <w:rPr>
          <w:szCs w:val="32"/>
        </w:rPr>
        <w:t xml:space="preserve">consideration concerns the timing of graph construction within the experimental </w:t>
      </w:r>
      <w:r w:rsidR="005E3777">
        <w:rPr>
          <w:szCs w:val="32"/>
        </w:rPr>
        <w:t>pipeline</w:t>
      </w:r>
      <w:r w:rsidRPr="006208DC">
        <w:rPr>
          <w:szCs w:val="32"/>
        </w:rPr>
        <w:t>. Failure to do so risks introducing information leakage between training and evaluation partitions, potentially leading to overly optimistic performance estimates and undermining the validity of experimental conclusions.</w:t>
      </w:r>
      <w:r>
        <w:rPr>
          <w:szCs w:val="32"/>
        </w:rPr>
        <w:t xml:space="preserve"> </w:t>
      </w:r>
      <w:r w:rsidRPr="006208DC">
        <w:rPr>
          <w:szCs w:val="32"/>
        </w:rPr>
        <w:t xml:space="preserve">A second implication </w:t>
      </w:r>
      <w:r w:rsidR="00D641B2">
        <w:rPr>
          <w:szCs w:val="32"/>
        </w:rPr>
        <w:t xml:space="preserve">emerges </w:t>
      </w:r>
      <w:r w:rsidRPr="006208DC">
        <w:rPr>
          <w:szCs w:val="32"/>
        </w:rPr>
        <w:t xml:space="preserve">from the broader tabular-learning literature. If graph neural networks are to </w:t>
      </w:r>
      <w:r w:rsidR="00D641B2">
        <w:rPr>
          <w:szCs w:val="32"/>
        </w:rPr>
        <w:t>demonstrate</w:t>
      </w:r>
      <w:r w:rsidRPr="006208DC">
        <w:rPr>
          <w:szCs w:val="32"/>
        </w:rPr>
        <w:t xml:space="preserve"> meaningful </w:t>
      </w:r>
      <w:r w:rsidR="00D641B2">
        <w:rPr>
          <w:szCs w:val="32"/>
        </w:rPr>
        <w:t>advantages</w:t>
      </w:r>
      <w:r w:rsidRPr="006208DC">
        <w:rPr>
          <w:szCs w:val="32"/>
        </w:rPr>
        <w:t xml:space="preserve"> in this </w:t>
      </w:r>
      <w:r w:rsidR="00D641B2">
        <w:rPr>
          <w:szCs w:val="32"/>
        </w:rPr>
        <w:t>domain</w:t>
      </w:r>
      <w:r w:rsidRPr="006208DC">
        <w:rPr>
          <w:szCs w:val="32"/>
        </w:rPr>
        <w:t xml:space="preserve">, their performance </w:t>
      </w:r>
      <w:r w:rsidR="00D641B2">
        <w:rPr>
          <w:szCs w:val="32"/>
        </w:rPr>
        <w:t>should be evaluated against</w:t>
      </w:r>
      <w:r w:rsidRPr="006208DC">
        <w:rPr>
          <w:szCs w:val="32"/>
        </w:rPr>
        <w:t xml:space="preserve"> the strongest</w:t>
      </w:r>
      <w:r w:rsidR="00D641B2">
        <w:rPr>
          <w:szCs w:val="32"/>
        </w:rPr>
        <w:t xml:space="preserve"> established baselines</w:t>
      </w:r>
      <w:r w:rsidRPr="006208DC">
        <w:rPr>
          <w:szCs w:val="32"/>
        </w:rPr>
        <w:t xml:space="preserve"> rather than</w:t>
      </w:r>
      <w:r w:rsidR="005E3777">
        <w:rPr>
          <w:szCs w:val="32"/>
        </w:rPr>
        <w:t xml:space="preserve"> </w:t>
      </w:r>
      <w:r w:rsidRPr="006208DC">
        <w:rPr>
          <w:szCs w:val="32"/>
        </w:rPr>
        <w:t xml:space="preserve">comparatively weak neural </w:t>
      </w:r>
      <w:r w:rsidR="005E3777">
        <w:rPr>
          <w:szCs w:val="32"/>
        </w:rPr>
        <w:t>architectures</w:t>
      </w:r>
      <w:r w:rsidRPr="006208DC">
        <w:rPr>
          <w:szCs w:val="32"/>
        </w:rPr>
        <w:t xml:space="preserve">. Given the </w:t>
      </w:r>
      <w:r w:rsidR="005E3777">
        <w:rPr>
          <w:szCs w:val="32"/>
        </w:rPr>
        <w:t>strong performance</w:t>
      </w:r>
      <w:r w:rsidRPr="006208DC">
        <w:rPr>
          <w:szCs w:val="32"/>
        </w:rPr>
        <w:t xml:space="preserve"> of Random Forest and gradient-boosted tree methods across a wide range of tabular problems, any claimed advantage of graph-based learning must be </w:t>
      </w:r>
      <w:r w:rsidR="005E3777">
        <w:rPr>
          <w:szCs w:val="32"/>
        </w:rPr>
        <w:t>substantiated</w:t>
      </w:r>
      <w:r w:rsidRPr="006208DC">
        <w:rPr>
          <w:szCs w:val="32"/>
        </w:rPr>
        <w:t xml:space="preserve"> through rigorous comparison with these models. </w:t>
      </w:r>
      <w:r w:rsidR="005E3777" w:rsidRPr="005E3777">
        <w:rPr>
          <w:szCs w:val="32"/>
        </w:rPr>
        <w:t>Such comparisons provide a more reliable basis for determining whether explicitly modelling relational structures among samples yields predictive information beyond that captured by conventional tabular approaches.</w:t>
      </w:r>
    </w:p>
    <w:p w14:paraId="4B28E345" w14:textId="77777777" w:rsidR="006208DC" w:rsidRPr="006208DC" w:rsidRDefault="006208DC" w:rsidP="001610D2">
      <w:pPr>
        <w:jc w:val="both"/>
        <w:rPr>
          <w:szCs w:val="32"/>
        </w:rPr>
      </w:pPr>
    </w:p>
    <w:p w14:paraId="5BEFBD91" w14:textId="17484203" w:rsidR="00AE1A34" w:rsidRDefault="00AE1A34" w:rsidP="001610D2">
      <w:pPr>
        <w:jc w:val="both"/>
        <w:rPr>
          <w:b/>
          <w:bCs/>
          <w:sz w:val="18"/>
          <w:szCs w:val="22"/>
        </w:rPr>
      </w:pPr>
      <w:r w:rsidRPr="00AE1A34">
        <w:rPr>
          <w:b/>
          <w:bCs/>
          <w:sz w:val="18"/>
          <w:szCs w:val="22"/>
        </w:rPr>
        <w:t>Graph neural networks on patient-similarity and clinical graphs</w:t>
      </w:r>
    </w:p>
    <w:p w14:paraId="28BF905B" w14:textId="7C667BF5" w:rsidR="006208DC" w:rsidRPr="006208DC" w:rsidRDefault="006208DC" w:rsidP="006208DC">
      <w:pPr>
        <w:jc w:val="both"/>
        <w:rPr>
          <w:szCs w:val="32"/>
        </w:rPr>
      </w:pPr>
      <w:r w:rsidRPr="006208DC">
        <w:rPr>
          <w:szCs w:val="32"/>
        </w:rPr>
        <w:t xml:space="preserve">In contrast to the dominant supervised-learning </w:t>
      </w:r>
      <w:r w:rsidR="00523730">
        <w:rPr>
          <w:szCs w:val="32"/>
        </w:rPr>
        <w:t>paradigm</w:t>
      </w:r>
      <w:r w:rsidRPr="006208DC">
        <w:rPr>
          <w:szCs w:val="32"/>
        </w:rPr>
        <w:t xml:space="preserve">, an increasingly influential body of research </w:t>
      </w:r>
      <w:r w:rsidR="00523730" w:rsidRPr="006208DC">
        <w:rPr>
          <w:szCs w:val="32"/>
        </w:rPr>
        <w:t>conceptualizes</w:t>
      </w:r>
      <w:r w:rsidRPr="006208DC">
        <w:rPr>
          <w:szCs w:val="32"/>
        </w:rPr>
        <w:t xml:space="preserve"> patients not as </w:t>
      </w:r>
      <w:r w:rsidR="00523730">
        <w:rPr>
          <w:szCs w:val="32"/>
        </w:rPr>
        <w:t>independent</w:t>
      </w:r>
      <w:r w:rsidRPr="006208DC">
        <w:rPr>
          <w:szCs w:val="32"/>
        </w:rPr>
        <w:t xml:space="preserve"> observations but as interconnected entities within a graph structure. Under this paradigm, relationships among individuals become an explicit component of the learning process, allowing information to propagate across clinically similar patients rather than </w:t>
      </w:r>
      <w:r w:rsidR="001B538F">
        <w:rPr>
          <w:szCs w:val="32"/>
        </w:rPr>
        <w:t>remaining</w:t>
      </w:r>
      <w:r w:rsidRPr="006208DC">
        <w:rPr>
          <w:szCs w:val="32"/>
        </w:rPr>
        <w:t xml:space="preserve"> confined to i</w:t>
      </w:r>
      <w:r w:rsidR="001B538F">
        <w:rPr>
          <w:szCs w:val="32"/>
        </w:rPr>
        <w:t>solated</w:t>
      </w:r>
      <w:r w:rsidRPr="006208DC">
        <w:rPr>
          <w:szCs w:val="32"/>
        </w:rPr>
        <w:t xml:space="preserve"> feature vectors. The growing prominence of this approach within healthcare analytics is documented by Oss Boll</w:t>
      </w:r>
      <w:r w:rsidR="001B538F">
        <w:rPr>
          <w:szCs w:val="32"/>
        </w:rPr>
        <w:t xml:space="preserve"> et al.</w:t>
      </w:r>
      <w:r w:rsidRPr="006208DC">
        <w:rPr>
          <w:szCs w:val="32"/>
        </w:rPr>
        <w:t xml:space="preserve"> [40], </w:t>
      </w:r>
      <w:r w:rsidR="001B538F">
        <w:rPr>
          <w:szCs w:val="32"/>
        </w:rPr>
        <w:t>which examined</w:t>
      </w:r>
      <w:r w:rsidRPr="006208DC">
        <w:rPr>
          <w:szCs w:val="32"/>
        </w:rPr>
        <w:t xml:space="preserve"> fifty studies published between 2009 and 2023 identifies patient-similarity networks as one of the most widely adopted graph-construction strategies in clinical prediction</w:t>
      </w:r>
      <w:r w:rsidR="001B538F">
        <w:rPr>
          <w:szCs w:val="32"/>
        </w:rPr>
        <w:t xml:space="preserve">, most commonly relying on </w:t>
      </w:r>
      <w:r w:rsidRPr="006208DC">
        <w:rPr>
          <w:szCs w:val="32"/>
        </w:rPr>
        <w:t>k-nearest-</w:t>
      </w:r>
      <w:r w:rsidR="001B538F" w:rsidRPr="006208DC">
        <w:rPr>
          <w:szCs w:val="32"/>
        </w:rPr>
        <w:t>neighbor</w:t>
      </w:r>
      <w:r w:rsidRPr="006208DC">
        <w:rPr>
          <w:szCs w:val="32"/>
        </w:rPr>
        <w:t xml:space="preserve"> </w:t>
      </w:r>
      <w:r w:rsidR="001B538F">
        <w:rPr>
          <w:szCs w:val="32"/>
        </w:rPr>
        <w:t xml:space="preserve">graphs </w:t>
      </w:r>
      <w:r w:rsidR="001B538F">
        <w:rPr>
          <w:szCs w:val="32"/>
        </w:rPr>
        <w:lastRenderedPageBreak/>
        <w:t xml:space="preserve">derived </w:t>
      </w:r>
      <w:r w:rsidR="00F135DB">
        <w:rPr>
          <w:szCs w:val="32"/>
        </w:rPr>
        <w:t xml:space="preserve">from </w:t>
      </w:r>
      <w:r w:rsidR="00F135DB" w:rsidRPr="006208DC">
        <w:rPr>
          <w:szCs w:val="32"/>
        </w:rPr>
        <w:t>patient</w:t>
      </w:r>
      <w:r w:rsidRPr="006208DC">
        <w:rPr>
          <w:szCs w:val="32"/>
        </w:rPr>
        <w:t xml:space="preserve"> embeddings</w:t>
      </w:r>
      <w:r w:rsidR="00F135DB">
        <w:rPr>
          <w:szCs w:val="32"/>
        </w:rPr>
        <w:t xml:space="preserve">. </w:t>
      </w:r>
      <w:r w:rsidRPr="006208DC">
        <w:rPr>
          <w:szCs w:val="32"/>
        </w:rPr>
        <w:t xml:space="preserve"> </w:t>
      </w:r>
      <w:r w:rsidR="00F135DB">
        <w:rPr>
          <w:szCs w:val="32"/>
        </w:rPr>
        <w:t>Across these studies,</w:t>
      </w:r>
      <w:r w:rsidRPr="006208DC">
        <w:rPr>
          <w:szCs w:val="32"/>
        </w:rPr>
        <w:t xml:space="preserve"> graph convolutional and graph attention </w:t>
      </w:r>
      <w:r w:rsidR="00F135DB">
        <w:rPr>
          <w:szCs w:val="32"/>
        </w:rPr>
        <w:t xml:space="preserve">networks </w:t>
      </w:r>
      <w:r w:rsidRPr="006208DC">
        <w:rPr>
          <w:szCs w:val="32"/>
        </w:rPr>
        <w:t xml:space="preserve">emerge as the most frequently used learning </w:t>
      </w:r>
      <w:r w:rsidR="00F135DB">
        <w:rPr>
          <w:szCs w:val="32"/>
        </w:rPr>
        <w:t>architecture</w:t>
      </w:r>
      <w:r w:rsidR="00CE0038">
        <w:rPr>
          <w:szCs w:val="32"/>
        </w:rPr>
        <w:t xml:space="preserve">, while </w:t>
      </w:r>
      <w:r w:rsidRPr="006208DC">
        <w:rPr>
          <w:szCs w:val="32"/>
        </w:rPr>
        <w:t xml:space="preserve">diagnostic prediction represents the most </w:t>
      </w:r>
      <w:r w:rsidR="00CE0038">
        <w:rPr>
          <w:szCs w:val="32"/>
        </w:rPr>
        <w:t>extensive</w:t>
      </w:r>
      <w:r w:rsidR="00520461">
        <w:rPr>
          <w:szCs w:val="32"/>
        </w:rPr>
        <w:t>ly investigated</w:t>
      </w:r>
      <w:r w:rsidRPr="006208DC">
        <w:rPr>
          <w:szCs w:val="32"/>
        </w:rPr>
        <w:t xml:space="preserve"> application</w:t>
      </w:r>
      <w:r w:rsidR="00CE0038">
        <w:rPr>
          <w:szCs w:val="32"/>
        </w:rPr>
        <w:t xml:space="preserve">. </w:t>
      </w:r>
      <w:r w:rsidR="00CE0038" w:rsidRPr="00CE0038">
        <w:rPr>
          <w:szCs w:val="32"/>
        </w:rPr>
        <w:t>Together, these findings demonstrate that graph-based modelling has become an increasingly established framework for clinical prediction rather than an isolated methodological direction.</w:t>
      </w:r>
    </w:p>
    <w:p w14:paraId="5811B272" w14:textId="749448AC" w:rsidR="006208DC" w:rsidRPr="006208DC" w:rsidRDefault="006208DC" w:rsidP="006208DC">
      <w:pPr>
        <w:jc w:val="both"/>
        <w:rPr>
          <w:szCs w:val="32"/>
        </w:rPr>
      </w:pPr>
      <w:r w:rsidRPr="006208DC">
        <w:rPr>
          <w:szCs w:val="32"/>
        </w:rPr>
        <w:t xml:space="preserve">Among the studies </w:t>
      </w:r>
      <w:r w:rsidR="00CD2B77">
        <w:rPr>
          <w:szCs w:val="32"/>
        </w:rPr>
        <w:t xml:space="preserve">adopting a </w:t>
      </w:r>
      <w:r w:rsidRPr="006208DC">
        <w:rPr>
          <w:szCs w:val="32"/>
        </w:rPr>
        <w:t xml:space="preserve">closely </w:t>
      </w:r>
      <w:r w:rsidR="00CD2B77">
        <w:rPr>
          <w:szCs w:val="32"/>
        </w:rPr>
        <w:t>related</w:t>
      </w:r>
      <w:r w:rsidRPr="006208DC">
        <w:rPr>
          <w:szCs w:val="32"/>
        </w:rPr>
        <w:t xml:space="preserve"> </w:t>
      </w:r>
      <w:r w:rsidR="00CD2B77">
        <w:rPr>
          <w:szCs w:val="32"/>
        </w:rPr>
        <w:t>graph-based framework</w:t>
      </w:r>
      <w:r w:rsidRPr="006208DC">
        <w:rPr>
          <w:szCs w:val="32"/>
        </w:rPr>
        <w:t xml:space="preserve"> Uddin [41], constructed a weighted patient-similarity network and </w:t>
      </w:r>
      <w:r w:rsidR="009A1882">
        <w:rPr>
          <w:szCs w:val="32"/>
        </w:rPr>
        <w:t>integrated</w:t>
      </w:r>
      <w:r w:rsidRPr="006208DC">
        <w:rPr>
          <w:szCs w:val="32"/>
        </w:rPr>
        <w:t xml:space="preserve"> it with an attention-based graph neural network for chronic disease prediction. </w:t>
      </w:r>
      <w:r w:rsidR="009A1882" w:rsidRPr="009A1882">
        <w:rPr>
          <w:szCs w:val="32"/>
        </w:rPr>
        <w:t>Their approach achieved superior predictive performance compared with several established machine-learning methods, including Random Forest, support vector machines, naïve Bayes, logistic regression, and k-nearest-neighbor classifiers</w:t>
      </w:r>
      <w:r w:rsidRPr="006208DC">
        <w:rPr>
          <w:szCs w:val="32"/>
        </w:rPr>
        <w:t xml:space="preserve">. Importantly, the evaluation also included comparisons </w:t>
      </w:r>
      <w:r w:rsidR="009A1882">
        <w:rPr>
          <w:szCs w:val="32"/>
        </w:rPr>
        <w:t>with</w:t>
      </w:r>
      <w:r w:rsidRPr="006208DC">
        <w:rPr>
          <w:szCs w:val="32"/>
        </w:rPr>
        <w:t xml:space="preserve"> alternative graph</w:t>
      </w:r>
      <w:r w:rsidR="009A1882">
        <w:rPr>
          <w:szCs w:val="32"/>
        </w:rPr>
        <w:t xml:space="preserve"> neural network</w:t>
      </w:r>
      <w:r w:rsidRPr="006208DC">
        <w:rPr>
          <w:szCs w:val="32"/>
        </w:rPr>
        <w:t xml:space="preserve"> architectures</w:t>
      </w:r>
      <w:r w:rsidR="009A1882">
        <w:rPr>
          <w:szCs w:val="32"/>
        </w:rPr>
        <w:t>, including</w:t>
      </w:r>
      <w:r w:rsidRPr="006208DC">
        <w:rPr>
          <w:szCs w:val="32"/>
        </w:rPr>
        <w:t xml:space="preserve"> GCN, GAT, and GIN, situating the proposed model within the broader graph-learning landscape rather than </w:t>
      </w:r>
      <w:r w:rsidR="00190BBC">
        <w:rPr>
          <w:szCs w:val="32"/>
        </w:rPr>
        <w:t>limiting its evaluation to conventional tabular baselines</w:t>
      </w:r>
    </w:p>
    <w:p w14:paraId="39F7B2E1" w14:textId="62247E5B" w:rsidR="006208DC" w:rsidRPr="006208DC" w:rsidRDefault="006208DC" w:rsidP="006208DC">
      <w:pPr>
        <w:jc w:val="both"/>
        <w:rPr>
          <w:szCs w:val="32"/>
        </w:rPr>
      </w:pPr>
      <w:r w:rsidRPr="006208DC">
        <w:rPr>
          <w:szCs w:val="32"/>
        </w:rPr>
        <w:t xml:space="preserve">An even closer methodological parallel is provided by the heart-failure prediction framework developed by Oss Boll [42]. In that study, electronic health record data were transformed into a patient-similarity graph </w:t>
      </w:r>
      <w:r w:rsidR="00ED418C">
        <w:rPr>
          <w:szCs w:val="32"/>
        </w:rPr>
        <w:t>using</w:t>
      </w:r>
      <w:r w:rsidRPr="006208DC">
        <w:rPr>
          <w:szCs w:val="32"/>
        </w:rPr>
        <w:t xml:space="preserve"> k-nearest-</w:t>
      </w:r>
      <w:r w:rsidR="00A72C31" w:rsidRPr="006208DC">
        <w:rPr>
          <w:szCs w:val="32"/>
        </w:rPr>
        <w:t>neighbor</w:t>
      </w:r>
      <w:r w:rsidRPr="006208DC">
        <w:rPr>
          <w:szCs w:val="32"/>
        </w:rPr>
        <w:t xml:space="preserve"> connections derived from learned patient embeddings, after which GraphSAGE and graph-attention networks were applied to the resulting structure. The findings are particularly instructive because they challenge the assumption that graph-based models necessarily outperform conventional tabular </w:t>
      </w:r>
      <w:r w:rsidR="00A72C31">
        <w:rPr>
          <w:szCs w:val="32"/>
        </w:rPr>
        <w:t>approaches</w:t>
      </w:r>
      <w:r w:rsidRPr="006208DC">
        <w:rPr>
          <w:szCs w:val="32"/>
        </w:rPr>
        <w:t xml:space="preserve">. Although the strongest graph model achieved performance comparable to a high-performing Random Forest baseline </w:t>
      </w:r>
      <w:r w:rsidR="00A72C31">
        <w:rPr>
          <w:szCs w:val="32"/>
        </w:rPr>
        <w:t xml:space="preserve">in terms of </w:t>
      </w:r>
      <w:r w:rsidR="00A72C31" w:rsidRPr="006208DC">
        <w:rPr>
          <w:szCs w:val="32"/>
        </w:rPr>
        <w:t>the</w:t>
      </w:r>
      <w:r w:rsidRPr="006208DC">
        <w:rPr>
          <w:szCs w:val="32"/>
        </w:rPr>
        <w:t xml:space="preserve"> area under the precision-recall curve, it did not </w:t>
      </w:r>
      <w:r w:rsidR="006E502E">
        <w:rPr>
          <w:szCs w:val="32"/>
        </w:rPr>
        <w:t>demonstrate</w:t>
      </w:r>
      <w:r w:rsidRPr="006208DC">
        <w:rPr>
          <w:szCs w:val="32"/>
        </w:rPr>
        <w:t xml:space="preserve"> a </w:t>
      </w:r>
      <w:r w:rsidR="006E502E">
        <w:rPr>
          <w:szCs w:val="32"/>
        </w:rPr>
        <w:t>clear</w:t>
      </w:r>
      <w:r w:rsidRPr="006208DC">
        <w:rPr>
          <w:szCs w:val="32"/>
        </w:rPr>
        <w:t xml:space="preserve"> predictive advantage. Its primary contribution instead lay in the relational transparency afforded by the graph representation, which enabled </w:t>
      </w:r>
      <w:r w:rsidR="006E502E">
        <w:rPr>
          <w:szCs w:val="32"/>
        </w:rPr>
        <w:t xml:space="preserve">direct </w:t>
      </w:r>
      <w:r w:rsidRPr="006208DC">
        <w:rPr>
          <w:szCs w:val="32"/>
        </w:rPr>
        <w:t xml:space="preserve">inspection of the patient relationships and attention mechanisms influencing individual predictions. This observation </w:t>
      </w:r>
      <w:r w:rsidR="006E502E">
        <w:rPr>
          <w:szCs w:val="32"/>
        </w:rPr>
        <w:t>is consistent</w:t>
      </w:r>
      <w:r w:rsidRPr="006208DC">
        <w:rPr>
          <w:szCs w:val="32"/>
        </w:rPr>
        <w:t xml:space="preserve"> with broader evidence from the tabular-learning literature suggesting </w:t>
      </w:r>
      <w:r w:rsidR="006E502E" w:rsidRPr="006208DC">
        <w:rPr>
          <w:szCs w:val="32"/>
        </w:rPr>
        <w:t>that</w:t>
      </w:r>
      <w:r w:rsidRPr="006208DC">
        <w:rPr>
          <w:szCs w:val="32"/>
        </w:rPr>
        <w:t xml:space="preserve"> strong tree-based ensemble</w:t>
      </w:r>
      <w:r w:rsidR="006E502E">
        <w:rPr>
          <w:szCs w:val="32"/>
        </w:rPr>
        <w:t xml:space="preserve"> methods</w:t>
      </w:r>
      <w:r w:rsidRPr="006208DC">
        <w:rPr>
          <w:szCs w:val="32"/>
        </w:rPr>
        <w:t xml:space="preserve"> remain difficult to surpass in many structured-data settings [39]. Consequently, the </w:t>
      </w:r>
      <w:r w:rsidR="006E502E">
        <w:rPr>
          <w:szCs w:val="32"/>
        </w:rPr>
        <w:t>value of</w:t>
      </w:r>
      <w:r w:rsidRPr="006208DC">
        <w:rPr>
          <w:szCs w:val="32"/>
        </w:rPr>
        <w:t xml:space="preserve"> patient-graph modelling may extend beyond the pursuit of marginal predictive gains and include the ability to reveal relational patterns that conventional feature-vector representations leave implicit.</w:t>
      </w:r>
    </w:p>
    <w:p w14:paraId="6E96380E" w14:textId="6826DE58" w:rsidR="006208DC" w:rsidRPr="006208DC" w:rsidRDefault="006208DC" w:rsidP="006208DC">
      <w:pPr>
        <w:jc w:val="both"/>
        <w:rPr>
          <w:szCs w:val="32"/>
        </w:rPr>
      </w:pPr>
      <w:r w:rsidRPr="006208DC">
        <w:rPr>
          <w:szCs w:val="32"/>
        </w:rPr>
        <w:t>The applicability of this paradigm across diverse clinical domains further strengthens the case for its exploration in PCOS prediction. Using electronic health records, Abuhantash</w:t>
      </w:r>
      <w:r w:rsidR="000E674A">
        <w:rPr>
          <w:szCs w:val="32"/>
        </w:rPr>
        <w:t xml:space="preserve"> el al.</w:t>
      </w:r>
      <w:r w:rsidRPr="006208DC">
        <w:rPr>
          <w:szCs w:val="32"/>
        </w:rPr>
        <w:t xml:space="preserve"> [43] constructed a comorbidity graph and applied a Chebyshev graph-convolutional network </w:t>
      </w:r>
      <w:r w:rsidR="000E674A">
        <w:rPr>
          <w:szCs w:val="32"/>
        </w:rPr>
        <w:t>for</w:t>
      </w:r>
      <w:r w:rsidRPr="006208DC">
        <w:rPr>
          <w:szCs w:val="32"/>
        </w:rPr>
        <w:t xml:space="preserve"> Alzheimer's disease classification, </w:t>
      </w:r>
      <w:r w:rsidR="000E674A">
        <w:rPr>
          <w:szCs w:val="32"/>
        </w:rPr>
        <w:t xml:space="preserve">achieving </w:t>
      </w:r>
      <w:r w:rsidRPr="006208DC">
        <w:rPr>
          <w:szCs w:val="32"/>
        </w:rPr>
        <w:t>multi-class accuracies approaching 0.98</w:t>
      </w:r>
      <w:r w:rsidR="000E674A">
        <w:rPr>
          <w:szCs w:val="32"/>
        </w:rPr>
        <w:t xml:space="preserve"> while </w:t>
      </w:r>
      <w:r w:rsidRPr="006208DC">
        <w:rPr>
          <w:szCs w:val="32"/>
        </w:rPr>
        <w:t xml:space="preserve">demonstrating successful validation on an external cohort. These findings suggest that graph neural networks can operate effectively on relational structures inferred </w:t>
      </w:r>
      <w:r w:rsidR="000E674A" w:rsidRPr="006208DC">
        <w:rPr>
          <w:szCs w:val="32"/>
        </w:rPr>
        <w:t>from</w:t>
      </w:r>
      <w:r w:rsidRPr="006208DC">
        <w:rPr>
          <w:szCs w:val="32"/>
        </w:rPr>
        <w:t xml:space="preserve"> clinical data rather than requiring inherently graph-based inputs. Evidence from other biomedical modalities points in a similar direction. Li</w:t>
      </w:r>
      <w:r w:rsidR="000E674A">
        <w:rPr>
          <w:szCs w:val="32"/>
        </w:rPr>
        <w:t xml:space="preserve"> et al.</w:t>
      </w:r>
      <w:r w:rsidRPr="006208DC">
        <w:rPr>
          <w:szCs w:val="32"/>
        </w:rPr>
        <w:t xml:space="preserve"> [44] developed a functional graph discriminative network for autism spectrum disorder classification using resting-state functional connectivity data. Beyond achieving effective discrimination between patient and control groups, the model demonstrated inter-site </w:t>
      </w:r>
      <w:r w:rsidR="00C01095" w:rsidRPr="006208DC">
        <w:rPr>
          <w:szCs w:val="32"/>
        </w:rPr>
        <w:t>generalization</w:t>
      </w:r>
      <w:r w:rsidRPr="006208DC">
        <w:rPr>
          <w:szCs w:val="32"/>
        </w:rPr>
        <w:t xml:space="preserve"> and identified clinically meaningful brain regions associated with classification performance.</w:t>
      </w:r>
    </w:p>
    <w:p w14:paraId="13F15485" w14:textId="302497D8" w:rsidR="006208DC" w:rsidRPr="006208DC" w:rsidRDefault="006208DC" w:rsidP="006208DC">
      <w:pPr>
        <w:jc w:val="both"/>
        <w:rPr>
          <w:szCs w:val="32"/>
        </w:rPr>
      </w:pPr>
      <w:r w:rsidRPr="006208DC">
        <w:rPr>
          <w:szCs w:val="32"/>
        </w:rPr>
        <w:t xml:space="preserve">Taken together, these studies </w:t>
      </w:r>
      <w:r w:rsidR="00C01095">
        <w:rPr>
          <w:szCs w:val="32"/>
        </w:rPr>
        <w:t xml:space="preserve">demonstrate </w:t>
      </w:r>
      <w:r w:rsidRPr="006208DC">
        <w:rPr>
          <w:szCs w:val="32"/>
        </w:rPr>
        <w:t xml:space="preserve">that graph-based learning </w:t>
      </w:r>
      <w:r w:rsidR="00C01095">
        <w:rPr>
          <w:szCs w:val="32"/>
        </w:rPr>
        <w:t xml:space="preserve">provides </w:t>
      </w:r>
      <w:r w:rsidRPr="006208DC">
        <w:rPr>
          <w:szCs w:val="32"/>
        </w:rPr>
        <w:t xml:space="preserve">a flexible framework capable of accommodating a wide range of clinical data sources and prediction tasks. While reported performance gains vary across domains and are not uniformly superior to those achieved by strong conventional baselines, a consistent theme emerges from </w:t>
      </w:r>
      <w:r w:rsidR="00334259" w:rsidRPr="006208DC">
        <w:rPr>
          <w:szCs w:val="32"/>
        </w:rPr>
        <w:t>literature</w:t>
      </w:r>
      <w:r w:rsidRPr="006208DC">
        <w:rPr>
          <w:szCs w:val="32"/>
        </w:rPr>
        <w:t xml:space="preserve">. Explicitly modelling relationships </w:t>
      </w:r>
      <w:r w:rsidRPr="006208DC">
        <w:rPr>
          <w:szCs w:val="32"/>
        </w:rPr>
        <w:lastRenderedPageBreak/>
        <w:t xml:space="preserve">among patients, or among the constituent elements of patient data, appears to provide access to information that is obscured when observations are treated independently. At the same time, graph-based approaches frequently offer a degree of relational interpretability that </w:t>
      </w:r>
      <w:r w:rsidR="00C01095" w:rsidRPr="006208DC">
        <w:rPr>
          <w:szCs w:val="32"/>
        </w:rPr>
        <w:t>complement</w:t>
      </w:r>
      <w:r w:rsidRPr="006208DC">
        <w:rPr>
          <w:szCs w:val="32"/>
        </w:rPr>
        <w:t xml:space="preserve"> predictive performance. It is this combination of structural representation and explanatory potential, rather than an assumption of universal accuracy gains, that motivates the graph-learning framework adopted in the present thesis.</w:t>
      </w:r>
    </w:p>
    <w:p w14:paraId="4B70B614" w14:textId="77777777" w:rsidR="006208DC" w:rsidRPr="006208DC" w:rsidRDefault="006208DC" w:rsidP="001610D2">
      <w:pPr>
        <w:jc w:val="both"/>
        <w:rPr>
          <w:szCs w:val="32"/>
        </w:rPr>
      </w:pPr>
    </w:p>
    <w:p w14:paraId="7213CC70" w14:textId="7C96E8A2" w:rsidR="00AE1A34" w:rsidRDefault="00AE1A34" w:rsidP="001610D2">
      <w:pPr>
        <w:jc w:val="both"/>
        <w:rPr>
          <w:b/>
          <w:bCs/>
          <w:sz w:val="18"/>
          <w:szCs w:val="22"/>
        </w:rPr>
      </w:pPr>
      <w:r w:rsidRPr="00AE1A34">
        <w:rPr>
          <w:b/>
          <w:bCs/>
          <w:sz w:val="18"/>
          <w:szCs w:val="22"/>
        </w:rPr>
        <w:t>Graph methods in PCOS to date</w:t>
      </w:r>
    </w:p>
    <w:p w14:paraId="5CB934ED" w14:textId="087236FA" w:rsidR="006208DC" w:rsidRPr="006208DC" w:rsidRDefault="006208DC" w:rsidP="00344D9B">
      <w:pPr>
        <w:jc w:val="both"/>
        <w:rPr>
          <w:szCs w:val="32"/>
        </w:rPr>
      </w:pPr>
      <w:r w:rsidRPr="006208DC">
        <w:rPr>
          <w:szCs w:val="32"/>
        </w:rPr>
        <w:t>Although graph-based methodologies have begun to appear within PCOS research, their application has remained largely confined to the molecular domain. Existing studies</w:t>
      </w:r>
      <w:r w:rsidR="004F00EF">
        <w:rPr>
          <w:szCs w:val="32"/>
        </w:rPr>
        <w:t xml:space="preserve"> primarily</w:t>
      </w:r>
      <w:r w:rsidRPr="006208DC">
        <w:rPr>
          <w:szCs w:val="32"/>
        </w:rPr>
        <w:t xml:space="preserve"> employ graphs represent</w:t>
      </w:r>
      <w:r w:rsidR="004F00EF">
        <w:rPr>
          <w:szCs w:val="32"/>
        </w:rPr>
        <w:t xml:space="preserve">ations to model </w:t>
      </w:r>
      <w:r w:rsidRPr="006208DC">
        <w:rPr>
          <w:szCs w:val="32"/>
        </w:rPr>
        <w:t>relationships among biological entities rather than among patients, reflecting a broader bioinformatics tradition in which graph structures are used to investigate mechanisms of disease rather than clinical prediction. Hanassab</w:t>
      </w:r>
      <w:r w:rsidR="00240455">
        <w:rPr>
          <w:szCs w:val="32"/>
        </w:rPr>
        <w:t xml:space="preserve"> et al.</w:t>
      </w:r>
      <w:r w:rsidRPr="006208DC">
        <w:rPr>
          <w:szCs w:val="32"/>
        </w:rPr>
        <w:t xml:space="preserve"> [45</w:t>
      </w:r>
      <w:r w:rsidR="00240455" w:rsidRPr="006208DC">
        <w:rPr>
          <w:szCs w:val="32"/>
        </w:rPr>
        <w:t xml:space="preserve">], </w:t>
      </w:r>
      <w:r w:rsidR="00240455">
        <w:rPr>
          <w:szCs w:val="32"/>
        </w:rPr>
        <w:t>applied</w:t>
      </w:r>
      <w:r w:rsidRPr="006208DC">
        <w:rPr>
          <w:szCs w:val="32"/>
        </w:rPr>
        <w:t xml:space="preserve"> graph representation learning to PCOS therapeutics by propagating information across a multiscale biological interaction network to identify candidate bioactive compounds for nutraceutical target discovery. In this </w:t>
      </w:r>
      <w:r w:rsidR="00240455">
        <w:rPr>
          <w:szCs w:val="32"/>
        </w:rPr>
        <w:t>framework</w:t>
      </w:r>
      <w:r w:rsidRPr="006208DC">
        <w:rPr>
          <w:szCs w:val="32"/>
        </w:rPr>
        <w:t xml:space="preserve">, the graph </w:t>
      </w:r>
      <w:r w:rsidR="00240455">
        <w:rPr>
          <w:szCs w:val="32"/>
        </w:rPr>
        <w:t xml:space="preserve">structures represent </w:t>
      </w:r>
      <w:r w:rsidRPr="006208DC">
        <w:rPr>
          <w:szCs w:val="32"/>
        </w:rPr>
        <w:t>interactions among molecular components, and the primary objective is the prioritization of therapeutic candidates rather than patient-level diagnosis or phenotypic characterization.</w:t>
      </w:r>
      <w:r>
        <w:rPr>
          <w:szCs w:val="32"/>
        </w:rPr>
        <w:t xml:space="preserve"> </w:t>
      </w:r>
      <w:r w:rsidRPr="006208DC">
        <w:rPr>
          <w:szCs w:val="32"/>
        </w:rPr>
        <w:t>A similar</w:t>
      </w:r>
      <w:r w:rsidR="003145C1">
        <w:rPr>
          <w:szCs w:val="32"/>
        </w:rPr>
        <w:t xml:space="preserve"> methodological</w:t>
      </w:r>
      <w:r w:rsidRPr="006208DC">
        <w:rPr>
          <w:szCs w:val="32"/>
        </w:rPr>
        <w:t xml:space="preserve"> perspective can be observed elsewhere in </w:t>
      </w:r>
      <w:r w:rsidR="003145C1" w:rsidRPr="006208DC">
        <w:rPr>
          <w:szCs w:val="32"/>
        </w:rPr>
        <w:t>PCOS</w:t>
      </w:r>
      <w:r w:rsidRPr="006208DC">
        <w:rPr>
          <w:szCs w:val="32"/>
        </w:rPr>
        <w:t xml:space="preserve"> literature. The protein-protein interaction network developed by Senthilkumar [21], comprising 547 interconnected nodes, was designed to identify hub genes associated with differential gene expression. Here again, the graph serves as a representation of molecular relationships, with genes and proteins constituting the units of analysis. </w:t>
      </w:r>
      <w:r w:rsidR="003145C1">
        <w:rPr>
          <w:szCs w:val="32"/>
        </w:rPr>
        <w:t>Although</w:t>
      </w:r>
      <w:r w:rsidRPr="006208DC">
        <w:rPr>
          <w:szCs w:val="32"/>
        </w:rPr>
        <w:t xml:space="preserve"> such approaches have generated valuable biological insights, they operate at a fundamentally different level from clinical prediction models based on patient data. The relational information being exploited concerns interactions within biological systems rather than similarities among individuals affected by the condition.</w:t>
      </w:r>
      <w:r>
        <w:rPr>
          <w:szCs w:val="32"/>
        </w:rPr>
        <w:t xml:space="preserve"> </w:t>
      </w:r>
      <w:r w:rsidR="003145C1" w:rsidRPr="003145C1">
        <w:rPr>
          <w:szCs w:val="32"/>
        </w:rPr>
        <w:t>This distinction highlights an important asymmetry in the evolution of graph-based PCOS research</w:t>
      </w:r>
      <w:r w:rsidRPr="006208DC">
        <w:rPr>
          <w:szCs w:val="32"/>
        </w:rPr>
        <w:t>.</w:t>
      </w:r>
      <w:r w:rsidR="00034A91">
        <w:rPr>
          <w:szCs w:val="32"/>
        </w:rPr>
        <w:t xml:space="preserve"> </w:t>
      </w:r>
      <w:r w:rsidRPr="006208DC">
        <w:rPr>
          <w:szCs w:val="32"/>
        </w:rPr>
        <w:t xml:space="preserve">On the one hand, graph representations have already been accepted as a useful analytical framework for investigating the molecular architecture of the disorder. On the other hand, the patient-similarity paradigm that has gained traction across a range of clinical prediction tasks remains largely absent from PCOS studies. </w:t>
      </w:r>
      <w:r w:rsidR="00034A91" w:rsidRPr="00034A91">
        <w:rPr>
          <w:szCs w:val="32"/>
        </w:rPr>
        <w:t>Consequently, two methodological directions have evolved largely in parallel without substantial integration: graph-based modelling in PCOS research and patient-level graph learning in healthcare analytics</w:t>
      </w:r>
      <w:r w:rsidRPr="006208DC">
        <w:rPr>
          <w:szCs w:val="32"/>
        </w:rPr>
        <w:t>.</w:t>
      </w:r>
      <w:r>
        <w:rPr>
          <w:szCs w:val="32"/>
        </w:rPr>
        <w:t xml:space="preserve"> </w:t>
      </w:r>
      <w:r w:rsidR="00770205">
        <w:rPr>
          <w:szCs w:val="32"/>
        </w:rPr>
        <w:t xml:space="preserve">Based on literature </w:t>
      </w:r>
      <w:r w:rsidR="00EA44CC">
        <w:rPr>
          <w:szCs w:val="32"/>
        </w:rPr>
        <w:t>reviewed</w:t>
      </w:r>
      <w:r w:rsidR="00770205">
        <w:rPr>
          <w:szCs w:val="32"/>
        </w:rPr>
        <w:t>,</w:t>
      </w:r>
      <w:r w:rsidRPr="006208DC">
        <w:rPr>
          <w:szCs w:val="32"/>
        </w:rPr>
        <w:t xml:space="preserve"> no published study has constructed a graph in which </w:t>
      </w:r>
      <w:r w:rsidR="00EA44CC">
        <w:rPr>
          <w:szCs w:val="32"/>
        </w:rPr>
        <w:t xml:space="preserve">individual </w:t>
      </w:r>
      <w:r w:rsidRPr="006208DC">
        <w:rPr>
          <w:szCs w:val="32"/>
        </w:rPr>
        <w:t xml:space="preserve">PCOS </w:t>
      </w:r>
      <w:r w:rsidR="00EA44CC" w:rsidRPr="006208DC">
        <w:rPr>
          <w:szCs w:val="32"/>
        </w:rPr>
        <w:t>patients constitute</w:t>
      </w:r>
      <w:r w:rsidRPr="006208DC">
        <w:rPr>
          <w:szCs w:val="32"/>
        </w:rPr>
        <w:t xml:space="preserve"> the nodes, clinical similarity defines the edges, and graph neural networks are used to perform diagnostic classification or phenotypic stratification. This absence is notable given the growing body of evidence from other clinical domains demonstrating that patient-similarity graphs can provide a </w:t>
      </w:r>
      <w:r w:rsidR="005E40E6">
        <w:rPr>
          <w:szCs w:val="32"/>
        </w:rPr>
        <w:t>valuable</w:t>
      </w:r>
      <w:r w:rsidRPr="006208DC">
        <w:rPr>
          <w:szCs w:val="32"/>
        </w:rPr>
        <w:t xml:space="preserve"> framework for prediction, representation learning, and</w:t>
      </w:r>
      <w:r w:rsidR="00EA44CC">
        <w:rPr>
          <w:szCs w:val="32"/>
        </w:rPr>
        <w:t xml:space="preserve"> model</w:t>
      </w:r>
      <w:r w:rsidRPr="006208DC">
        <w:rPr>
          <w:szCs w:val="32"/>
        </w:rPr>
        <w:t xml:space="preserve"> interpretability. It therefore appears that a potentially important methodological opportunity remains unexplored. The present study is motivated by precisely this gap, seeking to examine whether the relational modelling strategies that have shown promise in adjacent healthcare applications can be successfully transferred to the problem of PCOS detection and exploratory patient stratification using routinely collected clinical data.</w:t>
      </w:r>
    </w:p>
    <w:p w14:paraId="487D8DB1" w14:textId="483043F6" w:rsidR="006208DC" w:rsidRPr="00AE1A34" w:rsidRDefault="006208DC" w:rsidP="001610D2">
      <w:pPr>
        <w:jc w:val="both"/>
        <w:rPr>
          <w:b/>
          <w:bCs/>
          <w:sz w:val="18"/>
          <w:szCs w:val="22"/>
        </w:rPr>
      </w:pPr>
    </w:p>
    <w:p w14:paraId="32E33634" w14:textId="2C8E4EAC" w:rsidR="00AE1A34" w:rsidRPr="00AE1A34" w:rsidRDefault="00AE1A34" w:rsidP="001610D2">
      <w:pPr>
        <w:jc w:val="both"/>
        <w:rPr>
          <w:b/>
          <w:bCs/>
          <w:sz w:val="22"/>
          <w:szCs w:val="22"/>
        </w:rPr>
      </w:pPr>
      <w:r w:rsidRPr="00AE1A34">
        <w:rPr>
          <w:b/>
          <w:bCs/>
        </w:rPr>
        <w:t>Synthesized Gap and Positioning of the Thesis</w:t>
      </w:r>
      <w:r>
        <w:rPr>
          <w:b/>
          <w:bCs/>
        </w:rPr>
        <w:t>:</w:t>
      </w:r>
    </w:p>
    <w:p w14:paraId="77FC24AA" w14:textId="5915C1E5" w:rsidR="006208DC" w:rsidRPr="006208DC" w:rsidRDefault="006208DC" w:rsidP="006208DC">
      <w:pPr>
        <w:jc w:val="both"/>
        <w:rPr>
          <w:szCs w:val="24"/>
        </w:rPr>
      </w:pPr>
      <w:r w:rsidRPr="006208DC">
        <w:rPr>
          <w:szCs w:val="24"/>
        </w:rPr>
        <w:lastRenderedPageBreak/>
        <w:t xml:space="preserve">Taken </w:t>
      </w:r>
      <w:r w:rsidR="005E40E6">
        <w:rPr>
          <w:szCs w:val="24"/>
        </w:rPr>
        <w:t>together</w:t>
      </w:r>
      <w:r w:rsidRPr="006208DC">
        <w:rPr>
          <w:szCs w:val="24"/>
        </w:rPr>
        <w:t xml:space="preserve">, the literature reviewed in this chapter </w:t>
      </w:r>
      <w:r w:rsidR="005E40E6">
        <w:rPr>
          <w:szCs w:val="24"/>
        </w:rPr>
        <w:t>highlights</w:t>
      </w:r>
      <w:r w:rsidRPr="006208DC">
        <w:rPr>
          <w:szCs w:val="24"/>
        </w:rPr>
        <w:t xml:space="preserve"> three interconnected observations that </w:t>
      </w:r>
      <w:r w:rsidR="002C367E">
        <w:rPr>
          <w:szCs w:val="24"/>
        </w:rPr>
        <w:t>provide</w:t>
      </w:r>
      <w:r w:rsidRPr="006208DC">
        <w:rPr>
          <w:szCs w:val="24"/>
        </w:rPr>
        <w:t xml:space="preserve"> the motivation for the present </w:t>
      </w:r>
      <w:r w:rsidR="002C367E">
        <w:rPr>
          <w:szCs w:val="24"/>
        </w:rPr>
        <w:t>study</w:t>
      </w:r>
      <w:r w:rsidRPr="006208DC">
        <w:rPr>
          <w:szCs w:val="24"/>
        </w:rPr>
        <w:t xml:space="preserve">. The first concerns the current state of PCOS detection </w:t>
      </w:r>
      <w:r w:rsidR="002C367E">
        <w:rPr>
          <w:szCs w:val="24"/>
        </w:rPr>
        <w:t xml:space="preserve">using </w:t>
      </w:r>
      <w:r w:rsidRPr="006208DC">
        <w:rPr>
          <w:szCs w:val="24"/>
        </w:rPr>
        <w:t xml:space="preserve">routine clinical data. As discussed in Sections 2.2 and 2.3, supervised machine-learning approaches have reached a considerable </w:t>
      </w:r>
      <w:r w:rsidR="002C367E">
        <w:rPr>
          <w:szCs w:val="24"/>
        </w:rPr>
        <w:t>level</w:t>
      </w:r>
      <w:r w:rsidRPr="006208DC">
        <w:rPr>
          <w:szCs w:val="24"/>
        </w:rPr>
        <w:t xml:space="preserve"> of methodological maturity. Across a wide range of studies, researchers have combined sophisticated feature-selection techniques, ensemble-learning strategies, class-balancing procedures, and increasingly complex neural architectures to achieve strong predictive performance. Despite these methodological differences, a common representational assumption persists. Patients are almost invariably </w:t>
      </w:r>
      <w:r w:rsidR="003D3B74">
        <w:rPr>
          <w:szCs w:val="24"/>
        </w:rPr>
        <w:t xml:space="preserve">represented </w:t>
      </w:r>
      <w:r w:rsidRPr="006208DC">
        <w:rPr>
          <w:szCs w:val="24"/>
        </w:rPr>
        <w:t xml:space="preserve">as independent feature vectors, </w:t>
      </w:r>
      <w:r w:rsidR="003D3B74">
        <w:rPr>
          <w:szCs w:val="24"/>
        </w:rPr>
        <w:t xml:space="preserve">while </w:t>
      </w:r>
      <w:r w:rsidRPr="006208DC">
        <w:rPr>
          <w:szCs w:val="24"/>
        </w:rPr>
        <w:t xml:space="preserve">the possibility that clinically meaningful information may reside in the relationships among patients remains largely unexplored. </w:t>
      </w:r>
      <w:r w:rsidR="003D3B74" w:rsidRPr="003D3B74">
        <w:rPr>
          <w:szCs w:val="24"/>
        </w:rPr>
        <w:t>Consequently, most research has concentrated on improving the modelling of individual observations rather than examining whether the underlying data representation itself constrains further methodological progress</w:t>
      </w:r>
      <w:r w:rsidRPr="006208DC">
        <w:rPr>
          <w:szCs w:val="24"/>
        </w:rPr>
        <w:t>.</w:t>
      </w:r>
      <w:r>
        <w:rPr>
          <w:szCs w:val="24"/>
        </w:rPr>
        <w:t xml:space="preserve"> </w:t>
      </w:r>
      <w:r w:rsidRPr="006208DC">
        <w:rPr>
          <w:szCs w:val="24"/>
        </w:rPr>
        <w:t xml:space="preserve">A second observation emerges from the literature on PCOS heterogeneity and phenotypic stratification. </w:t>
      </w:r>
      <w:r w:rsidR="00B85352" w:rsidRPr="00B85352">
        <w:rPr>
          <w:szCs w:val="24"/>
        </w:rPr>
        <w:t>As discussed in Section 2.5, unsupervised learning has produced several influential subtype frameworks that</w:t>
      </w:r>
      <w:r w:rsidR="00862CF0">
        <w:rPr>
          <w:szCs w:val="24"/>
        </w:rPr>
        <w:t xml:space="preserve"> </w:t>
      </w:r>
      <w:r w:rsidR="00B85352" w:rsidRPr="00B85352">
        <w:rPr>
          <w:szCs w:val="24"/>
        </w:rPr>
        <w:t>have advanced understanding of the syndrome's reproductive and metabolic heterogeneity</w:t>
      </w:r>
      <w:r w:rsidRPr="006208DC">
        <w:rPr>
          <w:szCs w:val="24"/>
        </w:rPr>
        <w:t xml:space="preserve">. At the same time, these taxonomies have generally been derived from biomarker-rich cohorts containing measurements such as direct and adrenal androgens, insulin-related indicators, and sex-hormone-binding globulin concentrations. Such variables are </w:t>
      </w:r>
      <w:r w:rsidR="00A268FE">
        <w:rPr>
          <w:szCs w:val="24"/>
        </w:rPr>
        <w:t>unavailable</w:t>
      </w:r>
      <w:r w:rsidRPr="006208DC">
        <w:rPr>
          <w:szCs w:val="24"/>
        </w:rPr>
        <w:t xml:space="preserve"> from many routine clinical datasets, including the dataset </w:t>
      </w:r>
      <w:r w:rsidR="00862CF0">
        <w:rPr>
          <w:szCs w:val="24"/>
        </w:rPr>
        <w:t>considered in present</w:t>
      </w:r>
      <w:r w:rsidRPr="006208DC">
        <w:rPr>
          <w:szCs w:val="24"/>
        </w:rPr>
        <w:t xml:space="preserve"> study. This distinction has important methodological implications. </w:t>
      </w:r>
      <w:r w:rsidR="00A268FE">
        <w:rPr>
          <w:szCs w:val="24"/>
        </w:rPr>
        <w:t>Although</w:t>
      </w:r>
      <w:r w:rsidRPr="006208DC">
        <w:rPr>
          <w:szCs w:val="24"/>
        </w:rPr>
        <w:t xml:space="preserve"> clustering performed on routinely collected clinical features may reveal informative patterns of patient variation and support </w:t>
      </w:r>
      <w:r w:rsidR="00862CF0" w:rsidRPr="006208DC">
        <w:rPr>
          <w:szCs w:val="24"/>
        </w:rPr>
        <w:t>exploration</w:t>
      </w:r>
      <w:r w:rsidRPr="006208DC">
        <w:rPr>
          <w:szCs w:val="24"/>
        </w:rPr>
        <w:t xml:space="preserve"> stratification, it cannot reasonably be expected to re</w:t>
      </w:r>
      <w:r w:rsidR="00862CF0">
        <w:rPr>
          <w:szCs w:val="24"/>
        </w:rPr>
        <w:t>produce</w:t>
      </w:r>
      <w:r w:rsidRPr="006208DC">
        <w:rPr>
          <w:szCs w:val="24"/>
        </w:rPr>
        <w:t xml:space="preserve"> established</w:t>
      </w:r>
      <w:r w:rsidR="00862CF0">
        <w:rPr>
          <w:szCs w:val="24"/>
        </w:rPr>
        <w:t xml:space="preserve"> phenotypic</w:t>
      </w:r>
      <w:r w:rsidRPr="006208DC">
        <w:rPr>
          <w:szCs w:val="24"/>
        </w:rPr>
        <w:t xml:space="preserve"> subtype </w:t>
      </w:r>
      <w:r w:rsidR="00862CF0">
        <w:rPr>
          <w:szCs w:val="24"/>
        </w:rPr>
        <w:t>frameworks</w:t>
      </w:r>
      <w:r w:rsidRPr="006208DC">
        <w:rPr>
          <w:szCs w:val="24"/>
        </w:rPr>
        <w:t xml:space="preserve"> that were originally derived from substantially richer biological information. The challenge, therefore, is not to reproduce </w:t>
      </w:r>
      <w:r w:rsidR="00A268FE">
        <w:rPr>
          <w:szCs w:val="24"/>
        </w:rPr>
        <w:t>established phenotypic taxonomies</w:t>
      </w:r>
      <w:r w:rsidRPr="006208DC">
        <w:rPr>
          <w:szCs w:val="24"/>
        </w:rPr>
        <w:t xml:space="preserve"> under conditions where the necessary variables are unavailable, but rather to determine whether meaningful </w:t>
      </w:r>
      <w:r w:rsidR="00A268FE">
        <w:rPr>
          <w:szCs w:val="24"/>
        </w:rPr>
        <w:t>pattens of patient variation</w:t>
      </w:r>
      <w:r w:rsidRPr="006208DC">
        <w:rPr>
          <w:szCs w:val="24"/>
        </w:rPr>
        <w:t xml:space="preserve"> can still be identified within the constraints of routine clinical data.</w:t>
      </w:r>
      <w:r>
        <w:rPr>
          <w:szCs w:val="24"/>
        </w:rPr>
        <w:t xml:space="preserve"> </w:t>
      </w:r>
      <w:r w:rsidR="00A268FE">
        <w:rPr>
          <w:szCs w:val="24"/>
        </w:rPr>
        <w:t>A</w:t>
      </w:r>
      <w:r w:rsidRPr="006208DC">
        <w:rPr>
          <w:szCs w:val="24"/>
        </w:rPr>
        <w:t xml:space="preserve"> third observation arises from recent developments in graph-based machine learning. As </w:t>
      </w:r>
      <w:r w:rsidR="00A268FE">
        <w:rPr>
          <w:szCs w:val="24"/>
        </w:rPr>
        <w:t>discussed</w:t>
      </w:r>
      <w:r w:rsidRPr="006208DC">
        <w:rPr>
          <w:szCs w:val="24"/>
        </w:rPr>
        <w:t xml:space="preserve"> in Section 2.6.3, patient-similarity graphs coupled with graph neural networks have demonstrated promising results across a range of healthcare applications, </w:t>
      </w:r>
      <w:r w:rsidR="00A268FE">
        <w:rPr>
          <w:szCs w:val="24"/>
        </w:rPr>
        <w:t>frequently</w:t>
      </w:r>
      <w:r w:rsidRPr="006208DC">
        <w:rPr>
          <w:szCs w:val="24"/>
        </w:rPr>
        <w:t xml:space="preserve"> achieving performance that is competitive with, and in some cases superior to, strong conventional baselines. Equally important, this literature has shown that relational representations can </w:t>
      </w:r>
      <w:r w:rsidR="00CA1FDB">
        <w:rPr>
          <w:szCs w:val="24"/>
        </w:rPr>
        <w:t>offer</w:t>
      </w:r>
      <w:r w:rsidRPr="006208DC">
        <w:rPr>
          <w:szCs w:val="24"/>
        </w:rPr>
        <w:t xml:space="preserve"> forms of interpretability that are difficult to </w:t>
      </w:r>
      <w:r w:rsidR="00CA1FDB">
        <w:rPr>
          <w:szCs w:val="24"/>
        </w:rPr>
        <w:t>achieve</w:t>
      </w:r>
      <w:r w:rsidRPr="006208DC">
        <w:rPr>
          <w:szCs w:val="24"/>
        </w:rPr>
        <w:t xml:space="preserve"> from models operating on isolated feature vectors. The relevance of these findings to tabular clinical prediction is reinforced by work demonstrating that graph construction is the critical step that enables graph learning on non-relational data in the first place</w:t>
      </w:r>
      <w:r w:rsidR="00CA1FDB">
        <w:rPr>
          <w:szCs w:val="24"/>
        </w:rPr>
        <w:t xml:space="preserve">, as discussed in </w:t>
      </w:r>
      <w:r w:rsidR="00CA1FDB" w:rsidRPr="006208DC">
        <w:rPr>
          <w:szCs w:val="24"/>
        </w:rPr>
        <w:t>Section</w:t>
      </w:r>
      <w:r w:rsidRPr="006208DC">
        <w:rPr>
          <w:szCs w:val="24"/>
        </w:rPr>
        <w:t xml:space="preserve"> 2.6.2. </w:t>
      </w:r>
      <w:r w:rsidR="00CA1FDB">
        <w:rPr>
          <w:szCs w:val="24"/>
        </w:rPr>
        <w:t>Nevertheless</w:t>
      </w:r>
      <w:r w:rsidRPr="006208DC">
        <w:rPr>
          <w:szCs w:val="24"/>
        </w:rPr>
        <w:t>, despite the growing a</w:t>
      </w:r>
      <w:r w:rsidR="00CA1FDB">
        <w:rPr>
          <w:szCs w:val="24"/>
        </w:rPr>
        <w:t>doption</w:t>
      </w:r>
      <w:r w:rsidRPr="006208DC">
        <w:rPr>
          <w:szCs w:val="24"/>
        </w:rPr>
        <w:t xml:space="preserve"> of graph-based methodologies in healthcare and despite the use of graph representations within PCOS bioinformatics, these developments have remained largely disconnected. Existing graph applications in PCOS have</w:t>
      </w:r>
      <w:r w:rsidR="00CA1FDB">
        <w:rPr>
          <w:szCs w:val="24"/>
        </w:rPr>
        <w:t xml:space="preserve"> primarily</w:t>
      </w:r>
      <w:r w:rsidRPr="006208DC">
        <w:rPr>
          <w:szCs w:val="24"/>
        </w:rPr>
        <w:t xml:space="preserve"> focused on molecular entities such as genes, proteins, and biological compounds (Section 2.6.4), whereas patient-level graph modelling for diagnostic prediction or</w:t>
      </w:r>
      <w:r w:rsidR="00CA1FDB">
        <w:rPr>
          <w:szCs w:val="24"/>
        </w:rPr>
        <w:t xml:space="preserve"> exploratory</w:t>
      </w:r>
      <w:r w:rsidRPr="006208DC">
        <w:rPr>
          <w:szCs w:val="24"/>
        </w:rPr>
        <w:t xml:space="preserve"> stratification remain</w:t>
      </w:r>
      <w:r w:rsidR="00CA1FDB">
        <w:rPr>
          <w:szCs w:val="24"/>
        </w:rPr>
        <w:t>s</w:t>
      </w:r>
      <w:r w:rsidRPr="006208DC">
        <w:rPr>
          <w:szCs w:val="24"/>
        </w:rPr>
        <w:t xml:space="preserve"> unexplored.</w:t>
      </w:r>
      <w:r>
        <w:rPr>
          <w:szCs w:val="24"/>
        </w:rPr>
        <w:t xml:space="preserve"> </w:t>
      </w:r>
      <w:r w:rsidRPr="006208DC">
        <w:rPr>
          <w:szCs w:val="24"/>
        </w:rPr>
        <w:t xml:space="preserve">It is at the intersection of these observations that the contribution of the present thesis is situated. The study investigates whether representing patients as interconnected nodes within a clinically derived similarity graph can provide a useful alternative to the independent-instance paradigm that dominates existing PCOS prediction research. To </w:t>
      </w:r>
      <w:r w:rsidR="001B77B3">
        <w:rPr>
          <w:szCs w:val="24"/>
        </w:rPr>
        <w:t>investigate</w:t>
      </w:r>
      <w:r w:rsidRPr="006208DC">
        <w:rPr>
          <w:szCs w:val="24"/>
        </w:rPr>
        <w:t xml:space="preserve"> this question, a graph neural network framework is developed in which patients are connected according to clinical similarity and analyzed using five complementary architectures: the Graph Convolutional Network</w:t>
      </w:r>
      <w:r w:rsidR="00012CEB">
        <w:rPr>
          <w:szCs w:val="24"/>
        </w:rPr>
        <w:t xml:space="preserve"> </w:t>
      </w:r>
      <w:r w:rsidR="001B77B3">
        <w:rPr>
          <w:szCs w:val="24"/>
        </w:rPr>
        <w:t>(GAT)</w:t>
      </w:r>
      <w:r w:rsidRPr="006208DC">
        <w:rPr>
          <w:szCs w:val="24"/>
        </w:rPr>
        <w:t>, Graph Attention Network</w:t>
      </w:r>
      <w:r w:rsidR="00012CEB">
        <w:rPr>
          <w:szCs w:val="24"/>
        </w:rPr>
        <w:t xml:space="preserve"> (GAN)</w:t>
      </w:r>
      <w:r w:rsidRPr="006208DC">
        <w:rPr>
          <w:szCs w:val="24"/>
        </w:rPr>
        <w:t>, GraphSAGE, Message-Passing Neural Network</w:t>
      </w:r>
      <w:r w:rsidR="00012CEB">
        <w:rPr>
          <w:szCs w:val="24"/>
        </w:rPr>
        <w:t xml:space="preserve"> (MPNN)</w:t>
      </w:r>
      <w:r w:rsidRPr="006208DC">
        <w:rPr>
          <w:szCs w:val="24"/>
        </w:rPr>
        <w:t>, and Graph Isomorphism Network</w:t>
      </w:r>
      <w:r w:rsidR="00012CEB">
        <w:rPr>
          <w:szCs w:val="24"/>
        </w:rPr>
        <w:t xml:space="preserve"> (GIN)</w:t>
      </w:r>
      <w:r w:rsidRPr="006208DC">
        <w:rPr>
          <w:szCs w:val="24"/>
        </w:rPr>
        <w:t xml:space="preserve">. </w:t>
      </w:r>
      <w:r w:rsidRPr="006208DC">
        <w:rPr>
          <w:szCs w:val="24"/>
        </w:rPr>
        <w:lastRenderedPageBreak/>
        <w:t xml:space="preserve">Recognizing the strong empirical performance of established tabular-learning methods, </w:t>
      </w:r>
      <w:r w:rsidR="00012CEB" w:rsidRPr="006208DC">
        <w:rPr>
          <w:szCs w:val="24"/>
        </w:rPr>
        <w:t xml:space="preserve">these </w:t>
      </w:r>
      <w:r w:rsidR="00012CEB">
        <w:rPr>
          <w:szCs w:val="24"/>
        </w:rPr>
        <w:t>architectures are</w:t>
      </w:r>
      <w:r w:rsidRPr="006208DC">
        <w:rPr>
          <w:szCs w:val="24"/>
        </w:rPr>
        <w:t xml:space="preserve"> evaluated against robust tree-based baselines within a leakage-controlled, fold-specific cross-validation framework designed to ensure fair comparison and methodological rigor.</w:t>
      </w:r>
      <w:r>
        <w:rPr>
          <w:szCs w:val="24"/>
        </w:rPr>
        <w:t xml:space="preserve"> </w:t>
      </w:r>
      <w:r w:rsidRPr="006208DC">
        <w:rPr>
          <w:szCs w:val="24"/>
        </w:rPr>
        <w:t xml:space="preserve">In addition to the primary detection task, the thesis includes a secondary exploratory analysis </w:t>
      </w:r>
      <w:r w:rsidR="00012CEB">
        <w:rPr>
          <w:szCs w:val="24"/>
        </w:rPr>
        <w:t xml:space="preserve">focused on </w:t>
      </w:r>
      <w:r w:rsidRPr="006208DC">
        <w:rPr>
          <w:szCs w:val="24"/>
        </w:rPr>
        <w:t xml:space="preserve">phenotypic stratification. Rather than claiming the </w:t>
      </w:r>
      <w:r w:rsidR="005A55A7">
        <w:rPr>
          <w:szCs w:val="24"/>
        </w:rPr>
        <w:t>identification</w:t>
      </w:r>
      <w:r w:rsidRPr="006208DC">
        <w:rPr>
          <w:szCs w:val="24"/>
        </w:rPr>
        <w:t xml:space="preserve"> of canonical PCOS subtypes, this component </w:t>
      </w:r>
      <w:r w:rsidR="00012CEB">
        <w:rPr>
          <w:szCs w:val="24"/>
        </w:rPr>
        <w:t>employees</w:t>
      </w:r>
      <w:r w:rsidRPr="006208DC">
        <w:rPr>
          <w:szCs w:val="24"/>
        </w:rPr>
        <w:t xml:space="preserve"> unsupervised clustering to investigate whether routine clinical features contain evidence of clinically meaningful patient structure. The resulting clusters are therefore interpreted as exploratory approximations of phenotypic variation, consistent with the limitations of the available data and the broader discussion of subtype discovery presented earlier in the chapter.</w:t>
      </w:r>
      <w:r>
        <w:rPr>
          <w:szCs w:val="24"/>
        </w:rPr>
        <w:t xml:space="preserve"> </w:t>
      </w:r>
      <w:r w:rsidR="00F46092">
        <w:rPr>
          <w:szCs w:val="24"/>
        </w:rPr>
        <w:t>Based on the literature reviewed in this chapter,</w:t>
      </w:r>
      <w:r w:rsidRPr="006208DC">
        <w:rPr>
          <w:szCs w:val="24"/>
        </w:rPr>
        <w:t xml:space="preserve"> no previous study has applied graph neural networks to patient-level PCOS prediction using routine clinical tabular data, nor has existing work combined graph-based detection </w:t>
      </w:r>
      <w:r w:rsidR="00F46092">
        <w:rPr>
          <w:szCs w:val="24"/>
        </w:rPr>
        <w:t>with</w:t>
      </w:r>
      <w:r w:rsidRPr="006208DC">
        <w:rPr>
          <w:szCs w:val="24"/>
        </w:rPr>
        <w:t xml:space="preserve"> exploratory phenotypic stratification within a unified analytical framework. The thesis seeks not only to evaluate the predictive utility of graph learning in this context but also to examine whether explicitly modelling relationships among patients </w:t>
      </w:r>
      <w:r w:rsidR="00F46092">
        <w:rPr>
          <w:szCs w:val="24"/>
        </w:rPr>
        <w:t>provides a meaningful methodological extension</w:t>
      </w:r>
      <w:r w:rsidRPr="006208DC">
        <w:rPr>
          <w:szCs w:val="24"/>
        </w:rPr>
        <w:t xml:space="preserve"> extension to the prevailing approaches in PCOS machine learning.</w:t>
      </w:r>
    </w:p>
    <w:p w14:paraId="33EAE32C" w14:textId="77777777" w:rsidR="001610D2" w:rsidRDefault="001610D2" w:rsidP="00A97A70">
      <w:pPr>
        <w:jc w:val="both"/>
        <w:rPr>
          <w:szCs w:val="24"/>
        </w:rPr>
      </w:pPr>
    </w:p>
    <w:p w14:paraId="3191215C" w14:textId="77777777" w:rsidR="00CF3D65" w:rsidRDefault="00CF3D65" w:rsidP="00A97A70">
      <w:pPr>
        <w:jc w:val="both"/>
        <w:rPr>
          <w:szCs w:val="24"/>
        </w:rPr>
      </w:pPr>
    </w:p>
    <w:p w14:paraId="1523D496" w14:textId="77777777" w:rsidR="00CF3D65" w:rsidRDefault="00CF3D65" w:rsidP="00A97A70">
      <w:pPr>
        <w:jc w:val="both"/>
        <w:rPr>
          <w:szCs w:val="24"/>
        </w:rPr>
      </w:pPr>
    </w:p>
    <w:p w14:paraId="6A972E61" w14:textId="77777777" w:rsidR="00CF3D65" w:rsidRDefault="00CF3D65" w:rsidP="00A97A70">
      <w:pPr>
        <w:jc w:val="both"/>
        <w:rPr>
          <w:szCs w:val="24"/>
        </w:rPr>
      </w:pPr>
    </w:p>
    <w:p w14:paraId="2A8ADECF" w14:textId="77777777" w:rsidR="00CF3D65" w:rsidRDefault="00CF3D65" w:rsidP="00A97A70">
      <w:pPr>
        <w:jc w:val="both"/>
        <w:rPr>
          <w:szCs w:val="24"/>
        </w:rPr>
      </w:pPr>
    </w:p>
    <w:p w14:paraId="0B7CA884" w14:textId="77777777" w:rsidR="00CF3D65" w:rsidRDefault="00CF3D65" w:rsidP="00A97A70">
      <w:pPr>
        <w:jc w:val="both"/>
        <w:rPr>
          <w:szCs w:val="24"/>
        </w:rPr>
      </w:pPr>
    </w:p>
    <w:p w14:paraId="2DE89B10" w14:textId="77777777" w:rsidR="00CF3D65" w:rsidRDefault="00CF3D65" w:rsidP="00A97A70">
      <w:pPr>
        <w:jc w:val="both"/>
        <w:rPr>
          <w:szCs w:val="24"/>
        </w:rPr>
      </w:pPr>
    </w:p>
    <w:p w14:paraId="1E53EBC1" w14:textId="77777777" w:rsidR="00CF3D65" w:rsidRDefault="00CF3D65" w:rsidP="00A97A70">
      <w:pPr>
        <w:jc w:val="both"/>
        <w:rPr>
          <w:szCs w:val="24"/>
        </w:rPr>
      </w:pPr>
    </w:p>
    <w:p w14:paraId="4512C0EB" w14:textId="77777777" w:rsidR="00CF3D65" w:rsidRDefault="00CF3D65" w:rsidP="00A97A70">
      <w:pPr>
        <w:jc w:val="both"/>
        <w:rPr>
          <w:szCs w:val="24"/>
        </w:rPr>
      </w:pPr>
    </w:p>
    <w:p w14:paraId="705EE3BC" w14:textId="77777777" w:rsidR="00CF3D65" w:rsidRDefault="00CF3D65" w:rsidP="00A97A70">
      <w:pPr>
        <w:jc w:val="both"/>
        <w:rPr>
          <w:szCs w:val="24"/>
        </w:rPr>
      </w:pPr>
    </w:p>
    <w:p w14:paraId="3BA5AC62" w14:textId="77777777" w:rsidR="00CF3D65" w:rsidRDefault="00CF3D65" w:rsidP="00A97A70">
      <w:pPr>
        <w:jc w:val="both"/>
        <w:rPr>
          <w:szCs w:val="24"/>
        </w:rPr>
      </w:pPr>
    </w:p>
    <w:p w14:paraId="045C3F08" w14:textId="77777777" w:rsidR="00CF3D65" w:rsidRDefault="00CF3D65" w:rsidP="00A97A70">
      <w:pPr>
        <w:jc w:val="both"/>
        <w:rPr>
          <w:szCs w:val="24"/>
        </w:rPr>
      </w:pPr>
    </w:p>
    <w:p w14:paraId="057C1A74" w14:textId="77777777" w:rsidR="00CF3D65" w:rsidRDefault="00CF3D65" w:rsidP="00A97A70">
      <w:pPr>
        <w:jc w:val="both"/>
        <w:rPr>
          <w:szCs w:val="24"/>
        </w:rPr>
      </w:pPr>
    </w:p>
    <w:p w14:paraId="3E5CDAE2" w14:textId="77777777" w:rsidR="00CF3D65" w:rsidRDefault="00CF3D65" w:rsidP="00A97A70">
      <w:pPr>
        <w:jc w:val="both"/>
        <w:rPr>
          <w:szCs w:val="24"/>
        </w:rPr>
      </w:pPr>
    </w:p>
    <w:p w14:paraId="13E79754" w14:textId="77777777" w:rsidR="00CF3D65" w:rsidRDefault="00CF3D65" w:rsidP="00A97A70">
      <w:pPr>
        <w:jc w:val="both"/>
        <w:rPr>
          <w:szCs w:val="24"/>
        </w:rPr>
      </w:pPr>
    </w:p>
    <w:p w14:paraId="7BCA9070" w14:textId="77777777" w:rsidR="00CF3D65" w:rsidRDefault="00CF3D65" w:rsidP="00A97A70">
      <w:pPr>
        <w:jc w:val="both"/>
        <w:rPr>
          <w:szCs w:val="24"/>
        </w:rPr>
      </w:pPr>
    </w:p>
    <w:p w14:paraId="0E1A3F71" w14:textId="77777777" w:rsidR="00CF3D65" w:rsidRDefault="00CF3D65" w:rsidP="00A97A70">
      <w:pPr>
        <w:jc w:val="both"/>
        <w:rPr>
          <w:szCs w:val="24"/>
        </w:rPr>
      </w:pPr>
    </w:p>
    <w:p w14:paraId="502BF0E9" w14:textId="77777777" w:rsidR="00CF3D65" w:rsidRDefault="00CF3D65" w:rsidP="00A97A70">
      <w:pPr>
        <w:jc w:val="both"/>
        <w:rPr>
          <w:szCs w:val="24"/>
        </w:rPr>
      </w:pPr>
    </w:p>
    <w:p w14:paraId="07495351" w14:textId="77777777" w:rsidR="00CF3D65" w:rsidRDefault="00CF3D65" w:rsidP="00A97A70">
      <w:pPr>
        <w:jc w:val="both"/>
        <w:rPr>
          <w:szCs w:val="24"/>
        </w:rPr>
      </w:pPr>
    </w:p>
    <w:p w14:paraId="683496B8" w14:textId="77777777" w:rsidR="00CF3D65" w:rsidRDefault="00CF3D65" w:rsidP="00A97A70">
      <w:pPr>
        <w:jc w:val="both"/>
        <w:rPr>
          <w:szCs w:val="24"/>
        </w:rPr>
      </w:pPr>
    </w:p>
    <w:p w14:paraId="0CBFA9DF" w14:textId="77777777" w:rsidR="00CF3D65" w:rsidRDefault="00CF3D65" w:rsidP="00A97A70">
      <w:pPr>
        <w:jc w:val="both"/>
        <w:rPr>
          <w:szCs w:val="24"/>
        </w:rPr>
      </w:pPr>
    </w:p>
    <w:p w14:paraId="6CB4C2A8" w14:textId="77777777" w:rsidR="00CF3D65" w:rsidRDefault="00CF3D65" w:rsidP="00A97A70">
      <w:pPr>
        <w:jc w:val="both"/>
        <w:rPr>
          <w:szCs w:val="24"/>
        </w:rPr>
      </w:pPr>
    </w:p>
    <w:p w14:paraId="2CABE746" w14:textId="77777777" w:rsidR="00CF3D65" w:rsidRDefault="00CF3D65" w:rsidP="00A97A70">
      <w:pPr>
        <w:jc w:val="both"/>
        <w:rPr>
          <w:szCs w:val="24"/>
        </w:rPr>
      </w:pPr>
    </w:p>
    <w:p w14:paraId="3CD73B92" w14:textId="77777777" w:rsidR="00CF3D65" w:rsidRDefault="00CF3D65" w:rsidP="00A97A70">
      <w:pPr>
        <w:jc w:val="both"/>
        <w:rPr>
          <w:szCs w:val="24"/>
        </w:rPr>
      </w:pPr>
    </w:p>
    <w:p w14:paraId="4CBB4804" w14:textId="77777777" w:rsidR="00CF3D65" w:rsidRDefault="00CF3D65" w:rsidP="00A97A70">
      <w:pPr>
        <w:jc w:val="both"/>
        <w:rPr>
          <w:szCs w:val="24"/>
        </w:rPr>
      </w:pPr>
    </w:p>
    <w:p w14:paraId="3C3021D5" w14:textId="77777777" w:rsidR="00CF3D65" w:rsidRPr="00CF3D65" w:rsidRDefault="00CF3D65" w:rsidP="00CF3D65">
      <w:pPr>
        <w:spacing w:before="280" w:line="240" w:lineRule="auto"/>
        <w:outlineLvl w:val="0"/>
        <w:rPr>
          <w:rFonts w:ascii="Times New Roman" w:eastAsia="Times New Roman" w:hAnsi="Times New Roman" w:cs="Times New Roman"/>
          <w:b/>
          <w:bCs/>
          <w:kern w:val="0"/>
          <w:sz w:val="30"/>
          <w:lang w:bidi="ar-SA"/>
          <w14:ligatures w14:val="none"/>
        </w:rPr>
      </w:pPr>
      <w:r w:rsidRPr="00CF3D65">
        <w:rPr>
          <w:rFonts w:ascii="Times New Roman" w:eastAsia="Times New Roman" w:hAnsi="Times New Roman" w:cs="Times New Roman"/>
          <w:b/>
          <w:bCs/>
          <w:kern w:val="0"/>
          <w:sz w:val="30"/>
          <w:lang w:bidi="ar-SA"/>
          <w14:ligatures w14:val="none"/>
        </w:rPr>
        <w:t>References</w:t>
      </w:r>
    </w:p>
    <w:p w14:paraId="1D8EB435"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[1] J. Zhang, Y. Zhu, J. Wang, H. Hu, Y. Jin, X. Mao, H. Zhang, Y. Ye, X. Xin, and D. Li, “Global burden and epidemiological prediction of polycystic ovary syndrome from 1990 to 2019: A systematic analysis from the Global Burden of Disease Study 2019,” PLOS ONE, vol. 19, no. 7, p. e0306991, 2024. (34)</w:t>
      </w:r>
    </w:p>
    <w:p w14:paraId="06A42834"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[2] E. Stener-Victorin, H. Teede, R. J. Norman, R. Legro, M. O. Goodarzi, A. Dokras, J. Laven, L. Moran, and A. Joham, “Polycystic ovary syndrome,” Nature Reviews Disease Primers, vol. 10, art. 27, 2024. (32)</w:t>
      </w:r>
    </w:p>
    <w:p w14:paraId="62A70949"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[3] H. J. Teede et al., “Recommendations from the 2023 International Evidence-based Guideline for the Assessment and Management of Polycystic Ovary Syndrome,” Journal of Clinical Endocrinology &amp; Metabolism, vol. 108, no. 10, pp. 2447–2469, 2023. (27)</w:t>
      </w:r>
    </w:p>
    <w:p w14:paraId="3D1C30C7"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[4] E. L. Silva et al., “Polycystic ovary syndrome underdiagnosis patterns by individual-level and spatial social vulnerability measures,” Journal of Clinical Endocrinology &amp; Metabolism, vol. 110, no. 6, pp. 1657–1666, 2025. (30)</w:t>
      </w:r>
    </w:p>
    <w:p w14:paraId="7D881469"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[5] P. L. Narayanan, S. Sugumar, R. Rushendran, and C. Vellapandian, “Next-generation approaches in targeting polycystic ovary syndrome: Innovative strategies,” Current Medicinal Chemistry, vol. 33, pp. 57–75, 2026. (26)</w:t>
      </w:r>
    </w:p>
    <w:p w14:paraId="68840358"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[6] M. Li, Z. He, L. Li, H. Shi, et al., “Intelligent detection of PCOS: A systematic review of ML/DL methods, datasets, and tools,” Computational and Structural Biotechnology Journal, vol. 27, pp. 1578–1599, 2025. (1)</w:t>
      </w:r>
    </w:p>
    <w:p w14:paraId="2B8122E8"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[7] M. M. Rahman, A. Islam, F. Islam, M. Zaman, M. R. Islam, M. S. A. Sakib, and H. M. H. Babu, “Empowering early detection: A web-based machine learning approach for PCOS prediction,” Informatics in Medicine Unlocked, vol. 47, art. 101500, 2024.(6)</w:t>
      </w:r>
    </w:p>
    <w:p w14:paraId="1424F341"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[8] K. M. M. Uddin, M. T. A. Bhuiyan, M. M. Rahman, M. M. Islam, and R. Hasan, “Early PCOS detection: A comparative analysis of traditional and ensemble machine learning models with advanced feature selection,” Engineering Reports, 2025.(21)</w:t>
      </w:r>
    </w:p>
    <w:p w14:paraId="6894B756"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[9] K. M. M. Uddin, A. Chowdhury, M. M. R. Druvo, M. T. Jaima, M. T. A. Bhuiyan, and M. M. Islam, “Improving diagnostic accuracy for PCOS: A hybrid machine learning architecture with feature selection, data balancing, and explainable AI techniques,” Results in Control and Optimization, vol. 22, art. 100647, 2026. (5)</w:t>
      </w:r>
    </w:p>
    <w:p w14:paraId="2C4A5D52"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[10] P. B. Patil, M. Rashmi, B. V. Natesha, and R. D. Shetty, “Explainable ensemble-based machine learning model for polycystic ovary syndrome detection using hybrid feature selection,” International Journal of Information Technology, 2025. (10)</w:t>
      </w:r>
    </w:p>
    <w:p w14:paraId="3BEAEF07"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[11] S.-A. Sadegh-Zadeh et al., “Advancing PCOS diagnosis: Harnessing the power of AI and machine learning for enhanced accuracy and efficiency,” Frontiers in Biomedical Signal Processing, 2026.(17)</w:t>
      </w:r>
    </w:p>
    <w:p w14:paraId="3EE0AA06"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[12] S. Reka, T. Suriya Praba, K. K. Manchala, and A. Venkateswarlu, “Comprehensive feature-driven PCOS predictor: A reinforcement learning-based binary equilibrium optimization approach,” International Journal of Computational Intelligence Systems, vol. 18, art. 188, 2025.(14)</w:t>
      </w:r>
    </w:p>
    <w:p w14:paraId="4BE770C9"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[13] J. Hou, Y. Duan, W. Zhao, Q. Sun, and J. Wang, “AutoPCOS: A stepwise multimodal intelligent framework for polycystic ovary syndrome risk stratification and diagnostic support,” Frontiers in Endocrinology, vol. 17, art. 1760541, 2026.(22)</w:t>
      </w:r>
    </w:p>
    <w:p w14:paraId="08DEA93D"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[14] C. Tong, Y. Wu, et al., “A diagnostic model for polycystic ovary syndrome based on machine learning,” Scientific Reports, vol. 15, art. 9821, 2025.(15)</w:t>
      </w:r>
    </w:p>
    <w:p w14:paraId="610F30F2"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[15] C.-Y. Wang, D. Pei, C.-K. Wang, J.-C. Ke, S.-T. Lee, T.-W. Chu, and Y.-J. Liang, “Using machine learning to predict patients with polycystic ovary disease in Chinese women,” Taiwanese Journal of Obstetrics &amp; Gynecology, vol. 64, pp. 68–75, 2025.(23)</w:t>
      </w:r>
    </w:p>
    <w:p w14:paraId="1ED59F10"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lastRenderedPageBreak/>
        <w:t>[16] Z. Zad, V. S. Jiang, A. T. Wolf, T. Wang, J. J. Cheng, I. C. Paschalidis, and S. Mahalingaiah, “Predicting polycystic ovary syndrome with machine learning algorithms from electronic health records,” Frontiers in Endocrinology, vol. 15, art. 1298628, 2024.(47)</w:t>
      </w:r>
    </w:p>
    <w:p w14:paraId="0443F8EA"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[17] S. J. Pulluparambil and Subrahmanya Bhat, “PCOS detection via attention-based deep learning with GS2TM feature selection and SMOTE-ENN balancing (DASCD model),” Journal of Steroid Biochemistry and Molecular Biology, vol. 258, art. 106933, 2026.(4)</w:t>
      </w:r>
    </w:p>
    <w:p w14:paraId="3EB0E327"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[18] A. Smithakranthi and D. Haritha, “An automated PCOS prediction model using hybrid text and gate network model using learning approaches,” International Journal of System Assurance Engineering and Management, 2026.(11)</w:t>
      </w:r>
    </w:p>
    <w:p w14:paraId="23072736"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[19] E. Silambarasan, G. Nirmala, and I. Mishra, “Polycystic ovary syndrome detection using optimized SVM and DenseNet,” International Journal of Information Technology, vol. 17, no. 2, pp. 1039–1047, 2025.(25)</w:t>
      </w:r>
    </w:p>
    <w:p w14:paraId="64780680"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[20] M. Agirsoy and M. A. Oehlschlaeger, “A machine learning approach for non-invasive PCOS diagnosis from ultrasound and clinical features,” Scientific Reports, vol. 15, art. 33638, 2025.(13)</w:t>
      </w:r>
    </w:p>
    <w:p w14:paraId="6B9E4C11"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[21] H. Senthilkumar and M. Arumugam, “Integrative bioinformatics and transcriptomic analysis identifies biomarkers in polycystic ovary syndrome through machine learning approach,” Journal of Steroid Biochemistry and Molecular Biology, vol. 255, 2026.(3)</w:t>
      </w:r>
    </w:p>
    <w:p w14:paraId="32D913C6"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[22] W. Chen, J. Miao, J. Chen, and J. Chen, “Development of machine learning models for diagnostic biomarker identification and immune cell infiltration analysis in PCOS,” Journal of Ovarian Research, vol. 18, art. 1, 2025.(7)</w:t>
      </w:r>
    </w:p>
    <w:p w14:paraId="4CD86679"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[23] K. Xu, S. Zhang, L. Guo, T. Liu, Y. Li, and Y. Zhang, “Interpreting the molecular and cellular landscape of PCOS through bulk transcriptomics, single-cell transcriptomics and machine learning,” Journal of Ovarian Research, vol. 19, art. 46, 2026.(9)</w:t>
      </w:r>
    </w:p>
    <w:p w14:paraId="24E01E1B"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[24] Y. Xu, L. Ning, R. Wang, H. Ma, H. Zhao, Y. Si, X. Li, and Q. Ren, “Integrative metabolomics and machine learning reveal the toxic mechanisms of elaidic acid in polycystic ovary syndrome,” Reproductive Toxicology, vol. 141, art. 109200, 2026.(2)</w:t>
      </w:r>
    </w:p>
    <w:p w14:paraId="44EFA5BC"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[25] W. Hou, J. Dong, Y. Yao, P. Zhang, G. Zhang, P. Mou, and J. Guan, “Prediction of exposure to pollutants and hormones on the risk of polycystic ovarian syndrome,” Journal of Ovarian Research, vol. 19, art. 117, 2026.(8)</w:t>
      </w:r>
    </w:p>
    <w:p w14:paraId="38B5F26B"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[26] X. Gao et al., “Data-driven subtypes of polycystic ovary syndrome and their association with clinical outcomes,” Nature Medicine, vol. 31, pp. 4214–4224, 2025.(16)</w:t>
      </w:r>
    </w:p>
    <w:p w14:paraId="3721B389"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[27] M. Dapas, F. T. J. Lin, G. N. Nadkarni, D. L. Bhatt, M. A. Kohli, A. Atreja, and S. S. Lim, “Distinct subtypes of polycystic ovary syndrome with novel genetic associations: An unsupervised, phenotypic clustering analysis,” PLOS Medicine, vol. 17, no. 6, p. e1003132, 2020.(28)</w:t>
      </w:r>
    </w:p>
    <w:p w14:paraId="22F15F3F"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[28] K. van der Ham, L. M. E. Moolhuijsen, K. Brewer, R. Sisk, A. Dunaif, J. S. E. Laven, Y. V. Louwers, and J. A. Visser, “Clustering identifies subtypes with different phenotypic characteristics in women with polycystic ovary syndrome,” Journal of Clinical Endocrinology &amp; Metabolism, vol. 109, no. 12, pp. 3096–3107, 2024.(19)</w:t>
      </w:r>
    </w:p>
    <w:p w14:paraId="20DFAA83"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[29] K. A. Burns, A. W. Stuckey, S. G. Wilson, G. F. Watts, and B. G. A. Stuckey, “Characterization of distinct polycystic ovary syndrome subtypes by cluster and principal component analyses,” Frontiers in Endocrinology, vol. 16, art. 1572427, 2025.(18)</w:t>
      </w:r>
    </w:p>
    <w:p w14:paraId="3F9D2707"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[30] R. H. K. Emanuel, P. D. Docherty, H. Lunt, R. Murray, and R. E. Campbell, “Clustering polycystic ovary syndrome laboratory results extracted from a large internet forum with machine learning,” Intelligence-Based Medicine, vol. 9, art. 100135, 2024.(24)</w:t>
      </w:r>
    </w:p>
    <w:p w14:paraId="0AEEFD4E"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[31] J. Gilmer, S. S. Schoenholz, P. F. Riley, O. Vinyals, and G. E. Dahl, “Neural message passing for quantum chemistry,” in Proc. Int. Conf. Machine Learning (ICML), 2017.(MPNN)</w:t>
      </w:r>
    </w:p>
    <w:p w14:paraId="0D7850F0"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[32] T. N. Kipf and M. Welling, “Semi-supervised classification with graph convolutional networks,” in Proc. Int. Conf. Learning Representations (ICLR), 2017. (GCN)</w:t>
      </w:r>
    </w:p>
    <w:p w14:paraId="5BC5B21F"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[33] P. Veličković, G. Cucurull, A. Casanova, A. Romero, P. Liò, and Y. Bengio, “Graph attention networks,” in Proc. Int. Conf. Learning Representations (ICLR), 2018. (GAT)</w:t>
      </w:r>
    </w:p>
    <w:p w14:paraId="4A4F2C2C"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[34] W. L. Hamilton, R. Ying, and J. Leskovec, “Inductive representation learning on large graphs,” in Proc. Advances in Neural Information Processing Systems (NeurIPS), 2017. (GRAPHSAGE)</w:t>
      </w:r>
    </w:p>
    <w:p w14:paraId="5A5E76D0"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[35] K. Xu, W. Hu, J. Leskovec, and S. Jegelka, “How powerful are graph neural networks?,” in Proc. Int. Conf. Learning Representations (ICLR), 2019. (GIN)</w:t>
      </w:r>
    </w:p>
    <w:p w14:paraId="7500F9CD"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lastRenderedPageBreak/>
        <w:t>[36] B. Perozzi, R. Al-Rfou, and S. Skiena, “DeepWalk: Online learning of social representations,” in Proc. ACM SIGKDD Int. Conf. Knowledge Discovery and Data Mining (KDD), 2014, pp. 701–710. (DEEPWALK)</w:t>
      </w:r>
    </w:p>
    <w:p w14:paraId="417C316C"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[37] A. Grover and J. Leskovec, “node2vec: Scalable feature learning for networks,” in Proc. ACM SIGKDD Int. Conf. Knowledge Discovery and Data Mining (KDD), 2016, pp. 855–864. (NODE2VEC)</w:t>
      </w:r>
    </w:p>
    <w:p w14:paraId="5480D121"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[38] C.-T. Li, Y.-C. Tsai, C.-Y. Chen, and J. C. Liao, “Graph neural networks for tabular data learning: A survey with taxonomy &amp; directions,” arXiv:2401.02143, 2024.(29)</w:t>
      </w:r>
    </w:p>
    <w:p w14:paraId="6CE3B11B"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[39] L. Grinsztajn, E. Oyallon, and G. Varoquaux, “Why do tree-based models still outperform deep learning on tabular data?,” in Proc. Advances in Neural Information Processing Systems (NeurIPS), vol. 35, 2022.(37)</w:t>
      </w:r>
    </w:p>
    <w:p w14:paraId="760E5C01"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[40] H. Oss Boll et al., “Graph neural networks for clinical risk prediction based on electronic health records: A survey,” Journal of Biomedical Informatics, vol. 151, art. 104616, 2024.(39)</w:t>
      </w:r>
    </w:p>
    <w:p w14:paraId="1FEC94AA"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[41] S. Uddin, H. Lu, F. Hajati, M. A. Moni, and M. H. Imam, “A weighted patient network-based framework for predicting chronic diseases using graph neural networks,” Scientific Reports, vol. 11, 2021.(35)</w:t>
      </w:r>
    </w:p>
    <w:p w14:paraId="521012CD"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[42] H. Oss Boll, A. Amirahmadi, A. Soliman, S. Byttner, and M. Recamonde-Mendoza, “Graph neural networks for heart failure prediction on an EHR-based patient similarity graph,” arXiv:2411.19742, 2024. (??)</w:t>
      </w:r>
    </w:p>
    <w:p w14:paraId="4DAE2288"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[43] F. Abuhantash, M. K. Abu Hantash, and A. AlShehhi, “Comorbidity-based framework for Alzheimer’s disease classification using graph neural networks,” Scientific Reports, vol. 14, art. 21061, 2024. (??)</w:t>
      </w:r>
    </w:p>
    <w:p w14:paraId="2C6F9000"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[44] J. Li, F. Wang, J. Pan, and Z. Wen, “Identification of autism spectrum disorder with functional graph discriminative network,” Frontiers in Neuroscience, vol. 15, art. 729937, 2021. (??)</w:t>
      </w:r>
    </w:p>
    <w:p w14:paraId="4EF42C9C" w14:textId="77777777" w:rsidR="00CF3D65" w:rsidRPr="00CF3D65" w:rsidRDefault="00CF3D65" w:rsidP="00CF3D65">
      <w:pPr>
        <w:spacing w:after="120" w:line="240" w:lineRule="auto"/>
        <w:ind w:left="360" w:hanging="360"/>
        <w:rPr>
          <w:rFonts w:ascii="Times New Roman" w:eastAsia="Times New Roman" w:hAnsi="Times New Roman" w:cs="Times New Roman"/>
          <w:kern w:val="0"/>
          <w:szCs w:val="24"/>
          <w:lang w:bidi="ar-SA"/>
          <w14:ligatures w14:val="none"/>
        </w:rPr>
      </w:pPr>
      <w:r w:rsidRPr="00CF3D65">
        <w:rPr>
          <w:rFonts w:ascii="Times New Roman" w:eastAsia="Times New Roman" w:hAnsi="Times New Roman" w:cs="Times New Roman"/>
          <w:kern w:val="0"/>
          <w:sz w:val="22"/>
          <w:szCs w:val="22"/>
          <w:lang w:bidi="ar-SA"/>
          <w14:ligatures w14:val="none"/>
        </w:rPr>
        <w:t>[45] S. Hanassab, J. Southern, A. V. Olabode, I. Laponogov, M. Bronstein, A. N. Comninos, T. Heinis, A. Abbara, C. Izzi-Engbeaya, K. Veselkov, and W. S. Dhillo, “Identifying nutraceutical targets to treat polycystic ovary syndrome using graph representation learning,” npj Women’s Health, vol. 3, art. 68, 2025.(38)</w:t>
      </w:r>
    </w:p>
    <w:p w14:paraId="2ABBCCD9" w14:textId="77777777" w:rsidR="00CF3D65" w:rsidRPr="006208DC" w:rsidRDefault="00CF3D65" w:rsidP="00A97A70">
      <w:pPr>
        <w:jc w:val="both"/>
        <w:rPr>
          <w:szCs w:val="24"/>
        </w:rPr>
      </w:pPr>
    </w:p>
    <w:sectPr w:rsidR="00CF3D65" w:rsidRPr="006208DC" w:rsidSect="006012C2">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EE7"/>
    <w:rsid w:val="00004E20"/>
    <w:rsid w:val="00012CEB"/>
    <w:rsid w:val="00013BEA"/>
    <w:rsid w:val="00034A91"/>
    <w:rsid w:val="000625F6"/>
    <w:rsid w:val="000867FA"/>
    <w:rsid w:val="000E674A"/>
    <w:rsid w:val="0011288A"/>
    <w:rsid w:val="00140053"/>
    <w:rsid w:val="001610D2"/>
    <w:rsid w:val="00190BBC"/>
    <w:rsid w:val="001916E5"/>
    <w:rsid w:val="001930F9"/>
    <w:rsid w:val="001B538F"/>
    <w:rsid w:val="001B77B3"/>
    <w:rsid w:val="00227E7F"/>
    <w:rsid w:val="00240455"/>
    <w:rsid w:val="00295C86"/>
    <w:rsid w:val="002B6ED3"/>
    <w:rsid w:val="002C367E"/>
    <w:rsid w:val="002D4432"/>
    <w:rsid w:val="00302E03"/>
    <w:rsid w:val="003145C1"/>
    <w:rsid w:val="00334259"/>
    <w:rsid w:val="00344D9B"/>
    <w:rsid w:val="0039033E"/>
    <w:rsid w:val="00392820"/>
    <w:rsid w:val="003C06F6"/>
    <w:rsid w:val="003D3B74"/>
    <w:rsid w:val="003D4AFA"/>
    <w:rsid w:val="004A7301"/>
    <w:rsid w:val="004F00EF"/>
    <w:rsid w:val="00520461"/>
    <w:rsid w:val="00523730"/>
    <w:rsid w:val="00563CBB"/>
    <w:rsid w:val="00566193"/>
    <w:rsid w:val="005A55A7"/>
    <w:rsid w:val="005E3777"/>
    <w:rsid w:val="005E40E6"/>
    <w:rsid w:val="006012C2"/>
    <w:rsid w:val="00610469"/>
    <w:rsid w:val="006208DC"/>
    <w:rsid w:val="00666F34"/>
    <w:rsid w:val="0068519C"/>
    <w:rsid w:val="006B11A0"/>
    <w:rsid w:val="006E502E"/>
    <w:rsid w:val="00706750"/>
    <w:rsid w:val="00742234"/>
    <w:rsid w:val="0076103F"/>
    <w:rsid w:val="00770205"/>
    <w:rsid w:val="00776794"/>
    <w:rsid w:val="007802E9"/>
    <w:rsid w:val="007B31F2"/>
    <w:rsid w:val="007D2938"/>
    <w:rsid w:val="007F11CB"/>
    <w:rsid w:val="00862CF0"/>
    <w:rsid w:val="00872A76"/>
    <w:rsid w:val="008E04E7"/>
    <w:rsid w:val="008E3AFB"/>
    <w:rsid w:val="009719DD"/>
    <w:rsid w:val="009A1882"/>
    <w:rsid w:val="009E36FF"/>
    <w:rsid w:val="009E7E24"/>
    <w:rsid w:val="009F048D"/>
    <w:rsid w:val="00A268FE"/>
    <w:rsid w:val="00A45383"/>
    <w:rsid w:val="00A530F4"/>
    <w:rsid w:val="00A72C31"/>
    <w:rsid w:val="00A72CE8"/>
    <w:rsid w:val="00A736D4"/>
    <w:rsid w:val="00A91A58"/>
    <w:rsid w:val="00A97A70"/>
    <w:rsid w:val="00AA5388"/>
    <w:rsid w:val="00AC53B9"/>
    <w:rsid w:val="00AD4EA1"/>
    <w:rsid w:val="00AE1A34"/>
    <w:rsid w:val="00B01FDE"/>
    <w:rsid w:val="00B50EE8"/>
    <w:rsid w:val="00B85352"/>
    <w:rsid w:val="00BF0F87"/>
    <w:rsid w:val="00C01095"/>
    <w:rsid w:val="00C24D54"/>
    <w:rsid w:val="00C3775C"/>
    <w:rsid w:val="00C44113"/>
    <w:rsid w:val="00C45065"/>
    <w:rsid w:val="00C61E7C"/>
    <w:rsid w:val="00C64906"/>
    <w:rsid w:val="00CA1FDB"/>
    <w:rsid w:val="00CA4511"/>
    <w:rsid w:val="00CC5C1A"/>
    <w:rsid w:val="00CD2B77"/>
    <w:rsid w:val="00CE0038"/>
    <w:rsid w:val="00CF3D65"/>
    <w:rsid w:val="00D52EE7"/>
    <w:rsid w:val="00D641B2"/>
    <w:rsid w:val="00DC2DAC"/>
    <w:rsid w:val="00DD2723"/>
    <w:rsid w:val="00E6602D"/>
    <w:rsid w:val="00EA05C1"/>
    <w:rsid w:val="00EA1774"/>
    <w:rsid w:val="00EA44CC"/>
    <w:rsid w:val="00EB2E3F"/>
    <w:rsid w:val="00EC3156"/>
    <w:rsid w:val="00ED418C"/>
    <w:rsid w:val="00F135DB"/>
    <w:rsid w:val="00F46092"/>
    <w:rsid w:val="00F53407"/>
    <w:rsid w:val="00F54E1B"/>
    <w:rsid w:val="00F6054C"/>
    <w:rsid w:val="00FA557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8BCE"/>
  <w15:chartTrackingRefBased/>
  <w15:docId w15:val="{FBDEBE88-CB49-4A26-A4E6-80903507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E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52E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D52E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52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EE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52EE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D52EE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52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EE7"/>
    <w:rPr>
      <w:rFonts w:eastAsiaTheme="majorEastAsia" w:cstheme="majorBidi"/>
      <w:color w:val="272727" w:themeColor="text1" w:themeTint="D8"/>
    </w:rPr>
  </w:style>
  <w:style w:type="paragraph" w:styleId="Title">
    <w:name w:val="Title"/>
    <w:basedOn w:val="Normal"/>
    <w:next w:val="Normal"/>
    <w:link w:val="TitleChar"/>
    <w:uiPriority w:val="10"/>
    <w:qFormat/>
    <w:rsid w:val="00D52EE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52EE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52EE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52EE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52EE7"/>
    <w:pPr>
      <w:spacing w:before="160"/>
      <w:jc w:val="center"/>
    </w:pPr>
    <w:rPr>
      <w:i/>
      <w:iCs/>
      <w:color w:val="404040" w:themeColor="text1" w:themeTint="BF"/>
    </w:rPr>
  </w:style>
  <w:style w:type="character" w:customStyle="1" w:styleId="QuoteChar">
    <w:name w:val="Quote Char"/>
    <w:basedOn w:val="DefaultParagraphFont"/>
    <w:link w:val="Quote"/>
    <w:uiPriority w:val="29"/>
    <w:rsid w:val="00D52EE7"/>
    <w:rPr>
      <w:i/>
      <w:iCs/>
      <w:color w:val="404040" w:themeColor="text1" w:themeTint="BF"/>
    </w:rPr>
  </w:style>
  <w:style w:type="paragraph" w:styleId="ListParagraph">
    <w:name w:val="List Paragraph"/>
    <w:basedOn w:val="Normal"/>
    <w:uiPriority w:val="34"/>
    <w:qFormat/>
    <w:rsid w:val="00D52EE7"/>
    <w:pPr>
      <w:ind w:left="720"/>
      <w:contextualSpacing/>
    </w:pPr>
  </w:style>
  <w:style w:type="character" w:styleId="IntenseEmphasis">
    <w:name w:val="Intense Emphasis"/>
    <w:basedOn w:val="DefaultParagraphFont"/>
    <w:uiPriority w:val="21"/>
    <w:qFormat/>
    <w:rsid w:val="00D52EE7"/>
    <w:rPr>
      <w:i/>
      <w:iCs/>
      <w:color w:val="0F4761" w:themeColor="accent1" w:themeShade="BF"/>
    </w:rPr>
  </w:style>
  <w:style w:type="paragraph" w:styleId="IntenseQuote">
    <w:name w:val="Intense Quote"/>
    <w:basedOn w:val="Normal"/>
    <w:next w:val="Normal"/>
    <w:link w:val="IntenseQuoteChar"/>
    <w:uiPriority w:val="30"/>
    <w:qFormat/>
    <w:rsid w:val="00D52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EE7"/>
    <w:rPr>
      <w:i/>
      <w:iCs/>
      <w:color w:val="0F4761" w:themeColor="accent1" w:themeShade="BF"/>
    </w:rPr>
  </w:style>
  <w:style w:type="character" w:styleId="IntenseReference">
    <w:name w:val="Intense Reference"/>
    <w:basedOn w:val="DefaultParagraphFont"/>
    <w:uiPriority w:val="32"/>
    <w:qFormat/>
    <w:rsid w:val="00D52EE7"/>
    <w:rPr>
      <w:b/>
      <w:bCs/>
      <w:smallCaps/>
      <w:color w:val="0F4761" w:themeColor="accent1" w:themeShade="BF"/>
      <w:spacing w:val="5"/>
    </w:rPr>
  </w:style>
  <w:style w:type="paragraph" w:styleId="NormalWeb">
    <w:name w:val="Normal (Web)"/>
    <w:basedOn w:val="Normal"/>
    <w:uiPriority w:val="99"/>
    <w:semiHidden/>
    <w:unhideWhenUsed/>
    <w:rsid w:val="00AA53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3669</TotalTime>
  <Pages>14</Pages>
  <Words>7098</Words>
  <Characters>46566</Characters>
  <Application>Microsoft Office Word</Application>
  <DocSecurity>0</DocSecurity>
  <Lines>597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GALIB</dc:creator>
  <cp:keywords/>
  <dc:description/>
  <cp:lastModifiedBy>TAHMID MAHBUB TONMOY</cp:lastModifiedBy>
  <cp:revision>27</cp:revision>
  <dcterms:created xsi:type="dcterms:W3CDTF">2026-06-21T05:34:00Z</dcterms:created>
  <dcterms:modified xsi:type="dcterms:W3CDTF">2026-07-06T18:32:00Z</dcterms:modified>
</cp:coreProperties>
</file>