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79"/>
          <w:sz w:val="40"/>
          <w:szCs w:val="40"/>
        </w:rPr>
        <w:t xml:space="preserve">Graph Neural Network Model Comparison Report</w:t>
      </w:r>
    </w:p>
    <w:p>
      <w:pPr>
        <w:spacing w:after="100"/>
        <w:jc w:val="center"/>
      </w:pPr>
      <w:r>
        <w:rPr>
          <w:rFonts w:ascii="Arial" w:cs="Arial" w:eastAsia="Arial" w:hAnsi="Arial"/>
          <w:color w:val="555555"/>
          <w:sz w:val="24"/>
          <w:szCs w:val="24"/>
        </w:rPr>
        <w:t xml:space="preserve">PCOS Subtype Discovery and Classification — 10-Fold Cross-Validation</w:t>
      </w:r>
    </w:p>
    <w:p>
      <w:pPr>
        <w:spacing w:after="400"/>
        <w:jc w:val="center"/>
      </w:pPr>
      <w:r>
        <w:rPr>
          <w:rFonts w:ascii="Arial" w:cs="Arial" w:eastAsia="Arial" w:hAnsi="Arial"/>
          <w:i/>
          <w:iCs/>
          <w:color w:val="888888"/>
          <w:sz w:val="20"/>
          <w:szCs w:val="20"/>
        </w:rPr>
        <w:t xml:space="preserve">Dataset: Kerala PCOS Clinical Dataset (n = 541)  |  Training pool: 432  |  Sealed test: 109</w:t>
      </w:r>
    </w:p>
    <w:p>
      <w:pPr>
        <w:pStyle w:val="Heading1"/>
      </w:pPr>
      <w:r>
        <w:rPr>
          <w:rFonts w:ascii="Arial" w:cs="Arial" w:eastAsia="Arial" w:hAnsi="Arial"/>
          <w:b/>
          <w:bCs/>
          <w:color w:val="1F4E79"/>
          <w:sz w:val="32"/>
          <w:szCs w:val="32"/>
        </w:rPr>
        <w:t xml:space="preserve">1. Executive Summary</w:t>
      </w:r>
    </w:p>
    <w:p>
      <w:r>
        <w:t xml:space="preserve"/>
      </w:r>
    </w:p>
    <w:p>
      <w:pPr>
        <w:spacing w:after="120"/>
      </w:pPr>
      <w:r>
        <w:rPr>
          <w:rFonts w:ascii="Arial" w:cs="Arial" w:eastAsia="Arial" w:hAnsi="Arial"/>
          <w:sz w:val="22"/>
          <w:szCs w:val="22"/>
        </w:rPr>
        <w:t xml:space="preserve">This report compares five Graph Neural Network architectures trained on the Kerala PCOS clinical dataset under a unified experimental protocol. All models ran on GPU (CUDA). GraphSAGE is the clear overall winner across every primary metric. GIN exhibits critical calibration instability and is not recommended for the final evaluation. GPU re-runs of MPNN and GIN confirmed that MPNN improved modestly and GIN's instability is architectural, not device-related.</w:t>
      </w:r>
    </w:p>
    <w:p>
      <w:r>
        <w:t xml:space="preserve"/>
      </w:r>
    </w:p>
    <w:p>
      <w:pPr>
        <w:spacing w:after="120"/>
      </w:pPr>
      <w:r>
        <w:rPr>
          <w:rFonts w:ascii="Arial" w:cs="Arial" w:eastAsia="Arial" w:hAnsi="Arial"/>
          <w:b/>
          <w:bCs/>
          <w:sz w:val="22"/>
          <w:szCs w:val="22"/>
        </w:rPr>
        <w:t xml:space="preserve">Overall Ranking by MCC (supervisor key metric):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200"/>
        <w:gridCol w:w="1200"/>
        <w:gridCol w:w="1200"/>
        <w:gridCol w:w="1200"/>
        <w:gridCol w:w="1160"/>
      </w:tblGrid>
      <w:tr>
        <w:tc>
          <w:tcPr>
            <w:tcW w:type="dxa" w:w="800"/>
            <w:tcBorders>
              <w:top w:val="single" w:color="C9C9C9" w:sz="1"/>
              <w:left w:val="single" w:color="C9C9C9" w:sz="1"/>
              <w:bottom w:val="single" w:color="C9C9C9" w:sz="1"/>
              <w:right w:val="single" w:color="C9C9C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Rank</w:t>
            </w:r>
          </w:p>
        </w:tc>
        <w:tc>
          <w:tcPr>
            <w:tcW w:type="dxa" w:w="1600"/>
            <w:tcBorders>
              <w:top w:val="single" w:color="C9C9C9" w:sz="1"/>
              <w:left w:val="single" w:color="C9C9C9" w:sz="1"/>
              <w:bottom w:val="single" w:color="C9C9C9" w:sz="1"/>
              <w:right w:val="single" w:color="C9C9C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w:t>
            </w:r>
          </w:p>
        </w:tc>
        <w:tc>
          <w:tcPr>
            <w:tcW w:type="dxa" w:w="1200"/>
            <w:tcBorders>
              <w:top w:val="single" w:color="C9C9C9" w:sz="1"/>
              <w:left w:val="single" w:color="C9C9C9" w:sz="1"/>
              <w:bottom w:val="single" w:color="C9C9C9" w:sz="1"/>
              <w:right w:val="single" w:color="C9C9C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MCC</w:t>
            </w:r>
          </w:p>
        </w:tc>
        <w:tc>
          <w:tcPr>
            <w:tcW w:type="dxa" w:w="1200"/>
            <w:tcBorders>
              <w:top w:val="single" w:color="C9C9C9" w:sz="1"/>
              <w:left w:val="single" w:color="C9C9C9" w:sz="1"/>
              <w:bottom w:val="single" w:color="C9C9C9" w:sz="1"/>
              <w:right w:val="single" w:color="C9C9C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AUROC</w:t>
            </w:r>
          </w:p>
        </w:tc>
        <w:tc>
          <w:tcPr>
            <w:tcW w:type="dxa" w:w="1200"/>
            <w:tcBorders>
              <w:top w:val="single" w:color="C9C9C9" w:sz="1"/>
              <w:left w:val="single" w:color="C9C9C9" w:sz="1"/>
              <w:bottom w:val="single" w:color="C9C9C9" w:sz="1"/>
              <w:right w:val="single" w:color="C9C9C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Accuracy</w:t>
            </w:r>
          </w:p>
        </w:tc>
        <w:tc>
          <w:tcPr>
            <w:tcW w:type="dxa" w:w="1200"/>
            <w:tcBorders>
              <w:top w:val="single" w:color="C9C9C9" w:sz="1"/>
              <w:left w:val="single" w:color="C9C9C9" w:sz="1"/>
              <w:bottom w:val="single" w:color="C9C9C9" w:sz="1"/>
              <w:right w:val="single" w:color="C9C9C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w:t>
            </w:r>
          </w:p>
        </w:tc>
        <w:tc>
          <w:tcPr>
            <w:tcW w:type="dxa" w:w="1160"/>
            <w:tcBorders>
              <w:top w:val="single" w:color="C9C9C9" w:sz="1"/>
              <w:left w:val="single" w:color="C9C9C9" w:sz="1"/>
              <w:bottom w:val="single" w:color="C9C9C9" w:sz="1"/>
              <w:right w:val="single" w:color="C9C9C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Device</w:t>
            </w:r>
          </w:p>
        </w:tc>
      </w:tr>
      <w:tr>
        <w:tc>
          <w:tcPr>
            <w:tcW w:type="dxa" w:w="800"/>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1600"/>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GraphSAGE</w:t>
            </w:r>
          </w:p>
        </w:tc>
        <w:tc>
          <w:tcPr>
            <w:tcW w:type="dxa" w:w="1200"/>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0.7175</w:t>
            </w:r>
          </w:p>
        </w:tc>
        <w:tc>
          <w:tcPr>
            <w:tcW w:type="dxa" w:w="1200"/>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0.9313</w:t>
            </w:r>
          </w:p>
        </w:tc>
        <w:tc>
          <w:tcPr>
            <w:tcW w:type="dxa" w:w="1200"/>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0.8728</w:t>
            </w:r>
          </w:p>
        </w:tc>
        <w:tc>
          <w:tcPr>
            <w:tcW w:type="dxa" w:w="1200"/>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0.8064</w:t>
            </w:r>
          </w:p>
        </w:tc>
        <w:tc>
          <w:tcPr>
            <w:tcW w:type="dxa" w:w="1160"/>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GPU (CUDA)</w:t>
            </w:r>
          </w:p>
        </w:tc>
      </w:tr>
      <w:tr>
        <w:tc>
          <w:tcPr>
            <w:tcW w:type="dxa" w:w="8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16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GCN</w:t>
            </w:r>
          </w:p>
        </w:tc>
        <w:tc>
          <w:tcPr>
            <w:tcW w:type="dxa" w:w="12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0.6484</w:t>
            </w:r>
          </w:p>
        </w:tc>
        <w:tc>
          <w:tcPr>
            <w:tcW w:type="dxa" w:w="12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0.9136</w:t>
            </w:r>
          </w:p>
        </w:tc>
        <w:tc>
          <w:tcPr>
            <w:tcW w:type="dxa" w:w="12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0.8407</w:t>
            </w:r>
          </w:p>
        </w:tc>
        <w:tc>
          <w:tcPr>
            <w:tcW w:type="dxa" w:w="12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0.7558</w:t>
            </w:r>
          </w:p>
        </w:tc>
        <w:tc>
          <w:tcPr>
            <w:tcW w:type="dxa" w:w="116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GPU (CUDA)</w:t>
            </w:r>
          </w:p>
        </w:tc>
      </w:tr>
      <w:tr>
        <w:tc>
          <w:tcPr>
            <w:tcW w:type="dxa" w:w="8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16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MPNN</w:t>
            </w:r>
          </w:p>
        </w:tc>
        <w:tc>
          <w:tcPr>
            <w:tcW w:type="dxa" w:w="12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0.6406</w:t>
            </w:r>
          </w:p>
        </w:tc>
        <w:tc>
          <w:tcPr>
            <w:tcW w:type="dxa" w:w="12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0.9097</w:t>
            </w:r>
          </w:p>
        </w:tc>
        <w:tc>
          <w:tcPr>
            <w:tcW w:type="dxa" w:w="12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0.8382</w:t>
            </w:r>
          </w:p>
        </w:tc>
        <w:tc>
          <w:tcPr>
            <w:tcW w:type="dxa" w:w="12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0.7561</w:t>
            </w:r>
          </w:p>
        </w:tc>
        <w:tc>
          <w:tcPr>
            <w:tcW w:type="dxa" w:w="116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GPU (CUDA)</w:t>
            </w:r>
          </w:p>
        </w:tc>
      </w:tr>
      <w:tr>
        <w:tc>
          <w:tcPr>
            <w:tcW w:type="dxa" w:w="8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16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GAT</w:t>
            </w:r>
          </w:p>
        </w:tc>
        <w:tc>
          <w:tcPr>
            <w:tcW w:type="dxa" w:w="12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0.5997</w:t>
            </w:r>
          </w:p>
        </w:tc>
        <w:tc>
          <w:tcPr>
            <w:tcW w:type="dxa" w:w="12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0.9144</w:t>
            </w:r>
          </w:p>
        </w:tc>
        <w:tc>
          <w:tcPr>
            <w:tcW w:type="dxa" w:w="12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0.8151</w:t>
            </w:r>
          </w:p>
        </w:tc>
        <w:tc>
          <w:tcPr>
            <w:tcW w:type="dxa" w:w="12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0.7331</w:t>
            </w:r>
          </w:p>
        </w:tc>
        <w:tc>
          <w:tcPr>
            <w:tcW w:type="dxa" w:w="116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GPU (CUDA)</w:t>
            </w:r>
          </w:p>
        </w:tc>
      </w:tr>
      <w:tr>
        <w:tc>
          <w:tcPr>
            <w:tcW w:type="dxa" w:w="800"/>
            <w:tcBorders>
              <w:top w:val="single" w:color="C9C9C9" w:sz="1"/>
              <w:left w:val="single" w:color="C9C9C9" w:sz="1"/>
              <w:bottom w:val="single" w:color="C9C9C9" w:sz="1"/>
              <w:right w:val="single" w:color="C9C9C9"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1600"/>
            <w:tcBorders>
              <w:top w:val="single" w:color="C9C9C9" w:sz="1"/>
              <w:left w:val="single" w:color="C9C9C9" w:sz="1"/>
              <w:bottom w:val="single" w:color="C9C9C9" w:sz="1"/>
              <w:right w:val="single" w:color="C9C9C9"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GIN</w:t>
            </w:r>
          </w:p>
        </w:tc>
        <w:tc>
          <w:tcPr>
            <w:tcW w:type="dxa" w:w="1200"/>
            <w:tcBorders>
              <w:top w:val="single" w:color="C9C9C9" w:sz="1"/>
              <w:left w:val="single" w:color="C9C9C9" w:sz="1"/>
              <w:bottom w:val="single" w:color="C9C9C9" w:sz="1"/>
              <w:right w:val="single" w:color="C9C9C9"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843C0C"/>
                <w:sz w:val="18"/>
                <w:szCs w:val="18"/>
              </w:rPr>
              <w:t xml:space="preserve">0.5071</w:t>
            </w:r>
          </w:p>
        </w:tc>
        <w:tc>
          <w:tcPr>
            <w:tcW w:type="dxa" w:w="1200"/>
            <w:tcBorders>
              <w:top w:val="single" w:color="C9C9C9" w:sz="1"/>
              <w:left w:val="single" w:color="C9C9C9" w:sz="1"/>
              <w:bottom w:val="single" w:color="C9C9C9" w:sz="1"/>
              <w:right w:val="single" w:color="C9C9C9"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0.9265</w:t>
            </w:r>
          </w:p>
        </w:tc>
        <w:tc>
          <w:tcPr>
            <w:tcW w:type="dxa" w:w="1200"/>
            <w:tcBorders>
              <w:top w:val="single" w:color="C9C9C9" w:sz="1"/>
              <w:left w:val="single" w:color="C9C9C9" w:sz="1"/>
              <w:bottom w:val="single" w:color="C9C9C9" w:sz="1"/>
              <w:right w:val="single" w:color="C9C9C9"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0.7244</w:t>
            </w:r>
          </w:p>
        </w:tc>
        <w:tc>
          <w:tcPr>
            <w:tcW w:type="dxa" w:w="1200"/>
            <w:tcBorders>
              <w:top w:val="single" w:color="C9C9C9" w:sz="1"/>
              <w:left w:val="single" w:color="C9C9C9" w:sz="1"/>
              <w:bottom w:val="single" w:color="C9C9C9" w:sz="1"/>
              <w:right w:val="single" w:color="C9C9C9"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0.6917</w:t>
            </w:r>
          </w:p>
        </w:tc>
        <w:tc>
          <w:tcPr>
            <w:tcW w:type="dxa" w:w="1160"/>
            <w:tcBorders>
              <w:top w:val="single" w:color="C9C9C9" w:sz="1"/>
              <w:left w:val="single" w:color="C9C9C9" w:sz="1"/>
              <w:bottom w:val="single" w:color="C9C9C9" w:sz="1"/>
              <w:right w:val="single" w:color="C9C9C9"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GPU (CUDA)</w:t>
            </w:r>
          </w:p>
        </w:tc>
      </w:tr>
    </w:tbl>
    <w:p>
      <w:r>
        <w:t xml:space="preserve"/>
      </w:r>
    </w:p>
    <w:p>
      <w:pPr>
        <w:spacing w:after="120"/>
      </w:pPr>
      <w:r>
        <w:rPr>
          <w:rFonts w:ascii="Arial" w:cs="Arial" w:eastAsia="Arial" w:hAnsi="Arial"/>
          <w:i/>
          <w:iCs/>
          <w:color w:val="666666"/>
          <w:sz w:val="18"/>
          <w:szCs w:val="18"/>
        </w:rPr>
        <w:t xml:space="preserve">Green shading = best model. Orange shading = GIN (instability warning).</w:t>
      </w:r>
    </w:p>
    <w:p>
      <w:r>
        <w:t xml:space="preserve"/>
      </w:r>
    </w:p>
    <w:p>
      <w:r>
        <w:t xml:space="preserve"/>
      </w:r>
    </w:p>
    <w:p>
      <w:pPr>
        <w:pStyle w:val="Heading1"/>
      </w:pPr>
      <w:r>
        <w:rPr>
          <w:rFonts w:ascii="Arial" w:cs="Arial" w:eastAsia="Arial" w:hAnsi="Arial"/>
          <w:b/>
          <w:bCs/>
          <w:color w:val="1F4E79"/>
          <w:sz w:val="32"/>
          <w:szCs w:val="32"/>
        </w:rPr>
        <w:t xml:space="preserve">2. Full Metric Comparison (Mean ± Std, 10-Fold CV)</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1548"/>
        <w:gridCol w:w="1548"/>
        <w:gridCol w:w="1548"/>
        <w:gridCol w:w="1548"/>
        <w:gridCol w:w="1548"/>
      </w:tblGrid>
      <w:tr>
        <w:tc>
          <w:tcPr>
            <w:tcW w:type="dxa" w:w="1620"/>
            <w:tcBorders>
              <w:top w:val="single" w:color="C9C9C9" w:sz="1"/>
              <w:left w:val="single" w:color="C9C9C9" w:sz="1"/>
              <w:bottom w:val="single" w:color="C9C9C9" w:sz="1"/>
              <w:right w:val="single" w:color="C9C9C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548"/>
            <w:tcBorders>
              <w:top w:val="single" w:color="C9C9C9" w:sz="1"/>
              <w:left w:val="single" w:color="C9C9C9" w:sz="1"/>
              <w:bottom w:val="single" w:color="C9C9C9" w:sz="1"/>
              <w:right w:val="single" w:color="C9C9C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GCN</w:t>
            </w:r>
          </w:p>
        </w:tc>
        <w:tc>
          <w:tcPr>
            <w:tcW w:type="dxa" w:w="1548"/>
            <w:tcBorders>
              <w:top w:val="single" w:color="C9C9C9" w:sz="1"/>
              <w:left w:val="single" w:color="C9C9C9" w:sz="1"/>
              <w:bottom w:val="single" w:color="C9C9C9" w:sz="1"/>
              <w:right w:val="single" w:color="C9C9C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GAT</w:t>
            </w:r>
          </w:p>
        </w:tc>
        <w:tc>
          <w:tcPr>
            <w:tcW w:type="dxa" w:w="1548"/>
            <w:tcBorders>
              <w:top w:val="single" w:color="C9C9C9" w:sz="1"/>
              <w:left w:val="single" w:color="C9C9C9" w:sz="1"/>
              <w:bottom w:val="single" w:color="C9C9C9" w:sz="1"/>
              <w:right w:val="single" w:color="C9C9C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GraphSAGE</w:t>
            </w:r>
          </w:p>
        </w:tc>
        <w:tc>
          <w:tcPr>
            <w:tcW w:type="dxa" w:w="1548"/>
            <w:tcBorders>
              <w:top w:val="single" w:color="C9C9C9" w:sz="1"/>
              <w:left w:val="single" w:color="C9C9C9" w:sz="1"/>
              <w:bottom w:val="single" w:color="C9C9C9" w:sz="1"/>
              <w:right w:val="single" w:color="C9C9C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MPNN</w:t>
            </w:r>
          </w:p>
        </w:tc>
        <w:tc>
          <w:tcPr>
            <w:tcW w:type="dxa" w:w="1548"/>
            <w:tcBorders>
              <w:top w:val="single" w:color="C9C9C9" w:sz="1"/>
              <w:left w:val="single" w:color="C9C9C9" w:sz="1"/>
              <w:bottom w:val="single" w:color="C9C9C9" w:sz="1"/>
              <w:right w:val="single" w:color="C9C9C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GIN</w:t>
            </w:r>
          </w:p>
        </w:tc>
      </w:tr>
      <w:tr>
        <w:tc>
          <w:tcPr>
            <w:tcW w:type="dxa" w:w="162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Accuracy</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0.8407 ± 0.0866</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0.8151 ± 0.0774</w:t>
            </w:r>
          </w:p>
        </w:tc>
        <w:tc>
          <w:tcPr>
            <w:tcW w:type="dxa" w:w="1548"/>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0.8728 ± 0.0577</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0.8382 ± 0.0745</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0.7244 ± 0.1695</w:t>
            </w:r>
          </w:p>
        </w:tc>
      </w:tr>
      <w:tr>
        <w:tc>
          <w:tcPr>
            <w:tcW w:type="dxa" w:w="1620"/>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Precision</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0.7580 ± 0.1361</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0.7065 ± 0.1224</w:t>
            </w:r>
          </w:p>
        </w:tc>
        <w:tc>
          <w:tcPr>
            <w:tcW w:type="dxa" w:w="1548"/>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0.7987 ± 0.0843</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0.7503 ± 0.1186</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0.5945 ± 0.1453</w:t>
            </w:r>
          </w:p>
        </w:tc>
      </w:tr>
      <w:tr>
        <w:tc>
          <w:tcPr>
            <w:tcW w:type="dxa" w:w="162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Recall</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0.7733 ± 0.1838</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0.7733 ± 0.1179</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0.8238 ± 0.1296</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0.7733 ± 0.1373</w:t>
            </w:r>
          </w:p>
        </w:tc>
        <w:tc>
          <w:tcPr>
            <w:tcW w:type="dxa" w:w="1548"/>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0.8724 ± 0.1204</w:t>
            </w:r>
          </w:p>
        </w:tc>
      </w:tr>
      <w:tr>
        <w:tc>
          <w:tcPr>
            <w:tcW w:type="dxa" w:w="1620"/>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F1-Score</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0.7558 ± 0.1426</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0.7331 ± 0.1024</w:t>
            </w:r>
          </w:p>
        </w:tc>
        <w:tc>
          <w:tcPr>
            <w:tcW w:type="dxa" w:w="1548"/>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0.8064 ± 0.0895</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0.7561 ± 0.1101</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0.6917 ± 0.1118</w:t>
            </w:r>
          </w:p>
        </w:tc>
      </w:tr>
      <w:tr>
        <w:tc>
          <w:tcPr>
            <w:tcW w:type="dxa" w:w="162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MCC (key)</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0.6484 ± 0.1949</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0.5997 ± 0.1570</w:t>
            </w:r>
          </w:p>
        </w:tc>
        <w:tc>
          <w:tcPr>
            <w:tcW w:type="dxa" w:w="1548"/>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0.7175 ± 0.1319</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0.6406 ± 0.1650</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0.5071 ± 0.2255</w:t>
            </w:r>
          </w:p>
        </w:tc>
      </w:tr>
      <w:tr>
        <w:tc>
          <w:tcPr>
            <w:tcW w:type="dxa" w:w="1620"/>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AUROC</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0.9136 ± 0.0695</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0.9144 ± 0.0541</w:t>
            </w:r>
          </w:p>
        </w:tc>
        <w:tc>
          <w:tcPr>
            <w:tcW w:type="dxa" w:w="1548"/>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0.9313 ± 0.0535</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0.9097 ± 0.0647</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0.9265 ± 0.0516</w:t>
            </w:r>
          </w:p>
        </w:tc>
      </w:tr>
      <w:tr>
        <w:tc>
          <w:tcPr>
            <w:tcW w:type="dxa" w:w="162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AUPRC</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0.8643 ± 0.1011</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0.8720 ± 0.0851</w:t>
            </w:r>
          </w:p>
        </w:tc>
        <w:tc>
          <w:tcPr>
            <w:tcW w:type="dxa" w:w="1548"/>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0.8944 ± 0.0778</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0.8673 ± 0.1032</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0.8856 ± 0.0891</w:t>
            </w:r>
          </w:p>
        </w:tc>
      </w:tr>
      <w:tr>
        <w:tc>
          <w:tcPr>
            <w:tcW w:type="dxa" w:w="1620"/>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Sensitivity</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0.7733 ± 0.1838</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0.7733 ± 0.1179</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0.8238 ± 0.1296</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0.7733 ± 0.1373</w:t>
            </w:r>
          </w:p>
        </w:tc>
        <w:tc>
          <w:tcPr>
            <w:tcW w:type="dxa" w:w="1548"/>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0.8724 ± 0.1204</w:t>
            </w:r>
          </w:p>
        </w:tc>
      </w:tr>
      <w:tr>
        <w:tc>
          <w:tcPr>
            <w:tcW w:type="dxa" w:w="162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Specificity</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0.8736 ± 0.0934</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0.8353 ± 0.0821</w:t>
            </w:r>
          </w:p>
        </w:tc>
        <w:tc>
          <w:tcPr>
            <w:tcW w:type="dxa" w:w="1548"/>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0.8969 ± 0.0534</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0.8694 ± 0.0704</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0.6526 ± 0.2749</w:t>
            </w:r>
          </w:p>
        </w:tc>
      </w:tr>
      <w:tr>
        <w:tc>
          <w:tcPr>
            <w:tcW w:type="dxa" w:w="1620"/>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Cohen Kappa</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0.6396 ± 0.1997</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0.5931 ± 0.1576</w:t>
            </w:r>
          </w:p>
        </w:tc>
        <w:tc>
          <w:tcPr>
            <w:tcW w:type="dxa" w:w="1548"/>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0.7123 ± 0.1315</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0.6357 ± 0.1651</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0.4810 ± 0.2307</w:t>
            </w:r>
          </w:p>
        </w:tc>
      </w:tr>
      <w:tr>
        <w:tc>
          <w:tcPr>
            <w:tcW w:type="dxa" w:w="162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FMI</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0.7653 ± 0.1077</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0.7247 ± 0.0964</w:t>
            </w:r>
          </w:p>
        </w:tc>
        <w:tc>
          <w:tcPr>
            <w:tcW w:type="dxa" w:w="1548"/>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0.7998 ± 0.0762</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0.7559 ± 0.0994</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0.6852 ± 0.0800</w:t>
            </w:r>
          </w:p>
        </w:tc>
      </w:tr>
      <w:tr>
        <w:tc>
          <w:tcPr>
            <w:tcW w:type="dxa" w:w="1620"/>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NMI</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0.3923 ± 0.2243</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0.3222 ± 0.1916</w:t>
            </w:r>
          </w:p>
        </w:tc>
        <w:tc>
          <w:tcPr>
            <w:tcW w:type="dxa" w:w="1548"/>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0.4577 ± 0.1731</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0.3678 ± 0.2145</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0.2581 ± 0.1517</w:t>
            </w:r>
          </w:p>
        </w:tc>
      </w:tr>
    </w:tbl>
    <w:p>
      <w:r>
        <w:t xml:space="preserve"/>
      </w:r>
    </w:p>
    <w:p>
      <w:pPr>
        <w:spacing w:after="120"/>
      </w:pPr>
      <w:r>
        <w:rPr>
          <w:rFonts w:ascii="Arial" w:cs="Arial" w:eastAsia="Arial" w:hAnsi="Arial"/>
          <w:i/>
          <w:iCs/>
          <w:color w:val="666666"/>
          <w:sz w:val="18"/>
          <w:szCs w:val="18"/>
        </w:rPr>
        <w:t xml:space="preserve">Green cells indicate the best value for each metric across all five models.</w:t>
      </w:r>
    </w:p>
    <w:p>
      <w:r>
        <w:t xml:space="preserve"/>
      </w:r>
    </w:p>
    <w:p>
      <w:r>
        <w:t xml:space="preserve"/>
      </w:r>
    </w:p>
    <w:p>
      <w:pPr>
        <w:pStyle w:val="Heading1"/>
      </w:pPr>
      <w:r>
        <w:rPr>
          <w:rFonts w:ascii="Arial" w:cs="Arial" w:eastAsia="Arial" w:hAnsi="Arial"/>
          <w:b/>
          <w:bCs/>
          <w:color w:val="1F4E79"/>
          <w:sz w:val="32"/>
          <w:szCs w:val="32"/>
        </w:rPr>
        <w:t xml:space="preserve">3. Per-Class Metrics (Aggregated Across All 10 Folds)</w:t>
      </w:r>
    </w:p>
    <w:p>
      <w:r>
        <w:t xml:space="preserve"/>
      </w:r>
    </w:p>
    <w:p>
      <w:pPr>
        <w:spacing w:after="120"/>
      </w:pPr>
      <w:r>
        <w:rPr>
          <w:rFonts w:ascii="Arial" w:cs="Arial" w:eastAsia="Arial" w:hAnsi="Arial"/>
          <w:sz w:val="22"/>
          <w:szCs w:val="22"/>
        </w:rPr>
        <w:t xml:space="preserve">The table shows classification performance separately for Class 0 (No PCOS) and Class 1 (PCOS positive). Class 1 precision and F1 are the clinically decisive metrics.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92"/>
        <w:gridCol w:w="1592"/>
        <w:gridCol w:w="1592"/>
        <w:gridCol w:w="1592"/>
        <w:gridCol w:w="1592"/>
      </w:tblGrid>
      <w:tr>
        <w:tc>
          <w:tcPr>
            <w:tcW w:type="dxa" w:w="1400"/>
            <w:tcBorders>
              <w:top w:val="single" w:color="C9C9C9" w:sz="1"/>
              <w:left w:val="single" w:color="C9C9C9" w:sz="1"/>
              <w:bottom w:val="single" w:color="C9C9C9" w:sz="1"/>
              <w:right w:val="single" w:color="C9C9C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592"/>
            <w:tcBorders>
              <w:top w:val="single" w:color="C9C9C9" w:sz="1"/>
              <w:left w:val="single" w:color="C9C9C9" w:sz="1"/>
              <w:bottom w:val="single" w:color="C9C9C9" w:sz="1"/>
              <w:right w:val="single" w:color="C9C9C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GCN</w:t>
            </w:r>
          </w:p>
        </w:tc>
        <w:tc>
          <w:tcPr>
            <w:tcW w:type="dxa" w:w="1592"/>
            <w:tcBorders>
              <w:top w:val="single" w:color="C9C9C9" w:sz="1"/>
              <w:left w:val="single" w:color="C9C9C9" w:sz="1"/>
              <w:bottom w:val="single" w:color="C9C9C9" w:sz="1"/>
              <w:right w:val="single" w:color="C9C9C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GAT</w:t>
            </w:r>
          </w:p>
        </w:tc>
        <w:tc>
          <w:tcPr>
            <w:tcW w:type="dxa" w:w="1592"/>
            <w:tcBorders>
              <w:top w:val="single" w:color="C9C9C9" w:sz="1"/>
              <w:left w:val="single" w:color="C9C9C9" w:sz="1"/>
              <w:bottom w:val="single" w:color="C9C9C9" w:sz="1"/>
              <w:right w:val="single" w:color="C9C9C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GraphSAGE</w:t>
            </w:r>
          </w:p>
        </w:tc>
        <w:tc>
          <w:tcPr>
            <w:tcW w:type="dxa" w:w="1592"/>
            <w:tcBorders>
              <w:top w:val="single" w:color="C9C9C9" w:sz="1"/>
              <w:left w:val="single" w:color="C9C9C9" w:sz="1"/>
              <w:bottom w:val="single" w:color="C9C9C9" w:sz="1"/>
              <w:right w:val="single" w:color="C9C9C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MPNN</w:t>
            </w:r>
          </w:p>
        </w:tc>
        <w:tc>
          <w:tcPr>
            <w:tcW w:type="dxa" w:w="1592"/>
            <w:tcBorders>
              <w:top w:val="single" w:color="C9C9C9" w:sz="1"/>
              <w:left w:val="single" w:color="C9C9C9" w:sz="1"/>
              <w:bottom w:val="single" w:color="C9C9C9" w:sz="1"/>
              <w:right w:val="single" w:color="C9C9C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GIN</w:t>
            </w:r>
          </w:p>
        </w:tc>
      </w:tr>
      <w:tr>
        <w:tc>
          <w:tcPr>
            <w:tcW w:type="dxa" w:w="14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Class 0 Precision</w:t>
            </w:r>
          </w:p>
        </w:tc>
        <w:tc>
          <w:tcPr>
            <w:tcW w:type="dxa" w:w="1592"/>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0.8881</w:t>
            </w:r>
          </w:p>
        </w:tc>
        <w:tc>
          <w:tcPr>
            <w:tcW w:type="dxa" w:w="1592"/>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0.8836</w:t>
            </w:r>
          </w:p>
        </w:tc>
        <w:tc>
          <w:tcPr>
            <w:tcW w:type="dxa" w:w="1592"/>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0.9126</w:t>
            </w:r>
          </w:p>
        </w:tc>
        <w:tc>
          <w:tcPr>
            <w:tcW w:type="dxa" w:w="1592"/>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0.8877</w:t>
            </w:r>
          </w:p>
        </w:tc>
        <w:tc>
          <w:tcPr>
            <w:tcW w:type="dxa" w:w="1592"/>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0.9135</w:t>
            </w:r>
          </w:p>
        </w:tc>
      </w:tr>
      <w:tr>
        <w:tc>
          <w:tcPr>
            <w:tcW w:type="dxa" w:w="1400"/>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Class 0 Recall</w:t>
            </w:r>
          </w:p>
        </w:tc>
        <w:tc>
          <w:tcPr>
            <w:tcW w:type="dxa" w:w="1592"/>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0.8729</w:t>
            </w:r>
          </w:p>
        </w:tc>
        <w:tc>
          <w:tcPr>
            <w:tcW w:type="dxa" w:w="1592"/>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0.8351</w:t>
            </w:r>
          </w:p>
        </w:tc>
        <w:tc>
          <w:tcPr>
            <w:tcW w:type="dxa" w:w="1592"/>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0.8969</w:t>
            </w:r>
          </w:p>
        </w:tc>
        <w:tc>
          <w:tcPr>
            <w:tcW w:type="dxa" w:w="1592"/>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0.8694</w:t>
            </w:r>
          </w:p>
        </w:tc>
        <w:tc>
          <w:tcPr>
            <w:tcW w:type="dxa" w:w="1592"/>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0.6529</w:t>
            </w:r>
          </w:p>
        </w:tc>
      </w:tr>
      <w:tr>
        <w:tc>
          <w:tcPr>
            <w:tcW w:type="dxa" w:w="14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Class 0 F1</w:t>
            </w:r>
          </w:p>
        </w:tc>
        <w:tc>
          <w:tcPr>
            <w:tcW w:type="dxa" w:w="1592"/>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0.8804</w:t>
            </w:r>
          </w:p>
        </w:tc>
        <w:tc>
          <w:tcPr>
            <w:tcW w:type="dxa" w:w="1592"/>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0.8587</w:t>
            </w:r>
          </w:p>
        </w:tc>
        <w:tc>
          <w:tcPr>
            <w:tcW w:type="dxa" w:w="1592"/>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0.9047</w:t>
            </w:r>
          </w:p>
        </w:tc>
        <w:tc>
          <w:tcPr>
            <w:tcW w:type="dxa" w:w="1592"/>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0.8785</w:t>
            </w:r>
          </w:p>
        </w:tc>
        <w:tc>
          <w:tcPr>
            <w:tcW w:type="dxa" w:w="1592"/>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0.7615</w:t>
            </w:r>
          </w:p>
        </w:tc>
      </w:tr>
      <w:tr>
        <w:tc>
          <w:tcPr>
            <w:tcW w:type="dxa" w:w="1400"/>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Class 1 Precision</w:t>
            </w:r>
          </w:p>
        </w:tc>
        <w:tc>
          <w:tcPr>
            <w:tcW w:type="dxa" w:w="1592"/>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0.7466</w:t>
            </w:r>
          </w:p>
        </w:tc>
        <w:tc>
          <w:tcPr>
            <w:tcW w:type="dxa" w:w="1592"/>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0.6943</w:t>
            </w:r>
          </w:p>
        </w:tc>
        <w:tc>
          <w:tcPr>
            <w:tcW w:type="dxa" w:w="1592"/>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0.7945</w:t>
            </w:r>
          </w:p>
        </w:tc>
        <w:tc>
          <w:tcPr>
            <w:tcW w:type="dxa" w:w="1592"/>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0.7415</w:t>
            </w:r>
          </w:p>
        </w:tc>
        <w:tc>
          <w:tcPr>
            <w:tcW w:type="dxa" w:w="1592"/>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0.5491</w:t>
            </w:r>
          </w:p>
        </w:tc>
      </w:tr>
      <w:tr>
        <w:tc>
          <w:tcPr>
            <w:tcW w:type="dxa" w:w="14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Class 1 Recall</w:t>
            </w:r>
          </w:p>
        </w:tc>
        <w:tc>
          <w:tcPr>
            <w:tcW w:type="dxa" w:w="1592"/>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0.7730</w:t>
            </w:r>
          </w:p>
        </w:tc>
        <w:tc>
          <w:tcPr>
            <w:tcW w:type="dxa" w:w="1592"/>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0.7730</w:t>
            </w:r>
          </w:p>
        </w:tc>
        <w:tc>
          <w:tcPr>
            <w:tcW w:type="dxa" w:w="1592"/>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0.8227</w:t>
            </w:r>
          </w:p>
        </w:tc>
        <w:tc>
          <w:tcPr>
            <w:tcW w:type="dxa" w:w="1592"/>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0.7730</w:t>
            </w:r>
          </w:p>
        </w:tc>
        <w:tc>
          <w:tcPr>
            <w:tcW w:type="dxa" w:w="1592"/>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0.8723</w:t>
            </w:r>
          </w:p>
        </w:tc>
      </w:tr>
      <w:tr>
        <w:tc>
          <w:tcPr>
            <w:tcW w:type="dxa" w:w="1400"/>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Class 1 F1</w:t>
            </w:r>
          </w:p>
        </w:tc>
        <w:tc>
          <w:tcPr>
            <w:tcW w:type="dxa" w:w="1592"/>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0.7596</w:t>
            </w:r>
          </w:p>
        </w:tc>
        <w:tc>
          <w:tcPr>
            <w:tcW w:type="dxa" w:w="1592"/>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0.7315</w:t>
            </w:r>
          </w:p>
        </w:tc>
        <w:tc>
          <w:tcPr>
            <w:tcW w:type="dxa" w:w="1592"/>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0.8084</w:t>
            </w:r>
          </w:p>
        </w:tc>
        <w:tc>
          <w:tcPr>
            <w:tcW w:type="dxa" w:w="1592"/>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0.7569</w:t>
            </w:r>
          </w:p>
        </w:tc>
        <w:tc>
          <w:tcPr>
            <w:tcW w:type="dxa" w:w="1592"/>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0.6740</w:t>
            </w:r>
          </w:p>
        </w:tc>
      </w:tr>
      <w:tr>
        <w:tc>
          <w:tcPr>
            <w:tcW w:type="dxa" w:w="14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True Positives (TP)</w:t>
            </w:r>
          </w:p>
        </w:tc>
        <w:tc>
          <w:tcPr>
            <w:tcW w:type="dxa" w:w="1592"/>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109</w:t>
            </w:r>
          </w:p>
        </w:tc>
        <w:tc>
          <w:tcPr>
            <w:tcW w:type="dxa" w:w="1592"/>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109</w:t>
            </w:r>
          </w:p>
        </w:tc>
        <w:tc>
          <w:tcPr>
            <w:tcW w:type="dxa" w:w="1592"/>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116</w:t>
            </w:r>
          </w:p>
        </w:tc>
        <w:tc>
          <w:tcPr>
            <w:tcW w:type="dxa" w:w="1592"/>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109</w:t>
            </w:r>
          </w:p>
        </w:tc>
        <w:tc>
          <w:tcPr>
            <w:tcW w:type="dxa" w:w="1592"/>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123</w:t>
            </w:r>
          </w:p>
        </w:tc>
      </w:tr>
      <w:tr>
        <w:tc>
          <w:tcPr>
            <w:tcW w:type="dxa" w:w="1400"/>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False Positives (FP)</w:t>
            </w:r>
          </w:p>
        </w:tc>
        <w:tc>
          <w:tcPr>
            <w:tcW w:type="dxa" w:w="1592"/>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37</w:t>
            </w:r>
          </w:p>
        </w:tc>
        <w:tc>
          <w:tcPr>
            <w:tcW w:type="dxa" w:w="1592"/>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w:t>
            </w:r>
          </w:p>
        </w:tc>
        <w:tc>
          <w:tcPr>
            <w:tcW w:type="dxa" w:w="1592"/>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30</w:t>
            </w:r>
          </w:p>
        </w:tc>
        <w:tc>
          <w:tcPr>
            <w:tcW w:type="dxa" w:w="1592"/>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38</w:t>
            </w:r>
          </w:p>
        </w:tc>
        <w:tc>
          <w:tcPr>
            <w:tcW w:type="dxa" w:w="1592"/>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101</w:t>
            </w:r>
          </w:p>
        </w:tc>
      </w:tr>
      <w:tr>
        <w:tc>
          <w:tcPr>
            <w:tcW w:type="dxa" w:w="140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True Negatives (TN)</w:t>
            </w:r>
          </w:p>
        </w:tc>
        <w:tc>
          <w:tcPr>
            <w:tcW w:type="dxa" w:w="1592"/>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254</w:t>
            </w:r>
          </w:p>
        </w:tc>
        <w:tc>
          <w:tcPr>
            <w:tcW w:type="dxa" w:w="1592"/>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243</w:t>
            </w:r>
          </w:p>
        </w:tc>
        <w:tc>
          <w:tcPr>
            <w:tcW w:type="dxa" w:w="1592"/>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261</w:t>
            </w:r>
          </w:p>
        </w:tc>
        <w:tc>
          <w:tcPr>
            <w:tcW w:type="dxa" w:w="1592"/>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253</w:t>
            </w:r>
          </w:p>
        </w:tc>
        <w:tc>
          <w:tcPr>
            <w:tcW w:type="dxa" w:w="1592"/>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190</w:t>
            </w:r>
          </w:p>
        </w:tc>
      </w:tr>
      <w:tr>
        <w:tc>
          <w:tcPr>
            <w:tcW w:type="dxa" w:w="1400"/>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False Negatives (FN)</w:t>
            </w:r>
          </w:p>
        </w:tc>
        <w:tc>
          <w:tcPr>
            <w:tcW w:type="dxa" w:w="1592"/>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32</w:t>
            </w:r>
          </w:p>
        </w:tc>
        <w:tc>
          <w:tcPr>
            <w:tcW w:type="dxa" w:w="1592"/>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32</w:t>
            </w:r>
          </w:p>
        </w:tc>
        <w:tc>
          <w:tcPr>
            <w:tcW w:type="dxa" w:w="1592"/>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25</w:t>
            </w:r>
          </w:p>
        </w:tc>
        <w:tc>
          <w:tcPr>
            <w:tcW w:type="dxa" w:w="1592"/>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32</w:t>
            </w:r>
          </w:p>
        </w:tc>
        <w:tc>
          <w:tcPr>
            <w:tcW w:type="dxa" w:w="1592"/>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18</w:t>
            </w:r>
          </w:p>
        </w:tc>
      </w:tr>
    </w:tbl>
    <w:p>
      <w:r>
        <w:t xml:space="preserve"/>
      </w:r>
    </w:p>
    <w:p>
      <w:r>
        <w:t xml:space="preserve"/>
      </w:r>
    </w:p>
    <w:p>
      <w:pPr>
        <w:pStyle w:val="Heading1"/>
      </w:pPr>
      <w:r>
        <w:rPr>
          <w:rFonts w:ascii="Arial" w:cs="Arial" w:eastAsia="Arial" w:hAnsi="Arial"/>
          <w:b/>
          <w:bCs/>
          <w:color w:val="1F4E79"/>
          <w:sz w:val="32"/>
          <w:szCs w:val="32"/>
        </w:rPr>
        <w:t xml:space="preserve">4. Cross-Fold Stability Analysis</w:t>
      </w:r>
    </w:p>
    <w:p>
      <w:r>
        <w:t xml:space="preserve"/>
      </w:r>
    </w:p>
    <w:p>
      <w:pPr>
        <w:spacing w:after="120"/>
      </w:pPr>
      <w:r>
        <w:rPr>
          <w:rFonts w:ascii="Arial" w:cs="Arial" w:eastAsia="Arial" w:hAnsi="Arial"/>
          <w:sz w:val="22"/>
          <w:szCs w:val="22"/>
        </w:rPr>
        <w:t xml:space="preserve">Lower standard deviation indicates consistent performance regardless of which patients appear in the validation fold. A model with high mean but high standard deviation is unreliable in clinical deployment.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1548"/>
        <w:gridCol w:w="1548"/>
        <w:gridCol w:w="1548"/>
        <w:gridCol w:w="1548"/>
        <w:gridCol w:w="1548"/>
      </w:tblGrid>
      <w:tr>
        <w:tc>
          <w:tcPr>
            <w:tcW w:type="dxa" w:w="1620"/>
            <w:tcBorders>
              <w:top w:val="single" w:color="C9C9C9" w:sz="1"/>
              <w:left w:val="single" w:color="C9C9C9" w:sz="1"/>
              <w:bottom w:val="single" w:color="C9C9C9" w:sz="1"/>
              <w:right w:val="single" w:color="C9C9C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548"/>
            <w:tcBorders>
              <w:top w:val="single" w:color="C9C9C9" w:sz="1"/>
              <w:left w:val="single" w:color="C9C9C9" w:sz="1"/>
              <w:bottom w:val="single" w:color="C9C9C9" w:sz="1"/>
              <w:right w:val="single" w:color="C9C9C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GCN Std</w:t>
            </w:r>
          </w:p>
        </w:tc>
        <w:tc>
          <w:tcPr>
            <w:tcW w:type="dxa" w:w="1548"/>
            <w:tcBorders>
              <w:top w:val="single" w:color="C9C9C9" w:sz="1"/>
              <w:left w:val="single" w:color="C9C9C9" w:sz="1"/>
              <w:bottom w:val="single" w:color="C9C9C9" w:sz="1"/>
              <w:right w:val="single" w:color="C9C9C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GAT Std</w:t>
            </w:r>
          </w:p>
        </w:tc>
        <w:tc>
          <w:tcPr>
            <w:tcW w:type="dxa" w:w="1548"/>
            <w:tcBorders>
              <w:top w:val="single" w:color="C9C9C9" w:sz="1"/>
              <w:left w:val="single" w:color="C9C9C9" w:sz="1"/>
              <w:bottom w:val="single" w:color="C9C9C9" w:sz="1"/>
              <w:right w:val="single" w:color="C9C9C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GraphSAGE Std</w:t>
            </w:r>
          </w:p>
        </w:tc>
        <w:tc>
          <w:tcPr>
            <w:tcW w:type="dxa" w:w="1548"/>
            <w:tcBorders>
              <w:top w:val="single" w:color="C9C9C9" w:sz="1"/>
              <w:left w:val="single" w:color="C9C9C9" w:sz="1"/>
              <w:bottom w:val="single" w:color="C9C9C9" w:sz="1"/>
              <w:right w:val="single" w:color="C9C9C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MPNN Std</w:t>
            </w:r>
          </w:p>
        </w:tc>
        <w:tc>
          <w:tcPr>
            <w:tcW w:type="dxa" w:w="1548"/>
            <w:tcBorders>
              <w:top w:val="single" w:color="C9C9C9" w:sz="1"/>
              <w:left w:val="single" w:color="C9C9C9" w:sz="1"/>
              <w:bottom w:val="single" w:color="C9C9C9" w:sz="1"/>
              <w:right w:val="single" w:color="C9C9C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GIN Std</w:t>
            </w:r>
          </w:p>
        </w:tc>
      </w:tr>
      <w:tr>
        <w:tc>
          <w:tcPr>
            <w:tcW w:type="dxa" w:w="162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Accuracy</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0.0866</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0.0774</w:t>
            </w:r>
          </w:p>
        </w:tc>
        <w:tc>
          <w:tcPr>
            <w:tcW w:type="dxa" w:w="1548"/>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0.0577</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0.0745</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0.1695</w:t>
            </w:r>
          </w:p>
        </w:tc>
      </w:tr>
      <w:tr>
        <w:tc>
          <w:tcPr>
            <w:tcW w:type="dxa" w:w="1620"/>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Precision</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0.1361</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0.1224</w:t>
            </w:r>
          </w:p>
        </w:tc>
        <w:tc>
          <w:tcPr>
            <w:tcW w:type="dxa" w:w="1548"/>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0.0843</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0.1186</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0.1453</w:t>
            </w:r>
          </w:p>
        </w:tc>
      </w:tr>
      <w:tr>
        <w:tc>
          <w:tcPr>
            <w:tcW w:type="dxa" w:w="162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Recall</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0.1838</w:t>
            </w:r>
          </w:p>
        </w:tc>
        <w:tc>
          <w:tcPr>
            <w:tcW w:type="dxa" w:w="1548"/>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0.1179</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0.1296</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0.1373</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0.1204</w:t>
            </w:r>
          </w:p>
        </w:tc>
      </w:tr>
      <w:tr>
        <w:tc>
          <w:tcPr>
            <w:tcW w:type="dxa" w:w="1620"/>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F1-Score</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0.1426</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0.1024</w:t>
            </w:r>
          </w:p>
        </w:tc>
        <w:tc>
          <w:tcPr>
            <w:tcW w:type="dxa" w:w="1548"/>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0.0895</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0.1101</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0.1118</w:t>
            </w:r>
          </w:p>
        </w:tc>
      </w:tr>
      <w:tr>
        <w:tc>
          <w:tcPr>
            <w:tcW w:type="dxa" w:w="162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MCC (key)</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0.1949</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0.1570</w:t>
            </w:r>
          </w:p>
        </w:tc>
        <w:tc>
          <w:tcPr>
            <w:tcW w:type="dxa" w:w="1548"/>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0.1319</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0.1650</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0.2255</w:t>
            </w:r>
          </w:p>
        </w:tc>
      </w:tr>
      <w:tr>
        <w:tc>
          <w:tcPr>
            <w:tcW w:type="dxa" w:w="1620"/>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AUROC</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0.0695</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0.0541</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0.0535</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0.0647</w:t>
            </w:r>
          </w:p>
        </w:tc>
        <w:tc>
          <w:tcPr>
            <w:tcW w:type="dxa" w:w="1548"/>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0.0516</w:t>
            </w:r>
          </w:p>
        </w:tc>
      </w:tr>
      <w:tr>
        <w:tc>
          <w:tcPr>
            <w:tcW w:type="dxa" w:w="162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AUPRC</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0.1011</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0.0851</w:t>
            </w:r>
          </w:p>
        </w:tc>
        <w:tc>
          <w:tcPr>
            <w:tcW w:type="dxa" w:w="1548"/>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0.0778</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0.1032</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0.0891</w:t>
            </w:r>
          </w:p>
        </w:tc>
      </w:tr>
      <w:tr>
        <w:tc>
          <w:tcPr>
            <w:tcW w:type="dxa" w:w="1620"/>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Sensitivity</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0.1838</w:t>
            </w:r>
          </w:p>
        </w:tc>
        <w:tc>
          <w:tcPr>
            <w:tcW w:type="dxa" w:w="1548"/>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0.1179</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0.1296</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0.1373</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0.1204</w:t>
            </w:r>
          </w:p>
        </w:tc>
      </w:tr>
      <w:tr>
        <w:tc>
          <w:tcPr>
            <w:tcW w:type="dxa" w:w="162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Specificity</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0.0934</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0.0821</w:t>
            </w:r>
          </w:p>
        </w:tc>
        <w:tc>
          <w:tcPr>
            <w:tcW w:type="dxa" w:w="1548"/>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0.0534</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0.0704</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0.2749</w:t>
            </w:r>
          </w:p>
        </w:tc>
      </w:tr>
      <w:tr>
        <w:tc>
          <w:tcPr>
            <w:tcW w:type="dxa" w:w="1620"/>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Cohen Kappa</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0.1997</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0.1576</w:t>
            </w:r>
          </w:p>
        </w:tc>
        <w:tc>
          <w:tcPr>
            <w:tcW w:type="dxa" w:w="1548"/>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0.1315</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0.1651</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0.2307</w:t>
            </w:r>
          </w:p>
        </w:tc>
      </w:tr>
      <w:tr>
        <w:tc>
          <w:tcPr>
            <w:tcW w:type="dxa" w:w="1620"/>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FMI</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0.1077</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0.0964</w:t>
            </w:r>
          </w:p>
        </w:tc>
        <w:tc>
          <w:tcPr>
            <w:tcW w:type="dxa" w:w="1548"/>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0.0762</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0.0994</w:t>
            </w:r>
          </w:p>
        </w:tc>
        <w:tc>
          <w:tcPr>
            <w:tcW w:type="dxa" w:w="1548"/>
            <w:tcBorders>
              <w:top w:val="single" w:color="C9C9C9" w:sz="1"/>
              <w:left w:val="single" w:color="C9C9C9" w:sz="1"/>
              <w:bottom w:val="single" w:color="C9C9C9" w:sz="1"/>
              <w:right w:val="single" w:color="C9C9C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0.0800</w:t>
            </w:r>
          </w:p>
        </w:tc>
      </w:tr>
      <w:tr>
        <w:tc>
          <w:tcPr>
            <w:tcW w:type="dxa" w:w="1620"/>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NMI</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0.2243</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0.1916</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0.1731</w:t>
            </w:r>
          </w:p>
        </w:tc>
        <w:tc>
          <w:tcPr>
            <w:tcW w:type="dxa" w:w="1548"/>
            <w:tcBorders>
              <w:top w:val="single" w:color="C9C9C9" w:sz="1"/>
              <w:left w:val="single" w:color="C9C9C9" w:sz="1"/>
              <w:bottom w:val="single" w:color="C9C9C9" w:sz="1"/>
              <w:right w:val="single" w:color="C9C9C9"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0.2145</w:t>
            </w:r>
          </w:p>
        </w:tc>
        <w:tc>
          <w:tcPr>
            <w:tcW w:type="dxa" w:w="1548"/>
            <w:tcBorders>
              <w:top w:val="single" w:color="C9C9C9" w:sz="1"/>
              <w:left w:val="single" w:color="C9C9C9" w:sz="1"/>
              <w:bottom w:val="single" w:color="C9C9C9" w:sz="1"/>
              <w:right w:val="single" w:color="C9C9C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0.1517</w:t>
            </w:r>
          </w:p>
        </w:tc>
      </w:tr>
    </w:tbl>
    <w:p>
      <w:r>
        <w:t xml:space="preserve"/>
      </w:r>
    </w:p>
    <w:p>
      <w:pPr>
        <w:spacing w:after="120"/>
      </w:pPr>
      <w:r>
        <w:rPr>
          <w:rFonts w:ascii="Arial" w:cs="Arial" w:eastAsia="Arial" w:hAnsi="Arial"/>
          <w:i/>
          <w:iCs/>
          <w:color w:val="666666"/>
          <w:sz w:val="18"/>
          <w:szCs w:val="18"/>
        </w:rPr>
        <w:t xml:space="preserve">Green cells = lowest standard deviation for each metric (most stable). GIN's specificity standard deviation of 0.2749 is more than five times that of GraphSAGE (0.0534).</w:t>
      </w:r>
    </w:p>
    <w:p>
      <w:r>
        <w:t xml:space="preserve"/>
      </w:r>
    </w:p>
    <w:p>
      <w:r>
        <w:t xml:space="preserve"/>
      </w:r>
    </w:p>
    <w:p>
      <w:pPr>
        <w:pStyle w:val="Heading1"/>
      </w:pPr>
      <w:r>
        <w:rPr>
          <w:rFonts w:ascii="Arial" w:cs="Arial" w:eastAsia="Arial" w:hAnsi="Arial"/>
          <w:b/>
          <w:bCs/>
          <w:color w:val="1F4E79"/>
          <w:sz w:val="32"/>
          <w:szCs w:val="32"/>
        </w:rPr>
        <w:t xml:space="preserve">5. Model-by-Model Analysis</w:t>
      </w:r>
    </w:p>
    <w:p>
      <w:r>
        <w:t xml:space="preserve"/>
      </w:r>
    </w:p>
    <w:p>
      <w:pPr>
        <w:pStyle w:val="Heading2"/>
      </w:pPr>
      <w:r>
        <w:rPr>
          <w:rFonts w:ascii="Arial" w:cs="Arial" w:eastAsia="Arial" w:hAnsi="Arial"/>
          <w:b/>
          <w:bCs/>
          <w:color w:val="2E75B6"/>
          <w:sz w:val="26"/>
          <w:szCs w:val="26"/>
        </w:rPr>
        <w:t xml:space="preserve">5.1  GraphSAGE</w:t>
      </w:r>
    </w:p>
    <w:p>
      <w:pPr>
        <w:spacing w:after="120"/>
      </w:pPr>
      <w:r>
        <w:rPr>
          <w:rFonts w:ascii="Arial" w:cs="Arial" w:eastAsia="Arial" w:hAnsi="Arial"/>
          <w:b/>
          <w:bCs/>
          <w:color w:val="375623"/>
          <w:sz w:val="22"/>
          <w:szCs w:val="22"/>
        </w:rPr>
        <w:t xml:space="preserve">Verdict: Best overall. Recommended for Notebook 3 final evaluation.</w:t>
      </w:r>
    </w:p>
    <w:p>
      <w:pPr>
        <w:spacing w:after="100"/>
        <w:ind w:left="360"/>
      </w:pPr>
      <w:r>
        <w:rPr>
          <w:rFonts w:ascii="Arial" w:cs="Arial" w:eastAsia="Arial" w:hAnsi="Arial"/>
          <w:sz w:val="22"/>
          <w:szCs w:val="22"/>
        </w:rPr>
        <w:t xml:space="preserve">GraphSAGE achieves the highest values on every primary metric: accuracy (0.8728), MCC (0.7175), AUROC (0.9313), AUPRC (0.8944), F1 (0.8064), sensitivity (0.8238), and specificity (0.8969). Its standard deviations are the lowest of all five models, indicating stability across folds.</w:t>
      </w:r>
    </w:p>
    <w:p>
      <w:pPr>
        <w:spacing w:after="100"/>
        <w:ind w:left="360"/>
      </w:pPr>
      <w:r>
        <w:rPr>
          <w:rFonts w:ascii="Arial" w:cs="Arial" w:eastAsia="Arial" w:hAnsi="Arial"/>
          <w:sz w:val="22"/>
          <w:szCs w:val="22"/>
        </w:rPr>
        <w:t xml:space="preserve">The per-class breakdown confirms strong PCOS-positive identification: Class 1 precision of 0.7945 and recall of 0.8227 produce a Class 1 F1 of 0.8084 — the highest among all models. False positives (30) and false negatives (25) are the lowest in absolute count.</w:t>
      </w:r>
    </w:p>
    <w:p>
      <w:pPr>
        <w:spacing w:after="100"/>
        <w:ind w:left="360"/>
      </w:pPr>
      <w:r>
        <w:rPr>
          <w:rFonts w:ascii="Arial" w:cs="Arial" w:eastAsia="Arial" w:hAnsi="Arial"/>
          <w:sz w:val="22"/>
          <w:szCs w:val="22"/>
        </w:rPr>
        <w:t xml:space="preserve">GraphSAGE's sampling-based neighbourhood aggregation generalises well under the inductive cross-validation protocol. The model does not need to re-learn for new nodes, making it the most deployment-appropriate architecture for this clinical use case.</w:t>
      </w:r>
    </w:p>
    <w:p>
      <w:pPr>
        <w:spacing w:after="100"/>
        <w:ind w:left="360"/>
      </w:pPr>
      <w:r>
        <w:rPr>
          <w:rFonts w:ascii="Arial" w:cs="Arial" w:eastAsia="Arial" w:hAnsi="Arial"/>
          <w:sz w:val="22"/>
          <w:szCs w:val="22"/>
        </w:rPr>
        <w:t xml:space="preserve">Recommendation: use GraphSAGE as the primary model for Notebook 3 and the final test set evaluation.</w:t>
      </w:r>
    </w:p>
    <w:p>
      <w:r>
        <w:t xml:space="preserve"/>
      </w:r>
    </w:p>
    <w:p>
      <w:pPr>
        <w:pStyle w:val="Heading2"/>
      </w:pPr>
      <w:r>
        <w:rPr>
          <w:rFonts w:ascii="Arial" w:cs="Arial" w:eastAsia="Arial" w:hAnsi="Arial"/>
          <w:b/>
          <w:bCs/>
          <w:color w:val="2E75B6"/>
          <w:sz w:val="26"/>
          <w:szCs w:val="26"/>
        </w:rPr>
        <w:t xml:space="preserve">5.2  GCN</w:t>
      </w:r>
    </w:p>
    <w:p>
      <w:pPr>
        <w:spacing w:after="120"/>
      </w:pPr>
      <w:r>
        <w:rPr>
          <w:rFonts w:ascii="Arial" w:cs="Arial" w:eastAsia="Arial" w:hAnsi="Arial"/>
          <w:b/>
          <w:bCs/>
          <w:color w:val="2E75B6"/>
          <w:sz w:val="22"/>
          <w:szCs w:val="22"/>
        </w:rPr>
        <w:t xml:space="preserve">Verdict: Strong second place. Good candidate for comparative reporting in the thesis.</w:t>
      </w:r>
    </w:p>
    <w:p>
      <w:pPr>
        <w:spacing w:after="100"/>
        <w:ind w:left="360"/>
      </w:pPr>
      <w:r>
        <w:rPr>
          <w:rFonts w:ascii="Arial" w:cs="Arial" w:eastAsia="Arial" w:hAnsi="Arial"/>
          <w:sz w:val="22"/>
          <w:szCs w:val="22"/>
        </w:rPr>
        <w:t xml:space="preserve">GCN ranks second on MCC (0.6484) with accuracy of 0.8407 and F1 of 0.7558. Performance is solid and consistent with moderate standard deviations.</w:t>
      </w:r>
    </w:p>
    <w:p>
      <w:pPr>
        <w:spacing w:after="100"/>
        <w:ind w:left="360"/>
      </w:pPr>
      <w:r>
        <w:rPr>
          <w:rFonts w:ascii="Arial" w:cs="Arial" w:eastAsia="Arial" w:hAnsi="Arial"/>
          <w:sz w:val="22"/>
          <w:szCs w:val="22"/>
        </w:rPr>
        <w:t xml:space="preserve">One fold (Fold 3) achieved perfect AUROC = 1.0000 and accuracy of 0.9767, which inflates the mean. Removing this outlier fold would reduce mean AUROC by approximately 0.008. This should be noted in the thesis.</w:t>
      </w:r>
    </w:p>
    <w:p>
      <w:pPr>
        <w:spacing w:after="100"/>
        <w:ind w:left="360"/>
      </w:pPr>
      <w:r>
        <w:rPr>
          <w:rFonts w:ascii="Arial" w:cs="Arial" w:eastAsia="Arial" w:hAnsi="Arial"/>
          <w:sz w:val="22"/>
          <w:szCs w:val="22"/>
        </w:rPr>
        <w:t xml:space="preserve">Spectral-domain convolution (GCNConv normalises by degree) behaves well on the dense k-NN patient graph. However, GCN is less well-suited to inductive deployment than GraphSAGE or MPNN.</w:t>
      </w:r>
    </w:p>
    <w:p>
      <w:r>
        <w:t xml:space="preserve"/>
      </w:r>
    </w:p>
    <w:p>
      <w:pPr>
        <w:pStyle w:val="Heading2"/>
      </w:pPr>
      <w:r>
        <w:rPr>
          <w:rFonts w:ascii="Arial" w:cs="Arial" w:eastAsia="Arial" w:hAnsi="Arial"/>
          <w:b/>
          <w:bCs/>
          <w:color w:val="2E75B6"/>
          <w:sz w:val="26"/>
          <w:szCs w:val="26"/>
        </w:rPr>
        <w:t xml:space="preserve">5.3  MPNN</w:t>
      </w:r>
    </w:p>
    <w:p>
      <w:pPr>
        <w:spacing w:after="120"/>
      </w:pPr>
      <w:r>
        <w:rPr>
          <w:rFonts w:ascii="Arial" w:cs="Arial" w:eastAsia="Arial" w:hAnsi="Arial"/>
          <w:b/>
          <w:bCs/>
          <w:color w:val="2E75B6"/>
          <w:sz w:val="22"/>
          <w:szCs w:val="22"/>
        </w:rPr>
        <w:t xml:space="preserve">Verdict: Third place. Competitive performance; GPU re-run confirmed modest improvement over CPU.</w:t>
      </w:r>
    </w:p>
    <w:p>
      <w:pPr>
        <w:spacing w:after="100"/>
        <w:ind w:left="360"/>
      </w:pPr>
      <w:r>
        <w:rPr>
          <w:rFonts w:ascii="Arial" w:cs="Arial" w:eastAsia="Arial" w:hAnsi="Arial"/>
          <w:sz w:val="22"/>
          <w:szCs w:val="22"/>
        </w:rPr>
        <w:t xml:space="preserve">MPNN runs third on MCC (0.6406) and third on accuracy (0.8382) after GPU re-run. All metrics improved modestly compared to the CPU run: MCC 0.6309 → 0.6406, specificity 0.8591 → 0.8694, false positives 41 → 38.</w:t>
      </w:r>
    </w:p>
    <w:p>
      <w:pPr>
        <w:spacing w:after="100"/>
        <w:ind w:left="360"/>
      </w:pPr>
      <w:r>
        <w:rPr>
          <w:rFonts w:ascii="Arial" w:cs="Arial" w:eastAsia="Arial" w:hAnsi="Arial"/>
          <w:sz w:val="22"/>
          <w:szCs w:val="22"/>
        </w:rPr>
        <w:t xml:space="preserve">Performance is closely competitive with GCN, with all primary metrics within one standard deviation of GCN's means. The gap between MPNN and GCN is small enough that it may not be meaningful at this sample size.</w:t>
      </w:r>
    </w:p>
    <w:p>
      <w:pPr>
        <w:spacing w:after="100"/>
        <w:ind w:left="360"/>
      </w:pPr>
      <w:r>
        <w:rPr>
          <w:rFonts w:ascii="Arial" w:cs="Arial" w:eastAsia="Arial" w:hAnsi="Arial"/>
          <w:sz w:val="22"/>
          <w:szCs w:val="22"/>
        </w:rPr>
        <w:t xml:space="preserve">The edge-attribute-aware NNConv operator is the only architecture among the five that explicitly uses edge weights (cosine similarity scores) as feature inputs to the message-passing network rather than purely as propagation weights, making it the most graph-structure-aware of the five in a strict sense.</w:t>
      </w:r>
    </w:p>
    <w:p>
      <w:r>
        <w:t xml:space="preserve"/>
      </w:r>
    </w:p>
    <w:p>
      <w:pPr>
        <w:pStyle w:val="Heading2"/>
      </w:pPr>
      <w:r>
        <w:rPr>
          <w:rFonts w:ascii="Arial" w:cs="Arial" w:eastAsia="Arial" w:hAnsi="Arial"/>
          <w:b/>
          <w:bCs/>
          <w:color w:val="2E75B6"/>
          <w:sz w:val="26"/>
          <w:szCs w:val="26"/>
        </w:rPr>
        <w:t xml:space="preserve">5.4  GAT</w:t>
      </w:r>
    </w:p>
    <w:p>
      <w:pPr>
        <w:spacing w:after="120"/>
      </w:pPr>
      <w:r>
        <w:rPr>
          <w:rFonts w:ascii="Arial" w:cs="Arial" w:eastAsia="Arial" w:hAnsi="Arial"/>
          <w:b/>
          <w:bCs/>
          <w:color w:val="2E75B6"/>
          <w:sz w:val="22"/>
          <w:szCs w:val="22"/>
        </w:rPr>
        <w:t xml:space="preserve">Verdict: Fourth place. Attention mechanism adds interpretability but reduces raw performance.</w:t>
      </w:r>
    </w:p>
    <w:p>
      <w:pPr>
        <w:spacing w:after="100"/>
        <w:ind w:left="360"/>
      </w:pPr>
      <w:r>
        <w:rPr>
          <w:rFonts w:ascii="Arial" w:cs="Arial" w:eastAsia="Arial" w:hAnsi="Arial"/>
          <w:sz w:val="22"/>
          <w:szCs w:val="22"/>
        </w:rPr>
        <w:t xml:space="preserve">GAT achieves AUROC of 0.9144 (marginally above GCN) but lags on MCC (0.5997), accuracy (0.8151), and F1 (0.7331). The attention mechanism theoretically weights clinically important neighbours more heavily, but this advantage does not materialise at n = 432 training nodes.</w:t>
      </w:r>
    </w:p>
    <w:p>
      <w:pPr>
        <w:spacing w:after="100"/>
        <w:ind w:left="360"/>
      </w:pPr>
      <w:r>
        <w:rPr>
          <w:rFonts w:ascii="Arial" w:cs="Arial" w:eastAsia="Arial" w:hAnsi="Arial"/>
          <w:sz w:val="22"/>
          <w:szCs w:val="22"/>
        </w:rPr>
        <w:t xml:space="preserve">The false positive count (48) is the highest of all models, indicating that GAT is more liberal in classifying patients as PCOS-positive.</w:t>
      </w:r>
    </w:p>
    <w:p>
      <w:pPr>
        <w:spacing w:after="100"/>
        <w:ind w:left="360"/>
      </w:pPr>
      <w:r>
        <w:rPr>
          <w:rFonts w:ascii="Arial" w:cs="Arial" w:eastAsia="Arial" w:hAnsi="Arial"/>
          <w:sz w:val="22"/>
          <w:szCs w:val="22"/>
        </w:rPr>
        <w:t xml:space="preserve">The interpretability advantage of attention weights is real and worth preserving in the thesis for qualitative analysis, even though raw performance is fourth. Reporting which feature-neighbourhoods receive highest attention for correctly classified PCOS-positive patients is a defensible secondary contribution.</w:t>
      </w:r>
    </w:p>
    <w:p>
      <w:r>
        <w:t xml:space="preserve"/>
      </w:r>
    </w:p>
    <w:p>
      <w:pPr>
        <w:pStyle w:val="Heading2"/>
      </w:pPr>
      <w:r>
        <w:rPr>
          <w:rFonts w:ascii="Arial" w:cs="Arial" w:eastAsia="Arial" w:hAnsi="Arial"/>
          <w:b/>
          <w:bCs/>
          <w:color w:val="2E75B6"/>
          <w:sz w:val="26"/>
          <w:szCs w:val="26"/>
        </w:rPr>
        <w:t xml:space="preserve">5.5  GIN</w:t>
      </w:r>
    </w:p>
    <w:p>
      <w:pPr>
        <w:spacing w:after="120"/>
      </w:pPr>
      <w:r>
        <w:rPr>
          <w:rFonts w:ascii="Arial" w:cs="Arial" w:eastAsia="Arial" w:hAnsi="Arial"/>
          <w:b/>
          <w:bCs/>
          <w:color w:val="843C0C"/>
          <w:sz w:val="22"/>
          <w:szCs w:val="22"/>
        </w:rPr>
        <w:t xml:space="preserve">Verdict: Fifth place. GPU re-run confirmed instability is architectural. Not recommended for deployment.</w:t>
      </w:r>
    </w:p>
    <w:p>
      <w:pPr>
        <w:spacing w:after="100"/>
        <w:ind w:left="360"/>
      </w:pPr>
      <w:r>
        <w:rPr>
          <w:rFonts w:ascii="Arial" w:cs="Arial" w:eastAsia="Arial" w:hAnsi="Arial"/>
          <w:sz w:val="22"/>
          <w:szCs w:val="22"/>
        </w:rPr>
        <w:t xml:space="preserve">GIN presents the same paradox on GPU as on CPU: AUROC of 0.9265 (second highest) alongside MCC of only 0.5071 (lowest) and specificity of 0.6526 (lowest). GPU re-run produced marginal improvements in MCC (+0.013) and sensitivity (+0.029) but identical specificity, confirming the problem is structural.</w:t>
      </w:r>
    </w:p>
    <w:p>
      <w:pPr>
        <w:spacing w:after="100"/>
        <w:ind w:left="360"/>
      </w:pPr>
      <w:r>
        <w:rPr>
          <w:rFonts w:ascii="Arial" w:cs="Arial" w:eastAsia="Arial" w:hAnsi="Arial"/>
          <w:sz w:val="22"/>
          <w:szCs w:val="22"/>
        </w:rPr>
        <w:t xml:space="preserve">Fold 7 collapsed to all-positive prediction on GPU (Specificity = 0.0000, MCC = 0.0000), identical to the CPU failure. This definitively confirms the instability is architectural — specifically, GINConv's sum-aggregation without degree normalisation amplifies hub-node signals in the k-NN graph, biasing predictions toward the positive class.</w:t>
      </w:r>
    </w:p>
    <w:p>
      <w:pPr>
        <w:spacing w:after="100"/>
        <w:ind w:left="360"/>
      </w:pPr>
      <w:r>
        <w:rPr>
          <w:rFonts w:ascii="Arial" w:cs="Arial" w:eastAsia="Arial" w:hAnsi="Arial"/>
          <w:sz w:val="22"/>
          <w:szCs w:val="22"/>
        </w:rPr>
        <w:t xml:space="preserve">Sensitivity improved (0.8438 → 0.8724) and false negatives decreased (22 → 18) on GPU, which is clinically relevant (fewer missed PCOS cases), but this comes at no reduction in false positives (101 → 101). GIN trades specificity for sensitivity in an uncontrolled way.</w:t>
      </w:r>
    </w:p>
    <w:p>
      <w:pPr>
        <w:spacing w:after="100"/>
        <w:ind w:left="360"/>
      </w:pPr>
      <w:r>
        <w:rPr>
          <w:rFonts w:ascii="Arial" w:cs="Arial" w:eastAsia="Arial" w:hAnsi="Arial"/>
          <w:sz w:val="22"/>
          <w:szCs w:val="22"/>
        </w:rPr>
        <w:t xml:space="preserve">Do not use GIN for the final test set evaluation. Report results for completeness with an explicit instability caveat.</w:t>
      </w:r>
    </w:p>
    <w:p>
      <w:r>
        <w:t xml:space="preserve"/>
      </w:r>
    </w:p>
    <w:p>
      <w:pPr>
        <w:pStyle w:val="Heading1"/>
      </w:pPr>
      <w:r>
        <w:rPr>
          <w:rFonts w:ascii="Arial" w:cs="Arial" w:eastAsia="Arial" w:hAnsi="Arial"/>
          <w:b/>
          <w:bCs/>
          <w:color w:val="1F4E79"/>
          <w:sz w:val="32"/>
          <w:szCs w:val="32"/>
        </w:rPr>
        <w:t xml:space="preserve">6. Recommendation for Notebook 3</w:t>
      </w:r>
    </w:p>
    <w:p>
      <w:r>
        <w:t xml:space="preserve"/>
      </w:r>
    </w:p>
    <w:p>
      <w:pPr>
        <w:spacing w:after="120"/>
      </w:pPr>
      <w:r>
        <w:rPr>
          <w:rFonts w:ascii="Arial" w:cs="Arial" w:eastAsia="Arial" w:hAnsi="Arial"/>
          <w:sz w:val="22"/>
          <w:szCs w:val="22"/>
        </w:rPr>
        <w:t xml:space="preserve">Based on the 10-fold cross-validation results, GraphSAGE is selected as the primary model for final evaluation on the sealed 20% test set in Notebook 3. The selection is justified on five grounds.</w:t>
      </w:r>
    </w:p>
    <w:p>
      <w:r>
        <w:t xml:space="preserve"/>
      </w:r>
    </w:p>
    <w:p>
      <w:pPr>
        <w:pStyle w:val="ListParagraph"/>
        <w:numPr>
          <w:ilvl w:val="0"/>
          <w:numId w:val="2"/>
        </w:numPr>
        <w:spacing w:after="100"/>
      </w:pPr>
      <w:r>
        <w:rPr>
          <w:rFonts w:ascii="Arial" w:cs="Arial" w:eastAsia="Arial" w:hAnsi="Arial"/>
          <w:sz w:val="22"/>
          <w:szCs w:val="22"/>
        </w:rPr>
        <w:t xml:space="preserve">Highest MCC (0.7175), the supervisor-designated key metric, with the lowest standard deviation (0.1319) of any model.</w:t>
      </w:r>
    </w:p>
    <w:p>
      <w:pPr>
        <w:pStyle w:val="ListParagraph"/>
        <w:numPr>
          <w:ilvl w:val="0"/>
          <w:numId w:val="2"/>
        </w:numPr>
        <w:spacing w:after="100"/>
      </w:pPr>
      <w:r>
        <w:rPr>
          <w:rFonts w:ascii="Arial" w:cs="Arial" w:eastAsia="Arial" w:hAnsi="Arial"/>
          <w:sz w:val="22"/>
          <w:szCs w:val="22"/>
        </w:rPr>
        <w:t xml:space="preserve">Highest AUROC (0.9313), well above the 0.69 supervisor threshold, indicating strong discriminative ability across all classification thresholds.</w:t>
      </w:r>
    </w:p>
    <w:p>
      <w:pPr>
        <w:pStyle w:val="ListParagraph"/>
        <w:numPr>
          <w:ilvl w:val="0"/>
          <w:numId w:val="2"/>
        </w:numPr>
        <w:spacing w:after="100"/>
      </w:pPr>
      <w:r>
        <w:rPr>
          <w:rFonts w:ascii="Arial" w:cs="Arial" w:eastAsia="Arial" w:hAnsi="Arial"/>
          <w:sz w:val="22"/>
          <w:szCs w:val="22"/>
        </w:rPr>
        <w:t xml:space="preserve">Lowest false positive count (30) and lowest false negative count (25) in absolute terms, representing the best balance between missed diagnoses and unnecessary referrals.</w:t>
      </w:r>
    </w:p>
    <w:p>
      <w:pPr>
        <w:pStyle w:val="ListParagraph"/>
        <w:numPr>
          <w:ilvl w:val="0"/>
          <w:numId w:val="2"/>
        </w:numPr>
        <w:spacing w:after="100"/>
      </w:pPr>
      <w:r>
        <w:rPr>
          <w:rFonts w:ascii="Arial" w:cs="Arial" w:eastAsia="Arial" w:hAnsi="Arial"/>
          <w:sz w:val="22"/>
          <w:szCs w:val="22"/>
        </w:rPr>
        <w:t xml:space="preserve">Highest Class 1 F1 (0.8084), confirming that GraphSAGE correctly identifies PCOS-positive patients while maintaining specificity above 0.89.</w:t>
      </w:r>
    </w:p>
    <w:p>
      <w:pPr>
        <w:pStyle w:val="ListParagraph"/>
        <w:numPr>
          <w:ilvl w:val="0"/>
          <w:numId w:val="2"/>
        </w:numPr>
        <w:spacing w:after="100"/>
      </w:pPr>
      <w:r>
        <w:rPr>
          <w:rFonts w:ascii="Arial" w:cs="Arial" w:eastAsia="Arial" w:hAnsi="Arial"/>
          <w:sz w:val="22"/>
          <w:szCs w:val="22"/>
        </w:rPr>
        <w:t xml:space="preserve">Most stable model across folds, with the lowest or near-lowest standard deviation on every metric.</w:t>
      </w:r>
    </w:p>
    <w:p>
      <w:r>
        <w:t xml:space="preserve"/>
      </w:r>
    </w:p>
    <w:p>
      <w:pPr>
        <w:spacing w:after="120"/>
      </w:pPr>
      <w:r>
        <w:rPr>
          <w:rFonts w:ascii="Arial" w:cs="Arial" w:eastAsia="Arial" w:hAnsi="Arial"/>
          <w:sz w:val="22"/>
          <w:szCs w:val="22"/>
        </w:rPr>
        <w:t xml:space="preserve">GCN is recommended as the secondary comparison model as it provides the clearest architectural contrast to GraphSAGE. GAT should be retained for attention-weight interpretability analysis. MPNN is competitive with GCN after GPU re-run. GIN results should be reported for completeness with an explicit instability caveat and should not be used as the basis for clinical conclusions.</w:t>
      </w:r>
    </w:p>
    <w:p>
      <w:r>
        <w:t xml:space="preserve"/>
      </w:r>
    </w:p>
    <w:p>
      <w:r>
        <w:t xml:space="preserve"/>
      </w:r>
    </w:p>
    <w:p>
      <w:pPr>
        <w:pStyle w:val="Heading1"/>
      </w:pPr>
      <w:r>
        <w:rPr>
          <w:rFonts w:ascii="Arial" w:cs="Arial" w:eastAsia="Arial" w:hAnsi="Arial"/>
          <w:b/>
          <w:bCs/>
          <w:color w:val="1F4E79"/>
          <w:sz w:val="32"/>
          <w:szCs w:val="32"/>
        </w:rPr>
        <w:t xml:space="preserve">7. Methodological Notes and Limitations</w:t>
      </w:r>
    </w:p>
    <w:p>
      <w:r>
        <w:t xml:space="preserve"/>
      </w:r>
    </w:p>
    <w:p>
      <w:pPr>
        <w:pStyle w:val="ListParagraph"/>
        <w:numPr>
          <w:ilvl w:val="0"/>
          <w:numId w:val="3"/>
        </w:numPr>
        <w:spacing w:after="120"/>
      </w:pPr>
      <w:r>
        <w:rPr>
          <w:rFonts w:ascii="Arial" w:cs="Arial" w:eastAsia="Arial" w:hAnsi="Arial"/>
          <w:sz w:val="22"/>
          <w:szCs w:val="22"/>
        </w:rPr>
        <w:t xml:space="preserve">All five models share identical preprocessing, graph construction (k = 10, cosine similarity, weighted edges), Node2Vec configuration (64 dimensions, walk length 20, context size 10), SMOTE protocol (inside training folds only), and evaluation metrics. Differences in performance are attributable to architectural differences, not experimental confounds.</w:t>
      </w:r>
    </w:p>
    <w:p>
      <w:pPr>
        <w:pStyle w:val="ListParagraph"/>
        <w:numPr>
          <w:ilvl w:val="0"/>
          <w:numId w:val="3"/>
        </w:numPr>
        <w:spacing w:after="120"/>
      </w:pPr>
      <w:r>
        <w:rPr>
          <w:rFonts w:ascii="Arial" w:cs="Arial" w:eastAsia="Arial" w:hAnsi="Arial"/>
          <w:sz w:val="22"/>
          <w:szCs w:val="22"/>
        </w:rPr>
        <w:t xml:space="preserve">All five models ran on GPU (CUDA). MPNN and GIN were initially run on CPU; the final reported results are from GPU re-runs, which produced modest improvements in MPNN and confirmed that GIN's instability is architectural rather than device-related.</w:t>
      </w:r>
    </w:p>
    <w:p>
      <w:pPr>
        <w:pStyle w:val="ListParagraph"/>
        <w:numPr>
          <w:ilvl w:val="0"/>
          <w:numId w:val="3"/>
        </w:numPr>
        <w:spacing w:after="120"/>
      </w:pPr>
      <w:r>
        <w:rPr>
          <w:rFonts w:ascii="Arial" w:cs="Arial" w:eastAsia="Arial" w:hAnsi="Arial"/>
          <w:sz w:val="22"/>
          <w:szCs w:val="22"/>
        </w:rPr>
        <w:t xml:space="preserve">GIN's collapse to all-positive prediction in Fold 7 (Specificity = 0.0000, MCC = 0.0000) persisted on GPU, confirming the failure is a structural property of sum-aggregation GINConv on this imbalanced patient-similarity graph. No degree normalisation is applied by default; this is the proximal cause. This should be acknowledged in the thesis limitations section.</w:t>
      </w:r>
    </w:p>
    <w:p>
      <w:pPr>
        <w:pStyle w:val="ListParagraph"/>
        <w:numPr>
          <w:ilvl w:val="0"/>
          <w:numId w:val="3"/>
        </w:numPr>
        <w:spacing w:after="120"/>
      </w:pPr>
      <w:r>
        <w:rPr>
          <w:rFonts w:ascii="Arial" w:cs="Arial" w:eastAsia="Arial" w:hAnsi="Arial"/>
          <w:sz w:val="22"/>
          <w:szCs w:val="22"/>
        </w:rPr>
        <w:t xml:space="preserve">Fold 3 produced anomalously high results for GCN (AUROC = 1.0000), GraphSAGE (AUROC = 1.0000), and MPNN (AUROC = 0.9975). This fold likely contains a validation split that is particularly easy to classify, possibly due to the small validation size (~43 patients with only 14 PCOS-positive). The test set evaluation in Notebook 3 will provide a more robust assessment of true generalisation.</w:t>
      </w:r>
    </w:p>
    <w:p>
      <w:pPr>
        <w:pStyle w:val="ListParagraph"/>
        <w:numPr>
          <w:ilvl w:val="0"/>
          <w:numId w:val="3"/>
        </w:numPr>
        <w:spacing w:after="120"/>
      </w:pPr>
      <w:r>
        <w:rPr>
          <w:rFonts w:ascii="Arial" w:cs="Arial" w:eastAsia="Arial" w:hAnsi="Arial"/>
          <w:sz w:val="22"/>
          <w:szCs w:val="22"/>
        </w:rPr>
        <w:t xml:space="preserve">Node2Vec embeddings are generated fresh for each training fold using gensim Word2Vec on random walks. This is equivalent in algorithm to PyG's Node2Vec but runs on CPU and may produce slightly different embeddings across runs due to random walk stochasticity. Setting a fixed seed (42) mitigates but does not eliminate this variance.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2026-05-23T10:37:31.192Z</dcterms:created>
  <dcterms:modified xsi:type="dcterms:W3CDTF">2026-05-23T10:37:31.207Z</dcterms:modified>
</cp:coreProperties>
</file>

<file path=docProps/custom.xml><?xml version="1.0" encoding="utf-8"?>
<Properties xmlns="http://schemas.openxmlformats.org/officeDocument/2006/custom-properties" xmlns:vt="http://schemas.openxmlformats.org/officeDocument/2006/docPropsVTypes"/>
</file>