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40"/>
          <w:szCs w:val="40"/>
        </w:rPr>
        <w:t xml:space="preserve">Graph Neural Network Model Comparison Report</w:t>
      </w:r>
    </w:p>
    <w:p>
      <w:pPr>
        <w:spacing w:after="40"/>
        <w:jc w:val="center"/>
      </w:pPr>
      <w:r>
        <w:rPr>
          <w:rFonts w:ascii="Arial" w:cs="Arial" w:eastAsia="Arial" w:hAnsi="Arial"/>
          <w:color w:val="555555"/>
          <w:sz w:val="24"/>
          <w:szCs w:val="24"/>
        </w:rPr>
        <w:t xml:space="preserve">PCOS Subtype Discovery and Classification — 10-Fold Cross-Validation</w:t>
      </w:r>
    </w:p>
    <w:p>
      <w:pPr>
        <w:spacing w:after="40"/>
        <w:jc w:val="center"/>
      </w:pPr>
      <w:r>
        <w:rPr>
          <w:rFonts w:ascii="Arial" w:cs="Arial" w:eastAsia="Arial" w:hAnsi="Arial"/>
          <w:i/>
          <w:iCs/>
          <w:color w:val="888888"/>
          <w:sz w:val="20"/>
          <w:szCs w:val="20"/>
        </w:rPr>
        <w:t xml:space="preserve">Dataset: Kerala PCOS Clinical Dataset (n = 541)  |  Training pool: 432  |  Sealed test: 109</w:t>
      </w:r>
    </w:p>
    <w:p>
      <w:pPr>
        <w:spacing w:after="80"/>
        <w:jc w:val="center"/>
      </w:pPr>
      <w:r>
        <w:rPr>
          <w:rFonts w:ascii="Arial" w:cs="Arial" w:eastAsia="Arial" w:hAnsi="Arial"/>
          <w:b/>
          <w:bCs/>
          <w:color w:val="1F4E79"/>
          <w:sz w:val="20"/>
          <w:szCs w:val="20"/>
        </w:rPr>
        <w:t xml:space="preserve">Hyperparameter Optimisation: Optuna (per-model tuned — hidden dimension, dropout, learning rate, weight decay)</w:t>
      </w:r>
    </w:p>
    <w:p>
      <w:pPr>
        <w:pStyle w:val="Heading1"/>
      </w:pPr>
      <w:r>
        <w:rPr>
          <w:rFonts w:ascii="Arial" w:cs="Arial" w:eastAsia="Arial" w:hAnsi="Arial"/>
          <w:b/>
          <w:bCs/>
          <w:color w:val="1F4E79"/>
          <w:sz w:val="32"/>
          <w:szCs w:val="32"/>
        </w:rPr>
        <w:t xml:space="preserve">1. Overall Ranking by MCC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5"/>
        <w:gridCol w:w="1790"/>
        <w:gridCol w:w="1344"/>
        <w:gridCol w:w="1344"/>
        <w:gridCol w:w="1344"/>
        <w:gridCol w:w="1300"/>
        <w:gridCol w:w="1343"/>
      </w:tblGrid>
      <w:tr>
        <w:trPr>
          <w:tblHeader/>
        </w:trPr>
        <w:tc>
          <w:tcPr>
            <w:tcW w:type="dxa" w:w="89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Rank</w:t>
            </w:r>
          </w:p>
        </w:tc>
        <w:tc>
          <w:tcPr>
            <w:tcW w:type="dxa" w:w="179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Model</w:t>
            </w:r>
          </w:p>
        </w:tc>
        <w:tc>
          <w:tcPr>
            <w:tcW w:type="dxa" w:w="134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MCC</w:t>
            </w:r>
          </w:p>
        </w:tc>
        <w:tc>
          <w:tcPr>
            <w:tcW w:type="dxa" w:w="134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AUROC</w:t>
            </w:r>
          </w:p>
        </w:tc>
        <w:tc>
          <w:tcPr>
            <w:tcW w:type="dxa" w:w="134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Accuracy</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F1</w:t>
            </w:r>
          </w:p>
        </w:tc>
        <w:tc>
          <w:tcPr>
            <w:tcW w:type="dxa" w:w="134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Device</w:t>
            </w:r>
          </w:p>
        </w:tc>
      </w:tr>
      <w:tr>
        <w:tc>
          <w:tcPr>
            <w:tcW w:type="dxa" w:w="895"/>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1</w:t>
            </w:r>
          </w:p>
        </w:tc>
        <w:tc>
          <w:tcPr>
            <w:tcW w:type="dxa" w:w="179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GraphSAGE</w:t>
            </w:r>
          </w:p>
        </w:tc>
        <w:tc>
          <w:tcPr>
            <w:tcW w:type="dxa" w:w="1344"/>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0.6915</w:t>
            </w:r>
          </w:p>
        </w:tc>
        <w:tc>
          <w:tcPr>
            <w:tcW w:type="dxa" w:w="1344"/>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0.9318</w:t>
            </w:r>
          </w:p>
        </w:tc>
        <w:tc>
          <w:tcPr>
            <w:tcW w:type="dxa" w:w="1344"/>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0.8590</w:t>
            </w:r>
          </w:p>
        </w:tc>
        <w:tc>
          <w:tcPr>
            <w:tcW w:type="dxa" w:w="13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0.7931</w:t>
            </w:r>
          </w:p>
        </w:tc>
        <w:tc>
          <w:tcPr>
            <w:tcW w:type="dxa" w:w="1343"/>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GPU (CUDA)</w:t>
            </w:r>
          </w:p>
        </w:tc>
      </w:tr>
      <w:tr>
        <w:tc>
          <w:tcPr>
            <w:tcW w:type="dxa" w:w="895"/>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179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GAT</w:t>
            </w:r>
          </w:p>
        </w:tc>
        <w:tc>
          <w:tcPr>
            <w:tcW w:type="dxa" w:w="1344"/>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0.6534</w:t>
            </w:r>
          </w:p>
        </w:tc>
        <w:tc>
          <w:tcPr>
            <w:tcW w:type="dxa" w:w="1344"/>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0.9227</w:t>
            </w:r>
          </w:p>
        </w:tc>
        <w:tc>
          <w:tcPr>
            <w:tcW w:type="dxa" w:w="1344"/>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0.8383</w:t>
            </w:r>
          </w:p>
        </w:tc>
        <w:tc>
          <w:tcPr>
            <w:tcW w:type="dxa" w:w="13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0.7693</w:t>
            </w:r>
          </w:p>
        </w:tc>
        <w:tc>
          <w:tcPr>
            <w:tcW w:type="dxa" w:w="1343"/>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GPU (CUDA)</w:t>
            </w:r>
          </w:p>
        </w:tc>
      </w:tr>
      <w:tr>
        <w:tc>
          <w:tcPr>
            <w:tcW w:type="dxa" w:w="89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w:t>
            </w:r>
          </w:p>
        </w:tc>
        <w:tc>
          <w:tcPr>
            <w:tcW w:type="dxa" w:w="179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MPNN</w:t>
            </w:r>
          </w:p>
        </w:tc>
        <w:tc>
          <w:tcPr>
            <w:tcW w:type="dxa" w:w="134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0.6465</w:t>
            </w:r>
          </w:p>
        </w:tc>
        <w:tc>
          <w:tcPr>
            <w:tcW w:type="dxa" w:w="134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0.9278</w:t>
            </w:r>
          </w:p>
        </w:tc>
        <w:tc>
          <w:tcPr>
            <w:tcW w:type="dxa" w:w="134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0.8428</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0.7526</w:t>
            </w:r>
          </w:p>
        </w:tc>
        <w:tc>
          <w:tcPr>
            <w:tcW w:type="dxa" w:w="134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GPU (CUDA)</w:t>
            </w:r>
          </w:p>
        </w:tc>
      </w:tr>
      <w:tr>
        <w:tc>
          <w:tcPr>
            <w:tcW w:type="dxa" w:w="895"/>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w:t>
            </w:r>
          </w:p>
        </w:tc>
        <w:tc>
          <w:tcPr>
            <w:tcW w:type="dxa" w:w="179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GCN</w:t>
            </w:r>
          </w:p>
        </w:tc>
        <w:tc>
          <w:tcPr>
            <w:tcW w:type="dxa" w:w="1344"/>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0.6390</w:t>
            </w:r>
          </w:p>
        </w:tc>
        <w:tc>
          <w:tcPr>
            <w:tcW w:type="dxa" w:w="1344"/>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0.9260</w:t>
            </w:r>
          </w:p>
        </w:tc>
        <w:tc>
          <w:tcPr>
            <w:tcW w:type="dxa" w:w="1344"/>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0.8406</w:t>
            </w:r>
          </w:p>
        </w:tc>
        <w:tc>
          <w:tcPr>
            <w:tcW w:type="dxa" w:w="13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0.7531</w:t>
            </w:r>
          </w:p>
        </w:tc>
        <w:tc>
          <w:tcPr>
            <w:tcW w:type="dxa" w:w="1343"/>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GPU (CUDA)</w:t>
            </w:r>
          </w:p>
        </w:tc>
      </w:tr>
      <w:tr>
        <w:tc>
          <w:tcPr>
            <w:tcW w:type="dxa" w:w="895"/>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vAlign w:val="center"/>
          </w:tcPr>
          <w:p>
            <w:pPr>
              <w:jc w:val="center"/>
            </w:pPr>
            <w:r>
              <w:rPr>
                <w:rFonts w:ascii="Arial" w:cs="Arial" w:eastAsia="Arial" w:hAnsi="Arial"/>
                <w:b/>
                <w:bCs/>
                <w:color w:val="843C0C"/>
                <w:sz w:val="18"/>
                <w:szCs w:val="18"/>
              </w:rPr>
              <w:t xml:space="preserve">5</w:t>
            </w:r>
          </w:p>
        </w:tc>
        <w:tc>
          <w:tcPr>
            <w:tcW w:type="dxa" w:w="1790"/>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vAlign w:val="center"/>
          </w:tcPr>
          <w:p>
            <w:pPr>
              <w:jc w:val="center"/>
            </w:pPr>
            <w:r>
              <w:rPr>
                <w:rFonts w:ascii="Arial" w:cs="Arial" w:eastAsia="Arial" w:hAnsi="Arial"/>
                <w:b/>
                <w:bCs/>
                <w:color w:val="843C0C"/>
                <w:sz w:val="18"/>
                <w:szCs w:val="18"/>
              </w:rPr>
              <w:t xml:space="preserve">GIN</w:t>
            </w:r>
          </w:p>
        </w:tc>
        <w:tc>
          <w:tcPr>
            <w:tcW w:type="dxa" w:w="1344"/>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vAlign w:val="center"/>
          </w:tcPr>
          <w:p>
            <w:pPr>
              <w:jc w:val="center"/>
            </w:pPr>
            <w:r>
              <w:rPr>
                <w:rFonts w:ascii="Arial" w:cs="Arial" w:eastAsia="Arial" w:hAnsi="Arial"/>
                <w:b/>
                <w:bCs/>
                <w:color w:val="843C0C"/>
                <w:sz w:val="18"/>
                <w:szCs w:val="18"/>
              </w:rPr>
              <w:t xml:space="preserve">0.6042</w:t>
            </w:r>
          </w:p>
        </w:tc>
        <w:tc>
          <w:tcPr>
            <w:tcW w:type="dxa" w:w="1344"/>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vAlign w:val="center"/>
          </w:tcPr>
          <w:p>
            <w:pPr>
              <w:jc w:val="center"/>
            </w:pPr>
            <w:r>
              <w:rPr>
                <w:rFonts w:ascii="Arial" w:cs="Arial" w:eastAsia="Arial" w:hAnsi="Arial"/>
                <w:b/>
                <w:bCs/>
                <w:color w:val="843C0C"/>
                <w:sz w:val="18"/>
                <w:szCs w:val="18"/>
              </w:rPr>
              <w:t xml:space="preserve">0.9291</w:t>
            </w:r>
          </w:p>
        </w:tc>
        <w:tc>
          <w:tcPr>
            <w:tcW w:type="dxa" w:w="1344"/>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vAlign w:val="center"/>
          </w:tcPr>
          <w:p>
            <w:pPr>
              <w:jc w:val="center"/>
            </w:pPr>
            <w:r>
              <w:rPr>
                <w:rFonts w:ascii="Arial" w:cs="Arial" w:eastAsia="Arial" w:hAnsi="Arial"/>
                <w:b/>
                <w:bCs/>
                <w:color w:val="843C0C"/>
                <w:sz w:val="18"/>
                <w:szCs w:val="18"/>
              </w:rPr>
              <w:t xml:space="preserve">0.7896</w:t>
            </w:r>
          </w:p>
        </w:tc>
        <w:tc>
          <w:tcPr>
            <w:tcW w:type="dxa" w:w="1300"/>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vAlign w:val="center"/>
          </w:tcPr>
          <w:p>
            <w:pPr>
              <w:jc w:val="center"/>
            </w:pPr>
            <w:r>
              <w:rPr>
                <w:rFonts w:ascii="Arial" w:cs="Arial" w:eastAsia="Arial" w:hAnsi="Arial"/>
                <w:b/>
                <w:bCs/>
                <w:color w:val="843C0C"/>
                <w:sz w:val="18"/>
                <w:szCs w:val="18"/>
              </w:rPr>
              <w:t xml:space="preserve">0.7391</w:t>
            </w:r>
          </w:p>
        </w:tc>
        <w:tc>
          <w:tcPr>
            <w:tcW w:type="dxa" w:w="1343"/>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vAlign w:val="center"/>
          </w:tcPr>
          <w:p>
            <w:pPr>
              <w:jc w:val="center"/>
            </w:pPr>
            <w:r>
              <w:rPr>
                <w:rFonts w:ascii="Arial" w:cs="Arial" w:eastAsia="Arial" w:hAnsi="Arial"/>
                <w:b/>
                <w:bCs/>
                <w:color w:val="843C0C"/>
                <w:sz w:val="18"/>
                <w:szCs w:val="18"/>
              </w:rPr>
              <w:t xml:space="preserve">GPU (CUDA)</w:t>
            </w:r>
          </w:p>
        </w:tc>
      </w:tr>
    </w:tbl>
    <w:p>
      <w:pPr>
        <w:spacing w:after="160" w:before="80"/>
      </w:pPr>
      <w:r>
        <w:rPr>
          <w:rFonts w:ascii="Arial" w:cs="Arial" w:eastAsia="Arial" w:hAnsi="Arial"/>
          <w:i/>
          <w:iCs/>
          <w:color w:val="666666"/>
          <w:sz w:val="18"/>
          <w:szCs w:val="18"/>
        </w:rPr>
        <w:t xml:space="preserve">Green shading = best model. Orange shading = GIN (lowest-ranked model).</w:t>
      </w:r>
    </w:p>
    <w:p>
      <w:pPr>
        <w:pStyle w:val="Heading1"/>
      </w:pPr>
      <w:r>
        <w:rPr>
          <w:rFonts w:ascii="Arial" w:cs="Arial" w:eastAsia="Arial" w:hAnsi="Arial"/>
          <w:b/>
          <w:bCs/>
          <w:color w:val="1F4E79"/>
          <w:sz w:val="32"/>
          <w:szCs w:val="32"/>
        </w:rPr>
        <w:t xml:space="preserve">2. Full Metric Comparison (Mean ± Std, 10-Fold CV)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32"/>
        <w:gridCol w:w="1532"/>
        <w:gridCol w:w="1532"/>
        <w:gridCol w:w="1532"/>
        <w:gridCol w:w="1532"/>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Metric</w:t>
            </w:r>
          </w:p>
        </w:tc>
        <w:tc>
          <w:tcPr>
            <w:tcW w:type="dxa" w:w="153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GCN</w:t>
            </w:r>
          </w:p>
        </w:tc>
        <w:tc>
          <w:tcPr>
            <w:tcW w:type="dxa" w:w="153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GAT</w:t>
            </w:r>
          </w:p>
        </w:tc>
        <w:tc>
          <w:tcPr>
            <w:tcW w:type="dxa" w:w="153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GraphSAGE</w:t>
            </w:r>
          </w:p>
        </w:tc>
        <w:tc>
          <w:tcPr>
            <w:tcW w:type="dxa" w:w="153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MPNN</w:t>
            </w:r>
          </w:p>
        </w:tc>
        <w:tc>
          <w:tcPr>
            <w:tcW w:type="dxa" w:w="153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GIN</w:t>
            </w:r>
          </w:p>
        </w:tc>
      </w:tr>
      <w:t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Accuracy</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0.8406 ± 0.0766</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0.8383 ± 0.0852</w:t>
            </w:r>
          </w:p>
        </w:tc>
        <w:tc>
          <w:tcPr>
            <w:tcW w:type="dxa" w:w="1532"/>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0.8590 ± 0.0608</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0.8428 ± 0.0764</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0.7896 ± 0.0865</w:t>
            </w:r>
          </w:p>
        </w:tc>
      </w:tr>
      <w:tr>
        <w:tc>
          <w:tcPr>
            <w:tcW w:type="dxa" w:w="17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Precision</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0.7613 ± 0.1148</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0.7217 ± 0.1217</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0.7721 ± 0.1132</w:t>
            </w:r>
          </w:p>
        </w:tc>
        <w:tc>
          <w:tcPr>
            <w:tcW w:type="dxa" w:w="1532"/>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0.7785 ± 0.1314</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0.6453 ± 0.1245</w:t>
            </w:r>
          </w:p>
        </w:tc>
      </w:tr>
      <w:t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Recall</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0.7524 ± 0.1421</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0.8305 ± 0.1499</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0.8229 ± 0.1020</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0.7457 ± 0.1626</w:t>
            </w:r>
          </w:p>
        </w:tc>
        <w:tc>
          <w:tcPr>
            <w:tcW w:type="dxa" w:w="1532"/>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0.8867 ± 0.1019</w:t>
            </w:r>
          </w:p>
        </w:tc>
      </w:tr>
      <w:tr>
        <w:tc>
          <w:tcPr>
            <w:tcW w:type="dxa" w:w="17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F1-Score</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0.7531 ± 0.1204</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0.7693 ± 0.1273</w:t>
            </w:r>
          </w:p>
        </w:tc>
        <w:tc>
          <w:tcPr>
            <w:tcW w:type="dxa" w:w="1532"/>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0.7931 ± 0.0887</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0.7526 ± 0.1237</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0.7391 ± 0.0901</w:t>
            </w:r>
          </w:p>
        </w:tc>
      </w:tr>
      <w:t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MCC</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0.6390 ± 0.1735</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0.6534 ± 0.1888</w:t>
            </w:r>
          </w:p>
        </w:tc>
        <w:tc>
          <w:tcPr>
            <w:tcW w:type="dxa" w:w="1532"/>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0.6915 ± 0.1361</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0.6465 ± 0.1759</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0.6042 ± 0.1436</w:t>
            </w:r>
          </w:p>
        </w:tc>
      </w:tr>
      <w:tr>
        <w:tc>
          <w:tcPr>
            <w:tcW w:type="dxa" w:w="17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AUROC</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0.9260 ± 0.0541</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0.9227 ± 0.0602</w:t>
            </w:r>
          </w:p>
        </w:tc>
        <w:tc>
          <w:tcPr>
            <w:tcW w:type="dxa" w:w="1532"/>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0.9318 ± 0.0564</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0.9278 ± 0.0550</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0.9291 ± 0.0544</w:t>
            </w:r>
          </w:p>
        </w:tc>
      </w:tr>
      <w:t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AUPRC</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0.8883 ± 0.0807</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0.8783 ± 0.1019</w:t>
            </w:r>
          </w:p>
        </w:tc>
        <w:tc>
          <w:tcPr>
            <w:tcW w:type="dxa" w:w="1532"/>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0.9060 ± 0.0751</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0.8932 ± 0.0804</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0.8889 ± 0.0893</w:t>
            </w:r>
          </w:p>
        </w:tc>
      </w:tr>
      <w:tr>
        <w:tc>
          <w:tcPr>
            <w:tcW w:type="dxa" w:w="17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Sensitivity</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0.7524 ± 0.1421</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0.8305 ± 0.1499</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0.8229 ± 0.1020</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0.7457 ± 0.1626</w:t>
            </w:r>
          </w:p>
        </w:tc>
        <w:tc>
          <w:tcPr>
            <w:tcW w:type="dxa" w:w="1532"/>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0.8867 ± 0.1019</w:t>
            </w:r>
          </w:p>
        </w:tc>
      </w:tr>
      <w:t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Specificity</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0.8834 ± 0.0644</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0.8424 ± 0.0761</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0.8763 ± 0.0673</w:t>
            </w:r>
          </w:p>
        </w:tc>
        <w:tc>
          <w:tcPr>
            <w:tcW w:type="dxa" w:w="1532"/>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0.8900 ± 0.0742</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0.7422 ± 0.1314</w:t>
            </w:r>
          </w:p>
        </w:tc>
      </w:tr>
      <w:tr>
        <w:tc>
          <w:tcPr>
            <w:tcW w:type="dxa" w:w="17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Cohen Kappa</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0.6360 ± 0.1750</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0.6464 ± 0.1898</w:t>
            </w:r>
          </w:p>
        </w:tc>
        <w:tc>
          <w:tcPr>
            <w:tcW w:type="dxa" w:w="1532"/>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0.6867 ± 0.1345</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0.6387 ± 0.1758</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0.5746 ± 0.1575</w:t>
            </w:r>
          </w:p>
        </w:tc>
      </w:tr>
      <w:t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FMI</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0.7621 ± 0.0967</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0.7544 ± 0.1087</w:t>
            </w:r>
          </w:p>
        </w:tc>
        <w:tc>
          <w:tcPr>
            <w:tcW w:type="dxa" w:w="1532"/>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0.7776 ± 0.0832</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0.7669 ± 0.0907</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0.6919 ± 0.1037</w:t>
            </w:r>
          </w:p>
        </w:tc>
      </w:tr>
      <w:tr>
        <w:tc>
          <w:tcPr>
            <w:tcW w:type="dxa" w:w="17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NMI</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0.3629 ± 0.1985</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0.3916 ± 0.2278</w:t>
            </w:r>
          </w:p>
        </w:tc>
        <w:tc>
          <w:tcPr>
            <w:tcW w:type="dxa" w:w="1532"/>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0.4219 ± 0.1804</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0.3830 ± 0.1962</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0.3377 ± 0.1674</w:t>
            </w:r>
          </w:p>
        </w:tc>
      </w:tr>
    </w:tbl>
    <w:p>
      <w:pPr>
        <w:spacing w:after="160" w:before="80"/>
      </w:pPr>
      <w:r>
        <w:rPr>
          <w:rFonts w:ascii="Arial" w:cs="Arial" w:eastAsia="Arial" w:hAnsi="Arial"/>
          <w:i/>
          <w:iCs/>
          <w:color w:val="666666"/>
          <w:sz w:val="18"/>
          <w:szCs w:val="18"/>
        </w:rPr>
        <w:t xml:space="preserve">Green cells indicate the best value for each metric across all five models.</w:t>
      </w:r>
    </w:p>
    <w:p>
      <w:pPr>
        <w:pStyle w:val="Heading1"/>
      </w:pPr>
      <w:r>
        <w:rPr>
          <w:rFonts w:ascii="Arial" w:cs="Arial" w:eastAsia="Arial" w:hAnsi="Arial"/>
          <w:b/>
          <w:bCs/>
          <w:color w:val="1F4E79"/>
          <w:sz w:val="32"/>
          <w:szCs w:val="32"/>
        </w:rPr>
        <w:t xml:space="preserve">3. Per-Class Metrics (Aggregated Across All 10 Folds)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32"/>
        <w:gridCol w:w="1532"/>
        <w:gridCol w:w="1532"/>
        <w:gridCol w:w="1532"/>
        <w:gridCol w:w="1532"/>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Metric</w:t>
            </w:r>
          </w:p>
        </w:tc>
        <w:tc>
          <w:tcPr>
            <w:tcW w:type="dxa" w:w="153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GCN</w:t>
            </w:r>
          </w:p>
        </w:tc>
        <w:tc>
          <w:tcPr>
            <w:tcW w:type="dxa" w:w="153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GAT</w:t>
            </w:r>
          </w:p>
        </w:tc>
        <w:tc>
          <w:tcPr>
            <w:tcW w:type="dxa" w:w="153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GraphSAGE</w:t>
            </w:r>
          </w:p>
        </w:tc>
        <w:tc>
          <w:tcPr>
            <w:tcW w:type="dxa" w:w="153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MPNN</w:t>
            </w:r>
          </w:p>
        </w:tc>
        <w:tc>
          <w:tcPr>
            <w:tcW w:type="dxa" w:w="153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GIN</w:t>
            </w:r>
          </w:p>
        </w:tc>
      </w:tr>
      <w:t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Class 0 Precision</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0.8801</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0.9108</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0.9107</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0.8780</w:t>
            </w:r>
          </w:p>
        </w:tc>
        <w:tc>
          <w:tcPr>
            <w:tcW w:type="dxa" w:w="1532"/>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0.9310</w:t>
            </w:r>
          </w:p>
        </w:tc>
      </w:tr>
      <w:tr>
        <w:tc>
          <w:tcPr>
            <w:tcW w:type="dxa" w:w="17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Class 0 Recall</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0.8832</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0.8419</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0.8763</w:t>
            </w:r>
          </w:p>
        </w:tc>
        <w:tc>
          <w:tcPr>
            <w:tcW w:type="dxa" w:w="1532"/>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0.8900</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0.7423</w:t>
            </w:r>
          </w:p>
        </w:tc>
      </w:tr>
      <w:t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Class 0 F1</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0.8816</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0.8750</w:t>
            </w:r>
          </w:p>
        </w:tc>
        <w:tc>
          <w:tcPr>
            <w:tcW w:type="dxa" w:w="1532"/>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0.8932</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0.8840</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0.8260</w:t>
            </w:r>
          </w:p>
        </w:tc>
      </w:tr>
      <w:tr>
        <w:tc>
          <w:tcPr>
            <w:tcW w:type="dxa" w:w="17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Class 1 Precision</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0.7571</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0.7178</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0.7632</w:t>
            </w:r>
          </w:p>
        </w:tc>
        <w:tc>
          <w:tcPr>
            <w:tcW w:type="dxa" w:w="1532"/>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0.7664</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0.6250</w:t>
            </w:r>
          </w:p>
        </w:tc>
      </w:tr>
      <w:t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Class 1 Recall</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0.7518</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0.8298</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0.8227</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0.7447</w:t>
            </w:r>
          </w:p>
        </w:tc>
        <w:tc>
          <w:tcPr>
            <w:tcW w:type="dxa" w:w="1532"/>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0.8865</w:t>
            </w:r>
          </w:p>
        </w:tc>
      </w:tr>
      <w:tr>
        <w:tc>
          <w:tcPr>
            <w:tcW w:type="dxa" w:w="17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Class 1 F1</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0.7544</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0.7697</w:t>
            </w:r>
          </w:p>
        </w:tc>
        <w:tc>
          <w:tcPr>
            <w:tcW w:type="dxa" w:w="1532"/>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0.7918</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0.7554</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0.7331</w:t>
            </w:r>
          </w:p>
        </w:tc>
      </w:tr>
      <w:t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True Positives (TP)</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106</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117</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116</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105</w:t>
            </w:r>
          </w:p>
        </w:tc>
        <w:tc>
          <w:tcPr>
            <w:tcW w:type="dxa" w:w="1532"/>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125</w:t>
            </w:r>
          </w:p>
        </w:tc>
      </w:tr>
      <w:tr>
        <w:tc>
          <w:tcPr>
            <w:tcW w:type="dxa" w:w="17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False Positives (FP)</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34</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46</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36</w:t>
            </w:r>
          </w:p>
        </w:tc>
        <w:tc>
          <w:tcPr>
            <w:tcW w:type="dxa" w:w="1532"/>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32</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75</w:t>
            </w:r>
          </w:p>
        </w:tc>
      </w:tr>
      <w:t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True Negatives (TN)</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257</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245</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255</w:t>
            </w:r>
          </w:p>
        </w:tc>
        <w:tc>
          <w:tcPr>
            <w:tcW w:type="dxa" w:w="1532"/>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259</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216</w:t>
            </w:r>
          </w:p>
        </w:tc>
      </w:tr>
      <w:tr>
        <w:tc>
          <w:tcPr>
            <w:tcW w:type="dxa" w:w="17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False Negatives (FN)</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35</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24</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25</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36</w:t>
            </w:r>
          </w:p>
        </w:tc>
        <w:tc>
          <w:tcPr>
            <w:tcW w:type="dxa" w:w="1532"/>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16</w:t>
            </w:r>
          </w:p>
        </w:tc>
      </w:tr>
    </w:tbl>
    <w:p>
      <w:pPr>
        <w:spacing w:after="160" w:before="80"/>
      </w:pPr>
      <w:r>
        <w:rPr>
          <w:rFonts w:ascii="Arial" w:cs="Arial" w:eastAsia="Arial" w:hAnsi="Arial"/>
          <w:i/>
          <w:iCs/>
          <w:color w:val="666666"/>
          <w:sz w:val="18"/>
          <w:szCs w:val="18"/>
        </w:rPr>
        <w:t xml:space="preserve">Green cells mark the best value per row (maximum for rates, TP and TN; minimum for FP and FN).</w:t>
      </w:r>
    </w:p>
    <w:p>
      <w:pPr>
        <w:pStyle w:val="Heading1"/>
      </w:pPr>
      <w:r>
        <w:rPr>
          <w:rFonts w:ascii="Arial" w:cs="Arial" w:eastAsia="Arial" w:hAnsi="Arial"/>
          <w:b/>
          <w:bCs/>
          <w:color w:val="1F4E79"/>
          <w:sz w:val="32"/>
          <w:szCs w:val="32"/>
        </w:rPr>
        <w:t xml:space="preserve">4. Cross-Fold Stability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32"/>
        <w:gridCol w:w="1532"/>
        <w:gridCol w:w="1532"/>
        <w:gridCol w:w="1532"/>
        <w:gridCol w:w="1532"/>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Metric</w:t>
            </w:r>
          </w:p>
        </w:tc>
        <w:tc>
          <w:tcPr>
            <w:tcW w:type="dxa" w:w="153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GCN Std</w:t>
            </w:r>
          </w:p>
        </w:tc>
        <w:tc>
          <w:tcPr>
            <w:tcW w:type="dxa" w:w="153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GAT Std</w:t>
            </w:r>
          </w:p>
        </w:tc>
        <w:tc>
          <w:tcPr>
            <w:tcW w:type="dxa" w:w="153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GraphSAGE Std</w:t>
            </w:r>
          </w:p>
        </w:tc>
        <w:tc>
          <w:tcPr>
            <w:tcW w:type="dxa" w:w="153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MPNN Std</w:t>
            </w:r>
          </w:p>
        </w:tc>
        <w:tc>
          <w:tcPr>
            <w:tcW w:type="dxa" w:w="153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GIN Std</w:t>
            </w:r>
          </w:p>
        </w:tc>
      </w:tr>
      <w:t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Accuracy</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0.0766</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0.0852</w:t>
            </w:r>
          </w:p>
        </w:tc>
        <w:tc>
          <w:tcPr>
            <w:tcW w:type="dxa" w:w="1532"/>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0.0608</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0.0764</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0.0865</w:t>
            </w:r>
          </w:p>
        </w:tc>
      </w:tr>
      <w:tr>
        <w:tc>
          <w:tcPr>
            <w:tcW w:type="dxa" w:w="17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Precision</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0.1148</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0.1217</w:t>
            </w:r>
          </w:p>
        </w:tc>
        <w:tc>
          <w:tcPr>
            <w:tcW w:type="dxa" w:w="1532"/>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0.1132</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0.1314</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0.1245</w:t>
            </w:r>
          </w:p>
        </w:tc>
      </w:tr>
      <w:t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Recall</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0.1421</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0.1499</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0.1020</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0.1626</w:t>
            </w:r>
          </w:p>
        </w:tc>
        <w:tc>
          <w:tcPr>
            <w:tcW w:type="dxa" w:w="1532"/>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0.1019</w:t>
            </w:r>
          </w:p>
        </w:tc>
      </w:tr>
      <w:tr>
        <w:tc>
          <w:tcPr>
            <w:tcW w:type="dxa" w:w="17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F1-Score</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0.1204</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0.1273</w:t>
            </w:r>
          </w:p>
        </w:tc>
        <w:tc>
          <w:tcPr>
            <w:tcW w:type="dxa" w:w="1532"/>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0.0887</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0.1237</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0.0901</w:t>
            </w:r>
          </w:p>
        </w:tc>
      </w:tr>
      <w:t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MCC</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0.1735</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0.1888</w:t>
            </w:r>
          </w:p>
        </w:tc>
        <w:tc>
          <w:tcPr>
            <w:tcW w:type="dxa" w:w="1532"/>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0.1361</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0.1759</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0.1436</w:t>
            </w:r>
          </w:p>
        </w:tc>
      </w:tr>
      <w:tr>
        <w:tc>
          <w:tcPr>
            <w:tcW w:type="dxa" w:w="17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AUROC</w:t>
            </w:r>
          </w:p>
        </w:tc>
        <w:tc>
          <w:tcPr>
            <w:tcW w:type="dxa" w:w="1532"/>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0.0541</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0.0602</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0.0564</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0.0550</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0.0544</w:t>
            </w:r>
          </w:p>
        </w:tc>
      </w:tr>
      <w:t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AUPRC</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0.0807</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0.1019</w:t>
            </w:r>
          </w:p>
        </w:tc>
        <w:tc>
          <w:tcPr>
            <w:tcW w:type="dxa" w:w="1532"/>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0.0751</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0.0804</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0.0893</w:t>
            </w:r>
          </w:p>
        </w:tc>
      </w:tr>
      <w:tr>
        <w:tc>
          <w:tcPr>
            <w:tcW w:type="dxa" w:w="17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Sensitivity</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0.1421</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0.1499</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0.1020</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0.1626</w:t>
            </w:r>
          </w:p>
        </w:tc>
        <w:tc>
          <w:tcPr>
            <w:tcW w:type="dxa" w:w="1532"/>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0.1019</w:t>
            </w:r>
          </w:p>
        </w:tc>
      </w:tr>
      <w:t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Specificity</w:t>
            </w:r>
          </w:p>
        </w:tc>
        <w:tc>
          <w:tcPr>
            <w:tcW w:type="dxa" w:w="1532"/>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0.0644</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0.0761</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0.0673</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0.0742</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0.1314</w:t>
            </w:r>
          </w:p>
        </w:tc>
      </w:tr>
      <w:tr>
        <w:tc>
          <w:tcPr>
            <w:tcW w:type="dxa" w:w="17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Cohen Kappa</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0.1750</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0.1898</w:t>
            </w:r>
          </w:p>
        </w:tc>
        <w:tc>
          <w:tcPr>
            <w:tcW w:type="dxa" w:w="1532"/>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0.1345</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0.1758</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0.1575</w:t>
            </w:r>
          </w:p>
        </w:tc>
      </w:tr>
      <w:t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FMI</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0.0967</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0.1087</w:t>
            </w:r>
          </w:p>
        </w:tc>
        <w:tc>
          <w:tcPr>
            <w:tcW w:type="dxa" w:w="1532"/>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0.0832</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0.0907</w:t>
            </w:r>
          </w:p>
        </w:tc>
        <w:tc>
          <w:tcPr>
            <w:tcW w:type="dxa" w:w="15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0.1037</w:t>
            </w:r>
          </w:p>
        </w:tc>
      </w:tr>
      <w:tr>
        <w:tc>
          <w:tcPr>
            <w:tcW w:type="dxa" w:w="17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NMI</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0.1985</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0.2278</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0.1804</w:t>
            </w:r>
          </w:p>
        </w:tc>
        <w:tc>
          <w:tcPr>
            <w:tcW w:type="dxa" w:w="1532"/>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0.1962</w:t>
            </w:r>
          </w:p>
        </w:tc>
        <w:tc>
          <w:tcPr>
            <w:tcW w:type="dxa" w:w="1532"/>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0.1674</w:t>
            </w:r>
          </w:p>
        </w:tc>
      </w:tr>
    </w:tbl>
    <w:p>
      <w:pPr>
        <w:spacing w:after="160" w:before="80"/>
      </w:pPr>
      <w:r>
        <w:rPr>
          <w:rFonts w:ascii="Arial" w:cs="Arial" w:eastAsia="Arial" w:hAnsi="Arial"/>
          <w:i/>
          <w:iCs/>
          <w:color w:val="666666"/>
          <w:sz w:val="18"/>
          <w:szCs w:val="18"/>
        </w:rPr>
        <w:t xml:space="preserve">Green cells = lowest standard deviation for each metric (most stable). GIN’s specificity standard deviation (0.1314) remains the highest of the five models, roughly twice that of GraphSAGE (0.0673), though the extreme fold-to-fold variance seen in the untuned run is substantially reduced.</w:t>
      </w:r>
    </w:p>
    <w:p>
      <w:pPr>
        <w:pStyle w:val="Heading1"/>
      </w:pPr>
      <w:r>
        <w:rPr>
          <w:rFonts w:ascii="Arial" w:cs="Arial" w:eastAsia="Arial" w:hAnsi="Arial"/>
          <w:b/>
          <w:bCs/>
          <w:color w:val="1F4E79"/>
          <w:sz w:val="32"/>
          <w:szCs w:val="32"/>
        </w:rPr>
        <w:t xml:space="preserve">5. Methodological Notes and Limitations</w:t>
      </w:r>
    </w:p>
    <w:p>
      <w:pPr>
        <w:pStyle w:val="ListParagraph"/>
        <w:numPr>
          <w:ilvl w:val="0"/>
          <w:numId w:val="2"/>
        </w:numPr>
        <w:spacing w:after="120"/>
      </w:pPr>
      <w:r>
        <w:rPr>
          <w:rFonts w:ascii="Arial" w:cs="Arial" w:eastAsia="Arial" w:hAnsi="Arial"/>
          <w:color w:val="000000"/>
          <w:sz w:val="20"/>
          <w:szCs w:val="20"/>
        </w:rPr>
        <w:t xml:space="preserve">All five models share identical preprocessing, graph construction (k = 10, cosine similarity, weighted edges), Node2Vec configuration (64 dimensions, walk length 20, context size 10), SMOTE protocol (inside training folds only), and evaluation metrics. The sole difference between this run and the companion default-hyperparameter run is per-model hyperparameter optimisation via Optuna, which tuned the hidden dimension, dropout rate, learning rate, and weight decay for each architecture. Differences in performance are therefore attributable to architecture and tuned hyperparameters, not to preprocessing or evaluation confounds.</w:t>
      </w:r>
    </w:p>
    <w:p>
      <w:pPr>
        <w:pStyle w:val="ListParagraph"/>
        <w:numPr>
          <w:ilvl w:val="0"/>
          <w:numId w:val="2"/>
        </w:numPr>
        <w:spacing w:after="120"/>
      </w:pPr>
      <w:r>
        <w:rPr>
          <w:rFonts w:ascii="Arial" w:cs="Arial" w:eastAsia="Arial" w:hAnsi="Arial"/>
          <w:color w:val="000000"/>
          <w:sz w:val="20"/>
          <w:szCs w:val="20"/>
        </w:rPr>
        <w:t xml:space="preserve">All five models were trained and evaluated on GPU (CUDA). Per-fold model weights are saved for the sealed test-set evaluation in Notebook 3.</w:t>
      </w:r>
    </w:p>
    <w:p>
      <w:pPr>
        <w:pStyle w:val="ListParagraph"/>
        <w:numPr>
          <w:ilvl w:val="0"/>
          <w:numId w:val="2"/>
        </w:numPr>
        <w:spacing w:after="120"/>
      </w:pPr>
      <w:r>
        <w:rPr>
          <w:rFonts w:ascii="Arial" w:cs="Arial" w:eastAsia="Arial" w:hAnsi="Arial"/>
          <w:color w:val="000000"/>
          <w:sz w:val="20"/>
          <w:szCs w:val="20"/>
        </w:rPr>
        <w:t xml:space="preserve">Under Optuna-tuned hyperparameters, GIN no longer exhibits the all-positive prediction collapse observed in the default-hyperparameter run. Its lowest per-fold specificity is 0.5172 (Fold 6) and its lowest per-fold MCC is 0.4133 (Fold 4); no fold degenerates to specificity 0. GIN nonetheless remains the lowest-ranked architecture by MCC (0.6042) and retains the lowest class-1 precision (0.6250), indicating a residual tendency to over-predict the positive class on this imbalanced patient-similarity graph. The improvement over the untuned run should be reported, but GIN’s overall ranking is unchanged.</w:t>
      </w:r>
    </w:p>
    <w:p>
      <w:pPr>
        <w:pStyle w:val="ListParagraph"/>
        <w:numPr>
          <w:ilvl w:val="0"/>
          <w:numId w:val="2"/>
        </w:numPr>
        <w:spacing w:after="120"/>
      </w:pPr>
      <w:r>
        <w:rPr>
          <w:rFonts w:ascii="Arial" w:cs="Arial" w:eastAsia="Arial" w:hAnsi="Arial"/>
          <w:color w:val="000000"/>
          <w:sz w:val="20"/>
          <w:szCs w:val="20"/>
        </w:rPr>
        <w:t xml:space="preserve">Fold 3 again produces anomalously high discrimination across architectures (AUROC = 1.0000 for GAT and MPNN; 0.9975 for GraphSAGE; 0.9951 for GCN; 0.9926 for GIN), consistent with the companion run. This fold’s small validation partition (~43 patients, 14 PCOS-positive) is likely particularly separable. The sealed test-set evaluation in Notebook 3 will provide a more robust estimate of true generalisation.</w:t>
      </w:r>
    </w:p>
    <w:p>
      <w:pPr>
        <w:pStyle w:val="ListParagraph"/>
        <w:numPr>
          <w:ilvl w:val="0"/>
          <w:numId w:val="2"/>
        </w:numPr>
        <w:spacing w:after="120"/>
      </w:pPr>
      <w:r>
        <w:rPr>
          <w:rFonts w:ascii="Arial" w:cs="Arial" w:eastAsia="Arial" w:hAnsi="Arial"/>
          <w:color w:val="000000"/>
          <w:sz w:val="20"/>
          <w:szCs w:val="20"/>
        </w:rPr>
        <w:t xml:space="preserve">Relative to the default-hyperparameter run, Optuna tuning improved MCC for GAT (0.5997 → 0.6534), MPNN (0.6406 → 0.6465), and GIN (0.5071 → 0.6042), while marginally reducing it for GCN (0.6484 → 0.6390) and GraphSAGE (0.7175 → 0.6915). Because both the Optuna objective and the in-fold early-stopping criterion are defined on AUROC rather than MCC, tuning did not improve the primary metric for the two strongest models. GraphSAGE remains the best-performing architecture under both configurations.</w:t>
      </w:r>
    </w:p>
    <w:p>
      <w:pPr>
        <w:pStyle w:val="ListParagraph"/>
        <w:numPr>
          <w:ilvl w:val="0"/>
          <w:numId w:val="2"/>
        </w:numPr>
        <w:spacing w:after="120"/>
      </w:pPr>
      <w:r>
        <w:rPr>
          <w:rFonts w:ascii="Arial" w:cs="Arial" w:eastAsia="Arial" w:hAnsi="Arial"/>
          <w:color w:val="000000"/>
          <w:sz w:val="20"/>
          <w:szCs w:val="20"/>
        </w:rPr>
        <w:t xml:space="preserve">Node2Vec embeddings are generated fresh for each training fold using gensim Word2Vec on random walks. This is algorithmically equivalent to PyG’s Node2Vec but may produce slightly different embeddings across runs due to random-walk stochasticity. Setting a fixed seed (42) mitigates but does not eliminate this variance.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2026-06-17T06:09:32.029Z</dcterms:created>
  <dcterms:modified xsi:type="dcterms:W3CDTF">2026-06-17T06:09:32.029Z</dcterms:modified>
</cp:coreProperties>
</file>

<file path=docProps/custom.xml><?xml version="1.0" encoding="utf-8"?>
<Properties xmlns="http://schemas.openxmlformats.org/officeDocument/2006/custom-properties" xmlns:vt="http://schemas.openxmlformats.org/officeDocument/2006/docPropsVTypes"/>
</file>