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200" w:before="0"/>
        <w:jc w:val="center"/>
      </w:pPr>
      <w:r>
        <w:rPr>
          <w:rFonts w:ascii="Arial" w:cs="Arial" w:eastAsia="Arial" w:hAnsi="Arial"/>
          <w:b/>
          <w:bCs/>
          <w:color w:val="1F4E79"/>
          <w:sz w:val="52"/>
          <w:szCs w:val="52"/>
        </w:rPr>
        <w:t xml:space="preserve">وثيقة متطلبات الأعمال</w:t>
      </w:r>
    </w:p>
    <w:p>
      <w:pPr>
        <w:spacing w:after="160" w:before="0"/>
        <w:jc w:val="center"/>
      </w:pPr>
      <w:r>
        <w:rPr>
          <w:rFonts w:ascii="Arial" w:cs="Arial" w:eastAsia="Arial" w:hAnsi="Arial"/>
          <w:color w:val="2E75B6"/>
          <w:sz w:val="36"/>
          <w:szCs w:val="36"/>
        </w:rPr>
        <w:t xml:space="preserve">Business Requirements Document</w:t>
      </w:r>
    </w:p>
    <w:p>
      <w:pPr>
        <w:pBdr>
          <w:bottom w:val="single" w:color="2E75B6" w:sz="12" w:space="1"/>
        </w:pBdr>
        <w:spacing w:after="400" w:before="0"/>
        <w:jc w:val="center"/>
      </w:pPr>
      <w:r>
        <w:t xml:space="preserve"/>
      </w:r>
    </w:p>
    <w:p>
      <w:pPr>
        <w:spacing w:after="0" w:before="200"/>
      </w:pPr>
      <w:r>
        <w:t xml:space="preserve"/>
      </w:r>
    </w:p>
    <w:p>
      <w:pPr>
        <w:spacing w:after="120" w:before="0"/>
        <w:jc w:val="center"/>
      </w:pPr>
      <w:r>
        <w:rPr>
          <w:rFonts w:ascii="Arial" w:cs="Arial" w:eastAsia="Arial" w:hAnsi="Arial"/>
          <w:b/>
          <w:bCs/>
          <w:color w:val="1F4E79"/>
          <w:sz w:val="44"/>
          <w:szCs w:val="44"/>
        </w:rPr>
        <w:t xml:space="preserve">نظام إدارة ورشة النجارة</w:t>
      </w:r>
    </w:p>
    <w:p>
      <w:pPr>
        <w:spacing w:after="600" w:before="0"/>
        <w:jc w:val="center"/>
      </w:pPr>
      <w:r>
        <w:rPr>
          <w:rFonts w:ascii="Arial" w:cs="Arial" w:eastAsia="Arial" w:hAnsi="Arial"/>
          <w:color w:val="555555"/>
          <w:sz w:val="28"/>
          <w:szCs w:val="28"/>
        </w:rPr>
        <w:t xml:space="preserve">Carpentry Workshop Management System</w:t>
      </w:r>
    </w:p>
    <w:p>
      <w:pPr>
        <w:spacing w:after="0" w:before="40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البند</w:t>
            </w:r>
          </w:p>
        </w:tc>
        <w:tc>
          <w:tcPr>
            <w:tcW w:type="dxa" w:w="28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التفاصيل</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الإصدار</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التاريخ</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يونيو 2026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الحالة</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مسودة أولية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نوع النظام</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ERP — ورشة نجارة</w:t>
            </w:r>
          </w:p>
        </w:tc>
      </w:tr>
    </w:tbl>
    <w:p>
      <w:r>
        <w:br w:type="page"/>
      </w:r>
    </w:p>
    <w:p>
      <w:pPr>
        <w:pStyle w:val="Heading1"/>
        <w:pBdr>
          <w:bottom w:val="single" w:color="2E75B6" w:sz="8" w:space="4"/>
        </w:pBdr>
        <w:spacing w:after="160" w:before="360"/>
      </w:pPr>
      <w:r>
        <w:rPr>
          <w:rFonts w:ascii="Arial" w:cs="Arial" w:eastAsia="Arial" w:hAnsi="Arial"/>
          <w:b/>
          <w:bCs/>
          <w:color w:val="1F4E79"/>
          <w:sz w:val="36"/>
          <w:szCs w:val="36"/>
        </w:rPr>
        <w:t xml:space="preserve">1. الملخص التنفيذي</w:t>
      </w:r>
    </w:p>
    <w:p>
      <w:pPr>
        <w:spacing w:after="80" w:before="60"/>
      </w:pPr>
      <w:r>
        <w:rPr>
          <w:rFonts w:ascii="Arial" w:cs="Arial" w:eastAsia="Arial" w:hAnsi="Arial"/>
          <w:sz w:val="22"/>
          <w:szCs w:val="22"/>
        </w:rPr>
        <w:t xml:space="preserve">يهدف هذا المشروع إلى بناء نظام إدارة متكامل لورشة النجارة يغطي دورة العمل الكاملة من استلام الشغلانة حتى التسليم النهائي وتسوية الحسابات، مع إمكانية التوسع مستقبلاً لإدارة عدة ورش.</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المحور</w:t>
            </w:r>
          </w:p>
        </w:tc>
        <w:tc>
          <w:tcPr>
            <w:tcW w:type="dxa" w:w="616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التفاصيل</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هدف النظام</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أتمتة إدارة الشغلانات والمحاسبة وإدارة الصنايعية</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نطاق المرحلة الأولى</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ورشة واحدة — قابل للتوسع لعدة ورش</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المستخدم الرئيسي</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صاحب الورشة</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نوع العملاء</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أفراد</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منهجية التسعير</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سعر إجمالي للشغلانة بدون تفصيل القطع</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المنهجية المحاسبية</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تكاليف مباشرة لكل شغلانة + مصاريف عامة على الورشة</w:t>
            </w:r>
          </w:p>
        </w:tc>
      </w:tr>
    </w:tbl>
    <w:p>
      <w:pPr>
        <w:spacing w:after="0" w:before="20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6"/>
          <w:szCs w:val="36"/>
        </w:rPr>
        <w:t xml:space="preserve">2. نظرة عامة على البيزنس</w:t>
      </w:r>
    </w:p>
    <w:p>
      <w:pPr>
        <w:pStyle w:val="Heading2"/>
        <w:spacing w:after="120" w:before="280"/>
      </w:pPr>
      <w:r>
        <w:rPr>
          <w:rFonts w:ascii="Arial" w:cs="Arial" w:eastAsia="Arial" w:hAnsi="Arial"/>
          <w:b/>
          <w:bCs/>
          <w:color w:val="2E75B6"/>
          <w:sz w:val="28"/>
          <w:szCs w:val="28"/>
        </w:rPr>
        <w:t xml:space="preserve">2.1 طبيعة النشاط التجاري</w:t>
      </w:r>
    </w:p>
    <w:p>
      <w:pPr>
        <w:spacing w:after="80" w:before="60"/>
      </w:pPr>
      <w:r>
        <w:rPr>
          <w:rFonts w:ascii="Arial" w:cs="Arial" w:eastAsia="Arial" w:hAnsi="Arial"/>
          <w:sz w:val="22"/>
          <w:szCs w:val="22"/>
        </w:rPr>
        <w:t xml:space="preserve">ورشة نجارة تقدم شغلانات مخصصة للأفراد. الاتفاق مع العميل يتم شفهياً ويُسجَّل في النظام كشغلانة تحتوي على وصف ومجموعة قطع. كل شغلانة لها سعر إجمالي واحد بدون تفصيل الأسعار على القطع.</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2.2 رحلة الشغلانة الكاملة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المرحلة</w:t>
            </w:r>
          </w:p>
        </w:tc>
        <w:tc>
          <w:tcPr>
            <w:tcW w:type="dxa" w:w="3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الوصف</w:t>
            </w:r>
          </w:p>
        </w:tc>
        <w:tc>
          <w:tcPr>
            <w:tcW w:type="dxa" w:w="436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العمليات المسموحة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جديدة</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تسجيل الشغلانة في النظام</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إضافة بيانات — تسجيل دفعات — تسجيل تكاليف</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شغالة</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بدأ التنفيذ الفعلي</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إضافة تكاليف — تسجيل دفعات — تعديل البيانات</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خلصت</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انتهى العمل — لم يُسلَّم بعد</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تسجيل دفعات فقط</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اتسلمت</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استلم العميل الشغلانة</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تسجيل دفعات فقط</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مغلقة</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تمت التسوية الكاملة</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قراءة فقط — لا تعديل</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ملغية</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تم إلغاء الشغلانة</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رد مدفوعات للعميل أو تحويلها</w:t>
            </w:r>
          </w:p>
        </w:tc>
      </w:tr>
    </w:tbl>
    <w:p>
      <w:pPr>
        <w:spacing w:after="0" w:before="200"/>
      </w:pPr>
      <w:r>
        <w:t xml:space="preserve"/>
      </w:r>
    </w:p>
    <w:p>
      <w:pPr>
        <w:pStyle w:val="Heading2"/>
        <w:spacing w:after="120" w:before="280"/>
      </w:pPr>
      <w:r>
        <w:rPr>
          <w:rFonts w:ascii="Arial" w:cs="Arial" w:eastAsia="Arial" w:hAnsi="Arial"/>
          <w:b/>
          <w:bCs/>
          <w:color w:val="2E75B6"/>
          <w:sz w:val="28"/>
          <w:szCs w:val="28"/>
        </w:rPr>
        <w:t xml:space="preserve">2.3 قواعد الإلغاء</w:t>
      </w:r>
    </w:p>
    <w:p>
      <w:pPr>
        <w:pStyle w:val="ListParagraph"/>
        <w:numPr>
          <w:ilvl w:val="0"/>
          <w:numId w:val="2"/>
        </w:numPr>
        <w:spacing w:after="40" w:before="40"/>
      </w:pPr>
      <w:r>
        <w:rPr>
          <w:rFonts w:ascii="Arial" w:cs="Arial" w:eastAsia="Arial" w:hAnsi="Arial"/>
          <w:sz w:val="22"/>
          <w:szCs w:val="22"/>
        </w:rPr>
        <w:t xml:space="preserve">عند إلغاء شغلانة يظهر خياران للمستخدم:</w:t>
      </w:r>
    </w:p>
    <w:p>
      <w:pPr>
        <w:pStyle w:val="ListParagraph"/>
        <w:numPr>
          <w:ilvl w:val="1"/>
          <w:numId w:val="2"/>
        </w:numPr>
        <w:spacing w:after="40" w:before="40"/>
      </w:pPr>
      <w:r>
        <w:rPr>
          <w:rFonts w:ascii="Arial" w:cs="Arial" w:eastAsia="Arial" w:hAnsi="Arial"/>
          <w:sz w:val="22"/>
          <w:szCs w:val="22"/>
        </w:rPr>
        <w:t xml:space="preserve">رد المبلغ المدفوع نقداً من الخزنة للعميل</w:t>
      </w:r>
    </w:p>
    <w:p>
      <w:pPr>
        <w:pStyle w:val="ListParagraph"/>
        <w:numPr>
          <w:ilvl w:val="1"/>
          <w:numId w:val="2"/>
        </w:numPr>
        <w:spacing w:after="40" w:before="40"/>
      </w:pPr>
      <w:r>
        <w:rPr>
          <w:rFonts w:ascii="Arial" w:cs="Arial" w:eastAsia="Arial" w:hAnsi="Arial"/>
          <w:sz w:val="22"/>
          <w:szCs w:val="22"/>
        </w:rPr>
        <w:t xml:space="preserve">تحويل الرصيد كـ Credit على شغلانة أخرى لنفس العميل</w:t>
      </w:r>
    </w:p>
    <w:p>
      <w:pPr>
        <w:pStyle w:val="ListParagraph"/>
        <w:numPr>
          <w:ilvl w:val="0"/>
          <w:numId w:val="2"/>
        </w:numPr>
        <w:spacing w:after="40" w:before="40"/>
      </w:pPr>
      <w:r>
        <w:rPr>
          <w:rFonts w:ascii="Arial" w:cs="Arial" w:eastAsia="Arial" w:hAnsi="Arial"/>
          <w:sz w:val="22"/>
          <w:szCs w:val="22"/>
        </w:rPr>
        <w:t xml:space="preserve">التكاليف المصروفة قبل الإلغاء تُسجَّل كخسارة على الورشة</w:t>
      </w:r>
    </w:p>
    <w:p>
      <w:pPr>
        <w:spacing w:after="0" w:before="20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6"/>
          <w:szCs w:val="36"/>
        </w:rPr>
        <w:t xml:space="preserve">3. الكيانات الأساسية للنظام</w:t>
      </w:r>
    </w:p>
    <w:p>
      <w:pPr>
        <w:spacing w:after="80" w:before="60"/>
      </w:pPr>
      <w:r>
        <w:rPr>
          <w:rFonts w:ascii="Arial" w:cs="Arial" w:eastAsia="Arial" w:hAnsi="Arial"/>
          <w:sz w:val="22"/>
          <w:szCs w:val="22"/>
        </w:rPr>
        <w:t xml:space="preserve">الجدول التالي يوضح كل الكيانات المكتشفة خلال مرحلة التحليل مع تصنيفها المعماري:</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800"/>
        <w:gridCol w:w="2160"/>
      </w:tblGrid>
      <w:tr>
        <w:tc>
          <w:tcPr>
            <w:tcW w:type="dxa" w:w="26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الكيان</w:t>
            </w:r>
          </w:p>
        </w:tc>
        <w:tc>
          <w:tcPr>
            <w:tcW w:type="dxa" w:w="18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النوع</w:t>
            </w:r>
          </w:p>
        </w:tc>
        <w:tc>
          <w:tcPr>
            <w:tcW w:type="dxa" w:w="28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الوصف</w:t>
            </w:r>
          </w:p>
        </w:tc>
        <w:tc>
          <w:tcPr>
            <w:tcW w:type="dxa" w:w="216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ملاحظات معمارية</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Workshop — الورشة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Strong Entity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الوحدة التشغيلية الأساسية</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كل بيانات النظام مرتبطة بورشة</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Customer — العميل</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Strong Entity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صاحب الشغلانة — أفراد فقط</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مستقل عن الشغلانات — ممكن يكون عميل بدون شغلانة</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Job — الشغلانة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Strong Entity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قلب النظام</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ليها Lifecycle كامل من 6 مراحل</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Job Item — قطع الشغلانة</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Weak Entity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قطع وصفية بدون أسعار</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لا معنى لها بدون الشغلانة</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Worker — الصنايعي</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Strong Entity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ثابت أو خارجي</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باب مفتوح لـ Payroll مستقبلاً</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Job Worker — شغلانة/صنايعي</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Junction Entity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ربط Many-to-Many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تحتوي المصنعية المتفق عليها</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Worker Payment — مدفوعات الصنايعي</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Weak Entity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دفعات لكل صنايعي على كل شغلانة</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كل دفعة تُنزِّل الخزنة</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Customer Payment — مدفوعات العميل</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Weak Entity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دفعات العميل على الشغلانة</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كل دفعة ترفع الخزنة</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Job Cost — تكاليف الشغلانة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Weak Entity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خامات / نقل / مصاريف أخرى</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مرتبطة بشغلانة أو بالورشة</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Cashbox — الخزنة</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Strong Entity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خزنة واحدة لكل ورشة</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قلب المحاسبة</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Cashbox Transaction — حركات الخزنة</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Weak Entity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Audit Trail كامل</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كل عملية = سطر إجباري هنا</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Transaction Category — فئات المعاملات</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Strong Entity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Parent/Child — مستويين</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قابلة للتعديل من الإعدادات</w:t>
            </w:r>
          </w:p>
        </w:tc>
      </w:tr>
    </w:tbl>
    <w:p>
      <w:pPr>
        <w:spacing w:after="0" w:before="20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6"/>
          <w:szCs w:val="36"/>
        </w:rPr>
        <w:t xml:space="preserve">4. العلاقات بين الكيانات</w:t>
      </w:r>
    </w:p>
    <w:p>
      <w:pPr>
        <w:pStyle w:val="Heading2"/>
        <w:spacing w:after="120" w:before="280"/>
      </w:pPr>
      <w:r>
        <w:rPr>
          <w:rFonts w:ascii="Arial" w:cs="Arial" w:eastAsia="Arial" w:hAnsi="Arial"/>
          <w:b/>
          <w:bCs/>
          <w:color w:val="2E75B6"/>
          <w:sz w:val="28"/>
          <w:szCs w:val="28"/>
        </w:rPr>
        <w:t xml:space="preserve">4.1 جدول العلاقات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700"/>
        <w:gridCol w:w="1400"/>
        <w:gridCol w:w="2460"/>
      </w:tblGrid>
      <w:tr>
        <w:tc>
          <w:tcPr>
            <w:tcW w:type="dxa" w:w="19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من</w:t>
            </w:r>
          </w:p>
        </w:tc>
        <w:tc>
          <w:tcPr>
            <w:tcW w:type="dxa" w:w="19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إلى</w:t>
            </w:r>
          </w:p>
        </w:tc>
        <w:tc>
          <w:tcPr>
            <w:tcW w:type="dxa" w:w="17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النوع</w:t>
            </w:r>
          </w:p>
        </w:tc>
        <w:tc>
          <w:tcPr>
            <w:tcW w:type="dxa" w:w="14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إجبارية؟</w:t>
            </w:r>
          </w:p>
        </w:tc>
        <w:tc>
          <w:tcPr>
            <w:tcW w:type="dxa" w:w="246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الوصف</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Workshop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Cashbox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One-to-One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نعم</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كل ورشة لها خزنة واحدة</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Workshop</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Customer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One-to-Many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لا</w:t>
            </w:r>
          </w:p>
        </w:tc>
        <w:tc>
          <w:tcPr>
            <w:tcW w:type="dxa" w:w="2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الورشة ممكن يكون فيها عملاء كتير</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Workshop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Worker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One-to-Many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لا</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الصنايعية مرتبطون بالورشة</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Customer</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Job</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One-to-Many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لا</w:t>
            </w:r>
          </w:p>
        </w:tc>
        <w:tc>
          <w:tcPr>
            <w:tcW w:type="dxa" w:w="2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العميل ممكن يكون عنده شغلانات كتير</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Job</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Job Item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One-to-Many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لا</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الشغلانة فيها قطع وصفية</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Job</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Customer Payment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One-to-Many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لا</w:t>
            </w:r>
          </w:p>
        </w:tc>
        <w:tc>
          <w:tcPr>
            <w:tcW w:type="dxa" w:w="2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الشغلانة ممكن يكون عليها دفعات كتير</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Job</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Job Cost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One-to-Many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لا</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الشغلانة ممكن عليها تكاليف كتير</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Job + Worker</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Job Worker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Many-to-Many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w:t>
            </w:r>
          </w:p>
        </w:tc>
        <w:tc>
          <w:tcPr>
            <w:tcW w:type="dxa" w:w="2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صنايعي على أكتر من شغلانة والعكس</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Job Worker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Worker Payment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One-to-Many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لا</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كل ارتباط صنايعي/شغلانة له دفعات متعددة</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Cashbox</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Cashbox Transaction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One-to-Many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نعم</w:t>
            </w:r>
          </w:p>
        </w:tc>
        <w:tc>
          <w:tcPr>
            <w:tcW w:type="dxa" w:w="2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كل عملية = سطر في الحركات</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Transaction Category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Transaction Category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Self One-to-Many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لا</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Parent → Children (مستويين)</w:t>
            </w:r>
          </w:p>
        </w:tc>
      </w:tr>
    </w:tbl>
    <w:p>
      <w:pPr>
        <w:spacing w:after="0" w:before="200"/>
      </w:pPr>
      <w:r>
        <w:t xml:space="preserve"/>
      </w:r>
    </w:p>
    <w:p>
      <w:pPr>
        <w:pStyle w:val="Heading2"/>
        <w:spacing w:after="120" w:before="280"/>
      </w:pPr>
      <w:r>
        <w:rPr>
          <w:rFonts w:ascii="Arial" w:cs="Arial" w:eastAsia="Arial" w:hAnsi="Arial"/>
          <w:b/>
          <w:bCs/>
          <w:color w:val="2E75B6"/>
          <w:sz w:val="28"/>
          <w:szCs w:val="28"/>
        </w:rPr>
        <w:t xml:space="preserve">4.2 قاعدة الخزنة الذهبية</w:t>
      </w:r>
    </w:p>
    <w:p>
      <w:pPr>
        <w:spacing w:after="80" w:before="60"/>
      </w:pPr>
      <w:r>
        <w:rPr>
          <w:rFonts w:ascii="Arial" w:cs="Arial" w:eastAsia="Arial" w:hAnsi="Arial"/>
          <w:sz w:val="22"/>
          <w:szCs w:val="22"/>
        </w:rPr>
        <w:t xml:space="preserve">كل عملية مالية في النظام — بدون استثناء — تُولِّد سطراً في جدول Cashbox Transactions. هذا هو الـ Audit Trail الوحيد والمصدر الحقيقي لرصيد الخزنة.</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العملية</w:t>
            </w:r>
          </w:p>
        </w:tc>
        <w:tc>
          <w:tcPr>
            <w:tcW w:type="dxa" w:w="20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اتجاه الخزنة</w:t>
            </w:r>
          </w:p>
        </w:tc>
        <w:tc>
          <w:tcPr>
            <w:tcW w:type="dxa" w:w="386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المصدر</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دفع عميل</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دخل ↑</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Customer Payment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تكلفة شغلانة</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خروج ↓</w:t>
            </w:r>
          </w:p>
        </w:tc>
        <w:tc>
          <w:tcPr>
            <w:tcW w:type="dxa" w:w="3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Job Cost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دفع صنايعي</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خروج ↓</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Worker Payment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إيداع يدوي (رأس مال / قرض)</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دخل ↑</w:t>
            </w:r>
          </w:p>
        </w:tc>
        <w:tc>
          <w:tcPr>
            <w:tcW w:type="dxa" w:w="3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Manual Entry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مصروف عام يدوي</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خروج ↓</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Manual Entry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رد مبلغ لعميل (إلغاء)</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خروج ↓</w:t>
            </w:r>
          </w:p>
        </w:tc>
        <w:tc>
          <w:tcPr>
            <w:tcW w:type="dxa" w:w="3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Job Cancellation</w:t>
            </w:r>
          </w:p>
        </w:tc>
      </w:tr>
    </w:tbl>
    <w:p>
      <w:pPr>
        <w:spacing w:after="0" w:before="20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6"/>
          <w:szCs w:val="36"/>
        </w:rPr>
        <w:t xml:space="preserve">5. المتطلبات الوظيفية</w:t>
      </w:r>
    </w:p>
    <w:p>
      <w:pPr>
        <w:pStyle w:val="Heading2"/>
        <w:spacing w:after="120" w:before="280"/>
      </w:pPr>
      <w:r>
        <w:rPr>
          <w:rFonts w:ascii="Arial" w:cs="Arial" w:eastAsia="Arial" w:hAnsi="Arial"/>
          <w:b/>
          <w:bCs/>
          <w:color w:val="2E75B6"/>
          <w:sz w:val="28"/>
          <w:szCs w:val="28"/>
        </w:rPr>
        <w:t xml:space="preserve">5.1 إدارة الشغلانات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2460"/>
      </w:tblGrid>
      <w:tr>
        <w:tc>
          <w:tcPr>
            <w:tcW w:type="dxa" w:w="14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الكود</w:t>
            </w:r>
          </w:p>
        </w:tc>
        <w:tc>
          <w:tcPr>
            <w:tcW w:type="dxa" w:w="55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المتطلب</w:t>
            </w:r>
          </w:p>
        </w:tc>
        <w:tc>
          <w:tcPr>
            <w:tcW w:type="dxa" w:w="246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الأولوية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JOB-01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إنشاء شغلانة جديدة بوصف وسعر إجمالي وعميل</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JOB-02</w:t>
            </w:r>
          </w:p>
        </w:tc>
        <w:tc>
          <w:tcPr>
            <w:tcW w:type="dxa" w:w="5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إضافة قطع وصفية للشغلانة (بدون أسعار لكل قطعة)</w:t>
            </w:r>
          </w:p>
        </w:tc>
        <w:tc>
          <w:tcPr>
            <w:tcW w:type="dxa" w:w="2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JOB-03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تغيير حالة الشغلانة مع التحقق من القواعد</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JOB-04</w:t>
            </w:r>
          </w:p>
        </w:tc>
        <w:tc>
          <w:tcPr>
            <w:tcW w:type="dxa" w:w="5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إلغاء شغلانة مع اختيار: رد نقدي أو تحويل رصيد</w:t>
            </w:r>
          </w:p>
        </w:tc>
        <w:tc>
          <w:tcPr>
            <w:tcW w:type="dxa" w:w="2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JOB-05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عرض ملخص الشغلانة: الإيراد — التكاليف — الربح — المتبقي</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JOB-06</w:t>
            </w:r>
          </w:p>
        </w:tc>
        <w:tc>
          <w:tcPr>
            <w:tcW w:type="dxa" w:w="5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قفل الشغلانة المغلقة — منع أي تعديل</w:t>
            </w:r>
          </w:p>
        </w:tc>
        <w:tc>
          <w:tcPr>
            <w:tcW w:type="dxa" w:w="2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JOB-07</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البحث والفلترة في الشغلانات بالحالة والعميل والتاريخ</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متوسطة</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5.2 إدارة العملاء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2460"/>
      </w:tblGrid>
      <w:tr>
        <w:tc>
          <w:tcPr>
            <w:tcW w:type="dxa" w:w="14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الكود</w:t>
            </w:r>
          </w:p>
        </w:tc>
        <w:tc>
          <w:tcPr>
            <w:tcW w:type="dxa" w:w="55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المتطلب</w:t>
            </w:r>
          </w:p>
        </w:tc>
        <w:tc>
          <w:tcPr>
            <w:tcW w:type="dxa" w:w="246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الأولوية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CUS-01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إنشاء / تعديل بيانات العميل</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CUS-02</w:t>
            </w:r>
          </w:p>
        </w:tc>
        <w:tc>
          <w:tcPr>
            <w:tcW w:type="dxa" w:w="5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عرض كل شغلانات العميل مع حالتها</w:t>
            </w:r>
          </w:p>
        </w:tc>
        <w:tc>
          <w:tcPr>
            <w:tcW w:type="dxa" w:w="2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CUS-03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عرض إجمالي الديون المتراكمة على العميل</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CUS-04</w:t>
            </w:r>
          </w:p>
        </w:tc>
        <w:tc>
          <w:tcPr>
            <w:tcW w:type="dxa" w:w="5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تسجيل دفعة من العميل على شغلانة معينة</w:t>
            </w:r>
          </w:p>
        </w:tc>
        <w:tc>
          <w:tcPr>
            <w:tcW w:type="dxa" w:w="2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CUS-05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عرض سجل كل المدفوعات لكل عميل</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متوسطة</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5.3 إدارة الصنايعية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2460"/>
      </w:tblGrid>
      <w:tr>
        <w:tc>
          <w:tcPr>
            <w:tcW w:type="dxa" w:w="14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الكود</w:t>
            </w:r>
          </w:p>
        </w:tc>
        <w:tc>
          <w:tcPr>
            <w:tcW w:type="dxa" w:w="55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المتطلب</w:t>
            </w:r>
          </w:p>
        </w:tc>
        <w:tc>
          <w:tcPr>
            <w:tcW w:type="dxa" w:w="246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الأولوية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WRK-01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إنشاء / تعديل بيانات الصنايعي (ثابت / خارجي)</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WRK-02</w:t>
            </w:r>
          </w:p>
        </w:tc>
        <w:tc>
          <w:tcPr>
            <w:tcW w:type="dxa" w:w="5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تعيين صنايعي على شغلانة مع تحديد المصنعية المتفق عليها</w:t>
            </w:r>
          </w:p>
        </w:tc>
        <w:tc>
          <w:tcPr>
            <w:tcW w:type="dxa" w:w="2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WRK-03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تسجيل دفعة لصنايعي على شغلانة معينة</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WRK-04</w:t>
            </w:r>
          </w:p>
        </w:tc>
        <w:tc>
          <w:tcPr>
            <w:tcW w:type="dxa" w:w="5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عرض ملخص الصنايعي: المتفق — المدفوع — المتبقي لكل شغلانة</w:t>
            </w:r>
          </w:p>
        </w:tc>
        <w:tc>
          <w:tcPr>
            <w:tcW w:type="dxa" w:w="2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WRK-05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صنايعي واحد ممكن يكون على أكتر من شغلانة في نفس الوقت</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WRK-06</w:t>
            </w:r>
          </w:p>
        </w:tc>
        <w:tc>
          <w:tcPr>
            <w:tcW w:type="dxa" w:w="5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عرض سجل كل المدفوعات لكل صنايعي</w:t>
            </w:r>
          </w:p>
        </w:tc>
        <w:tc>
          <w:tcPr>
            <w:tcW w:type="dxa" w:w="2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متوسطة</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5.4 إدارة التكاليف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2460"/>
      </w:tblGrid>
      <w:tr>
        <w:tc>
          <w:tcPr>
            <w:tcW w:type="dxa" w:w="14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الكود</w:t>
            </w:r>
          </w:p>
        </w:tc>
        <w:tc>
          <w:tcPr>
            <w:tcW w:type="dxa" w:w="55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المتطلب</w:t>
            </w:r>
          </w:p>
        </w:tc>
        <w:tc>
          <w:tcPr>
            <w:tcW w:type="dxa" w:w="246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الأولوية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CST-01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تسجيل تكلفة مرتبطة بشغلانة (خامات / نقل / غيره)</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CST-02</w:t>
            </w:r>
          </w:p>
        </w:tc>
        <w:tc>
          <w:tcPr>
            <w:tcW w:type="dxa" w:w="5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تسجيل مصروف عام على الورشة (إيجار / كهرباء / غيره)</w:t>
            </w:r>
          </w:p>
        </w:tc>
        <w:tc>
          <w:tcPr>
            <w:tcW w:type="dxa" w:w="2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CST-03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كل تكلفة تُنزِّل الخزنة تلقائياً فور التسجيل</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CST-04</w:t>
            </w:r>
          </w:p>
        </w:tc>
        <w:tc>
          <w:tcPr>
            <w:tcW w:type="dxa" w:w="5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تصنيف كل تكلفة تحت فئة من فئات المعاملات</w:t>
            </w:r>
          </w:p>
        </w:tc>
        <w:tc>
          <w:tcPr>
            <w:tcW w:type="dxa" w:w="2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CST-05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منع تسجيل تكاليف على شغلانة في حالة خلصت / اتسلمت / مغلقة / ملغية</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5.5 إدارة الخزنة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2460"/>
      </w:tblGrid>
      <w:tr>
        <w:tc>
          <w:tcPr>
            <w:tcW w:type="dxa" w:w="14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الكود</w:t>
            </w:r>
          </w:p>
        </w:tc>
        <w:tc>
          <w:tcPr>
            <w:tcW w:type="dxa" w:w="55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المتطلب</w:t>
            </w:r>
          </w:p>
        </w:tc>
        <w:tc>
          <w:tcPr>
            <w:tcW w:type="dxa" w:w="246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الأولوية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CSH-01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عرض الرصيد الحالي للخزنة</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CSH-02</w:t>
            </w:r>
          </w:p>
        </w:tc>
        <w:tc>
          <w:tcPr>
            <w:tcW w:type="dxa" w:w="5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تسجيل إيداع يدوي (رأس مال / قرض / دخل متنوع)</w:t>
            </w:r>
          </w:p>
        </w:tc>
        <w:tc>
          <w:tcPr>
            <w:tcW w:type="dxa" w:w="2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CSH-03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تسجيل مصروف يدوي عام</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CSH-04</w:t>
            </w:r>
          </w:p>
        </w:tc>
        <w:tc>
          <w:tcPr>
            <w:tcW w:type="dxa" w:w="5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عرض كل حركات الخزنة مع التصفية بالتاريخ والنوع</w:t>
            </w:r>
          </w:p>
        </w:tc>
        <w:tc>
          <w:tcPr>
            <w:tcW w:type="dxa" w:w="2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CSH-05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كل حركة ليها: تاريخ + نوع + مبلغ + مصدر + ملاحظة</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CSH-06</w:t>
            </w:r>
          </w:p>
        </w:tc>
        <w:tc>
          <w:tcPr>
            <w:tcW w:type="dxa" w:w="5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منع حذف أي حركة — الستورنو فقط هو المسموح</w:t>
            </w:r>
          </w:p>
        </w:tc>
        <w:tc>
          <w:tcPr>
            <w:tcW w:type="dxa" w:w="2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5.6 إدارة الفئات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2460"/>
      </w:tblGrid>
      <w:tr>
        <w:tc>
          <w:tcPr>
            <w:tcW w:type="dxa" w:w="14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الكود</w:t>
            </w:r>
          </w:p>
        </w:tc>
        <w:tc>
          <w:tcPr>
            <w:tcW w:type="dxa" w:w="55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المتطلب</w:t>
            </w:r>
          </w:p>
        </w:tc>
        <w:tc>
          <w:tcPr>
            <w:tcW w:type="dxa" w:w="246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الأولوية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CAT-01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إنشاء فئة رئيسية (Parent) من نوع إيراد أو مصروف</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CAT-02</w:t>
            </w:r>
          </w:p>
        </w:tc>
        <w:tc>
          <w:tcPr>
            <w:tcW w:type="dxa" w:w="5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إنشاء فئة فرعية (Child) تحت فئة رئيسية</w:t>
            </w:r>
          </w:p>
        </w:tc>
        <w:tc>
          <w:tcPr>
            <w:tcW w:type="dxa" w:w="2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CAT-03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مستويين فقط — لا يُسمح بفئة تحت فئة فرعية</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CAT-04</w:t>
            </w:r>
          </w:p>
        </w:tc>
        <w:tc>
          <w:tcPr>
            <w:tcW w:type="dxa" w:w="5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تعديل / تعطيل الفئات من شاشة الإعدادات</w:t>
            </w:r>
          </w:p>
        </w:tc>
        <w:tc>
          <w:tcPr>
            <w:tcW w:type="dxa" w:w="24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متوسطة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CAT-05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بعض الفئات System لا يمكن حذفها (مدفوعات عملاء — مدفوعات صنايعية)</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bl>
    <w:p>
      <w:pPr>
        <w:spacing w:after="0" w:before="20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6"/>
          <w:szCs w:val="36"/>
        </w:rPr>
        <w:t xml:space="preserve">6. التقارير المطلوبة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التقرير</w:t>
            </w:r>
          </w:p>
        </w:tc>
        <w:tc>
          <w:tcPr>
            <w:tcW w:type="dxa" w:w="4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المعلومات الرئيسية</w:t>
            </w:r>
          </w:p>
        </w:tc>
        <w:tc>
          <w:tcPr>
            <w:tcW w:type="dxa" w:w="236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الأولوية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ملخص الشغلانة</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الإيراد — التكاليف — الربح — المحصَّل — المتبقي</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أرباح وخسائر الشغلانات</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قائمة كل الشغلانات مع صافي ربح كل منها</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ديون العملاء</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كل عميل وإجمالي ما عليه من شغلانات</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مستحقات الصنايعية</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كل صنايعي وإجمالي المتبقي له</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كشف الخزنة</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كل الحركات مع الرصيد التراكمي</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المصاريف العامة</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إجمالي المصاريف العامة مصنفة بالفئات</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متوسطة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ملخص الورشة الشهري</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إيرادات — مصاريف — أرباح — رصيد الخزنة</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عالية</w:t>
            </w:r>
          </w:p>
        </w:tc>
      </w:tr>
    </w:tbl>
    <w:p>
      <w:pPr>
        <w:spacing w:after="0" w:before="20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6"/>
          <w:szCs w:val="36"/>
        </w:rPr>
        <w:t xml:space="preserve">7. القواعد المحاسبية</w:t>
      </w:r>
    </w:p>
    <w:p>
      <w:pPr>
        <w:pStyle w:val="Heading2"/>
        <w:spacing w:after="120" w:before="280"/>
      </w:pPr>
      <w:r>
        <w:rPr>
          <w:rFonts w:ascii="Arial" w:cs="Arial" w:eastAsia="Arial" w:hAnsi="Arial"/>
          <w:b/>
          <w:bCs/>
          <w:color w:val="2E75B6"/>
          <w:sz w:val="28"/>
          <w:szCs w:val="28"/>
        </w:rPr>
        <w:t xml:space="preserve">7.1 معادلة ربح الشغلانة</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40"/>
              <w:bottom w:type="dxa" w:w="160"/>
              <w:right w:type="dxa" w:w="240"/>
            </w:tcMar>
          </w:tcPr>
          <w:p>
            <w:pPr>
              <w:jc w:val="center"/>
            </w:pPr>
            <w:r>
              <w:rPr>
                <w:rFonts w:ascii="Arial" w:cs="Arial" w:eastAsia="Arial" w:hAnsi="Arial"/>
                <w:b/>
                <w:bCs/>
                <w:color w:val="1F4E79"/>
                <w:sz w:val="22"/>
                <w:szCs w:val="22"/>
              </w:rPr>
              <w:t xml:space="preserve">صافي ربح الشغلانة  =  سعر البيع الإجمالي  −  (تكاليف الخامات + مصنعية الصنايعية + تكاليف النقل + أي تكاليف مباشرة أخرى)</w:t>
            </w:r>
          </w:p>
        </w:tc>
      </w:tr>
    </w:tbl>
    <w:p>
      <w:pPr>
        <w:spacing w:after="0" w:before="120"/>
      </w:pPr>
      <w:r>
        <w:t xml:space="preserve"/>
      </w:r>
    </w:p>
    <w:p>
      <w:pPr>
        <w:spacing w:after="80" w:before="60"/>
      </w:pPr>
      <w:r>
        <w:rPr>
          <w:rFonts w:ascii="Arial" w:cs="Arial" w:eastAsia="Arial" w:hAnsi="Arial"/>
          <w:sz w:val="22"/>
          <w:szCs w:val="22"/>
        </w:rPr>
        <w:t xml:space="preserve">ملاحظة مهمة: ربح الشغلانة يُحسب على السعر الإجمالي المتفق عليه — وليس على المبلغ المحصَّل فعلاً. الفرق بين المتفق والمحصَّل هو دَيْن العميل.</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7.2 الفرق بين الربح والتحصيل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البند</w:t>
            </w:r>
          </w:p>
        </w:tc>
        <w:tc>
          <w:tcPr>
            <w:tcW w:type="dxa" w:w="38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المعنى</w:t>
            </w:r>
          </w:p>
        </w:tc>
        <w:tc>
          <w:tcPr>
            <w:tcW w:type="dxa" w:w="276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مثال</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سعر الشغلانة</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الإيراد المتفق عليه</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10,000 جنيه</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إجمالي التكاليف</w:t>
            </w:r>
          </w:p>
        </w:tc>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خامات + مصنعية + نقل</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6,500 جنيه</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صافي الربح</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الإيراد − التكاليف</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3,500 جنيه</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المحصَّل فعلاً</w:t>
            </w:r>
          </w:p>
        </w:tc>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ما دفعه العميل حتى الآن</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7,000 جنيه</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المتبقي على العميل</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سعر الشغلانة − المحصَّل</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3,000 جنيه</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7.3 قواعد سلامة الخزنة</w:t>
      </w:r>
    </w:p>
    <w:p>
      <w:pPr>
        <w:pStyle w:val="ListParagraph"/>
        <w:numPr>
          <w:ilvl w:val="0"/>
          <w:numId w:val="2"/>
        </w:numPr>
        <w:spacing w:after="40" w:before="40"/>
      </w:pPr>
      <w:r>
        <w:rPr>
          <w:rFonts w:ascii="Arial" w:cs="Arial" w:eastAsia="Arial" w:hAnsi="Arial"/>
          <w:sz w:val="22"/>
          <w:szCs w:val="22"/>
        </w:rPr>
        <w:t xml:space="preserve">الرصيد الحقيقي للخزنة = مجموع كل الحركات في Cashbox Transactions</w:t>
      </w:r>
    </w:p>
    <w:p>
      <w:pPr>
        <w:pStyle w:val="ListParagraph"/>
        <w:numPr>
          <w:ilvl w:val="0"/>
          <w:numId w:val="2"/>
        </w:numPr>
        <w:spacing w:after="40" w:before="40"/>
      </w:pPr>
      <w:r>
        <w:rPr>
          <w:rFonts w:ascii="Arial" w:cs="Arial" w:eastAsia="Arial" w:hAnsi="Arial"/>
          <w:sz w:val="22"/>
          <w:szCs w:val="22"/>
        </w:rPr>
        <w:t xml:space="preserve">لا يُحفظ رصيد الخزنة كحقل ثابت — يُحسب دائماً من الحركات</w:t>
      </w:r>
    </w:p>
    <w:p>
      <w:pPr>
        <w:pStyle w:val="ListParagraph"/>
        <w:numPr>
          <w:ilvl w:val="0"/>
          <w:numId w:val="2"/>
        </w:numPr>
        <w:spacing w:after="40" w:before="40"/>
      </w:pPr>
      <w:r>
        <w:rPr>
          <w:rFonts w:ascii="Arial" w:cs="Arial" w:eastAsia="Arial" w:hAnsi="Arial"/>
          <w:sz w:val="22"/>
          <w:szCs w:val="22"/>
        </w:rPr>
        <w:t xml:space="preserve">لا يُحذف أي سجل مالي — الستورنو فقط هو المسموح</w:t>
      </w:r>
    </w:p>
    <w:p>
      <w:pPr>
        <w:pStyle w:val="ListParagraph"/>
        <w:numPr>
          <w:ilvl w:val="0"/>
          <w:numId w:val="2"/>
        </w:numPr>
        <w:spacing w:after="40" w:before="40"/>
      </w:pPr>
      <w:r>
        <w:rPr>
          <w:rFonts w:ascii="Arial" w:cs="Arial" w:eastAsia="Arial" w:hAnsi="Arial"/>
          <w:sz w:val="22"/>
          <w:szCs w:val="22"/>
        </w:rPr>
        <w:t xml:space="preserve">كل عملية تربط الخزنة بمصدرها (شغلانة / صنايعي / يدوي)</w:t>
      </w:r>
    </w:p>
    <w:p>
      <w:pPr>
        <w:spacing w:after="0" w:before="20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6"/>
          <w:szCs w:val="36"/>
        </w:rPr>
        <w:t xml:space="preserve">8. المتطلبات غير الوظيفية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المجال</w:t>
            </w:r>
          </w:p>
        </w:tc>
        <w:tc>
          <w:tcPr>
            <w:tcW w:type="dxa" w:w="696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المتطلب</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التوسع</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النظام مصمم لدعم عدة ورش — كل ورشة بياناتها منفصلة</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الأداء</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استعلامات التقارير لا تزيد عن 3 ثوانٍ لبيانات سنة كاملة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Audit Trail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كل عملية مالية لها سجل كامل لا يُحذف</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البساطة</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واجهة واحدة بدون Login — مستخدم واحد</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المرونة</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الفئات قابلة للتعديل بدون تعديل في الكود</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المستقبل</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التصميم يستوعب: مخزن — رواتب — موردين — أصول</w:t>
            </w:r>
          </w:p>
        </w:tc>
      </w:tr>
    </w:tbl>
    <w:p>
      <w:pPr>
        <w:spacing w:after="0" w:before="20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9. الموديولات المستقبلية</w:t>
      </w:r>
    </w:p>
    <w:p>
      <w:pPr>
        <w:spacing w:after="80" w:before="60"/>
      </w:pPr>
      <w:r>
        <w:rPr>
          <w:rFonts w:ascii="Arial" w:cs="Arial" w:eastAsia="Arial" w:hAnsi="Arial"/>
          <w:sz w:val="22"/>
          <w:szCs w:val="22"/>
        </w:rPr>
        <w:t xml:space="preserve">التصميم الحالي يأخذ في الاعتبار إضافة الموديولات التالية مستقبلاً بدون إعادة بناء:</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الموديول</w:t>
            </w:r>
          </w:p>
        </w:tc>
        <w:tc>
          <w:tcPr>
            <w:tcW w:type="dxa" w:w="42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الارتباط بالتصميم الحالي</w:t>
            </w:r>
          </w:p>
        </w:tc>
        <w:tc>
          <w:tcPr>
            <w:tcW w:type="dxa" w:w="256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الأولوية المقترحة</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Inventory — المخزن</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Job Cost ستُربط بحركات المخزن</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عالية — المرحلة القادمة</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Payroll — الرواتب</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Worker (worker_type=ثابت) جاهز للربط</w:t>
            </w:r>
          </w:p>
        </w:tc>
        <w:tc>
          <w:tcPr>
            <w:tcW w:type="dxa" w:w="2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متوسطة</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Suppliers — الموردين</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Job Cost ستُضاف إليها supplier_id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متوسطة</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Purchasing — المشتريات</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مرتبط بالمخزن والموردين</w:t>
            </w:r>
          </w:p>
        </w:tc>
        <w:tc>
          <w:tcPr>
            <w:tcW w:type="dxa" w:w="2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متوسطة</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Assets — الأصول</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معدات الورشة — استهلاك شهري</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منخفضة</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HR — الموارد البشرية</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توسعة لموديول الصنايعية الثابتين</w:t>
            </w:r>
          </w:p>
        </w:tc>
        <w:tc>
          <w:tcPr>
            <w:tcW w:type="dxa" w:w="2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منخفضة</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Manufacturing — التصنيع</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Bill of Materials لكل شغلانة</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منخفضة</w:t>
            </w:r>
          </w:p>
        </w:tc>
      </w:tr>
    </w:tbl>
    <w:p>
      <w:pPr>
        <w:spacing w:after="0" w:before="20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6"/>
          <w:szCs w:val="36"/>
        </w:rPr>
        <w:t xml:space="preserve">10. خارج النطاق — المرحلة الأولى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البند</w:t>
            </w:r>
          </w:p>
        </w:tc>
        <w:tc>
          <w:tcPr>
            <w:tcW w:type="dxa" w:w="556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السبب</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نظام Login وصلاحيات المستخدمين</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مستخدم واحد فقط في المرحلة الأولى</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عروض الأسعار (Quotations)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الاتفاق شفهي — غير مطلوب</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أسعار تفصيلية لكل قطعة</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السعر إجمالي للشغلانة</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رواتب الصنايعية الثابتين</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مؤجل للمرحلة القادمة</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إدارة المخزن</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مؤجل — شراء مباشر لكل شغلانة حالياً</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تحويل بين الخزن</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خزنة واحدة في المرحلة الأولى</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الموردين والمشتريات</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مؤجل للمرحلة القادمة</w:t>
            </w:r>
          </w:p>
        </w:tc>
      </w:tr>
    </w:tbl>
    <w:p>
      <w:pPr>
        <w:spacing w:after="0" w:before="20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11. سجل القرارات المعمارية</w:t>
      </w:r>
    </w:p>
    <w:p>
      <w:pPr>
        <w:spacing w:after="80" w:before="60"/>
      </w:pPr>
      <w:r>
        <w:rPr>
          <w:rFonts w:ascii="Arial" w:cs="Arial" w:eastAsia="Arial" w:hAnsi="Arial"/>
          <w:sz w:val="22"/>
          <w:szCs w:val="22"/>
        </w:rPr>
        <w:t xml:space="preserve">القرارات التالية تم التوصل إليها بعد تحليل معمق خلال جلسة التحليل:</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القرار</w:t>
            </w:r>
          </w:p>
        </w:tc>
        <w:tc>
          <w:tcPr>
            <w:tcW w:type="dxa" w:w="280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البديل المرفوض</w:t>
            </w:r>
          </w:p>
        </w:tc>
        <w:tc>
          <w:tcPr>
            <w:tcW w:type="dxa" w:w="3760"/>
            <w:tcBorders>
              <w:top w:val="single" w:color="CCCCCC" w:sz="1"/>
              <w:left w:val="single" w:color="CCCCCC" w:sz="1"/>
              <w:bottom w:val="single" w:color="CCCCCC" w:sz="1"/>
              <w:right w:val="single" w:color="CCCCCC"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سبب الاختيار</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سعر إجمالي للشغلانة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سعر لكل قطعة</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البساطة + طبيعة عمل الورشة</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دفع حر بدون جدول</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Payment Schedule محدد مسبقاً</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مرونة التعامل مع العملاء</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الدفع مربوط بشغلانة معينة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حساب إجمالي للعميل</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دقة حساب ربح كل شغلانة</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جدول مدفوعات منفصل للصنايعية</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حقل واحد للمدفوع</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Audit Trail + تعدد الدفعات</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مستويين للفئات فقط</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شجرة لا نهاية لها</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بساطة الاستعلامات والتقارير</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رصيد الخزنة من الحركات</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حقل رصيد ثابت</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منع تضارب الأرصدة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خزنة واحدة لكل ورشة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خزنة واحدة للكل</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استعداد للتوسع لعدة ورش</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worker_type في جدول الصنايعي</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جدولين منفصلين</w:t>
            </w:r>
          </w:p>
        </w:tc>
        <w:tc>
          <w:tcPr>
            <w:tcW w:type="dxa" w:w="3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البساطة + باب مفتوح للـ Payroll</w:t>
            </w:r>
          </w:p>
        </w:tc>
      </w:tr>
    </w:tbl>
    <w:p>
      <w:pPr>
        <w:spacing w:after="0" w:before="20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6"/>
          <w:szCs w:val="36"/>
        </w:rPr>
        <w:t xml:space="preserve">ملحق — خريطة الكيانات والعلاقات (نصية)</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200"/>
              <w:left w:type="dxa" w:w="300"/>
              <w:bottom w:type="dxa" w:w="200"/>
              <w:right w:type="dxa" w:w="300"/>
            </w:tcMar>
          </w:tcPr>
          <w:p>
            <w:r>
              <w:rPr>
                <w:rFonts w:ascii="Courier New" w:cs="Courier New" w:eastAsia="Courier New" w:hAnsi="Courier New"/>
                <w:b/>
                <w:bCs/>
                <w:sz w:val="20"/>
                <w:szCs w:val="20"/>
              </w:rPr>
              <w:t xml:space="preserve">Workshop</w:t>
            </w:r>
          </w:p>
          <w:p>
            <w:r>
              <w:rPr>
                <w:rFonts w:ascii="Courier New" w:cs="Courier New" w:eastAsia="Courier New" w:hAnsi="Courier New"/>
                <w:sz w:val="20"/>
                <w:szCs w:val="20"/>
              </w:rPr>
              <w:t xml:space="preserve">  ├── has one  ──▶  Cashbox</w:t>
            </w:r>
          </w:p>
          <w:p>
            <w:r>
              <w:rPr>
                <w:rFonts w:ascii="Courier New" w:cs="Courier New" w:eastAsia="Courier New" w:hAnsi="Courier New"/>
                <w:sz w:val="20"/>
                <w:szCs w:val="20"/>
              </w:rPr>
              <w:t xml:space="preserve">  │               └── has many ──▶  CashboxTransaction</w:t>
            </w:r>
          </w:p>
          <w:p>
            <w:r>
              <w:rPr>
                <w:rFonts w:ascii="Courier New" w:cs="Courier New" w:eastAsia="Courier New" w:hAnsi="Courier New"/>
                <w:sz w:val="20"/>
                <w:szCs w:val="20"/>
              </w:rPr>
              <w:t xml:space="preserve">  ├── has many ──▶  Customer</w:t>
            </w:r>
          </w:p>
          <w:p>
            <w:r>
              <w:rPr>
                <w:rFonts w:ascii="Courier New" w:cs="Courier New" w:eastAsia="Courier New" w:hAnsi="Courier New"/>
                <w:sz w:val="20"/>
                <w:szCs w:val="20"/>
              </w:rPr>
              <w:t xml:space="preserve">  │               └── has many ──▶  Job</w:t>
            </w:r>
          </w:p>
          <w:p>
            <w:r>
              <w:rPr>
                <w:rFonts w:ascii="Courier New" w:cs="Courier New" w:eastAsia="Courier New" w:hAnsi="Courier New"/>
                <w:sz w:val="20"/>
                <w:szCs w:val="20"/>
              </w:rPr>
              <w:t xml:space="preserve">  │                               ├── has many ──▶  JobItem</w:t>
            </w:r>
          </w:p>
          <w:p>
            <w:r>
              <w:rPr>
                <w:rFonts w:ascii="Courier New" w:cs="Courier New" w:eastAsia="Courier New" w:hAnsi="Courier New"/>
                <w:sz w:val="20"/>
                <w:szCs w:val="20"/>
              </w:rPr>
              <w:t xml:space="preserve">  │                               ├── has many ──▶  CustomerPayment</w:t>
            </w:r>
          </w:p>
          <w:p>
            <w:r>
              <w:rPr>
                <w:rFonts w:ascii="Courier New" w:cs="Courier New" w:eastAsia="Courier New" w:hAnsi="Courier New"/>
                <w:sz w:val="20"/>
                <w:szCs w:val="20"/>
              </w:rPr>
              <w:t xml:space="preserve">  │                               ├── has many ──▶  JobCost</w:t>
            </w:r>
          </w:p>
          <w:p>
            <w:r>
              <w:rPr>
                <w:rFonts w:ascii="Courier New" w:cs="Courier New" w:eastAsia="Courier New" w:hAnsi="Courier New"/>
                <w:sz w:val="20"/>
                <w:szCs w:val="20"/>
              </w:rPr>
              <w:t xml:space="preserve">  │                               └── has many ──▶  JobWorker</w:t>
            </w:r>
          </w:p>
          <w:p>
            <w:r>
              <w:rPr>
                <w:rFonts w:ascii="Courier New" w:cs="Courier New" w:eastAsia="Courier New" w:hAnsi="Courier New"/>
                <w:sz w:val="20"/>
                <w:szCs w:val="20"/>
              </w:rPr>
              <w:t xml:space="preserve">  │                                               └── has many ──▶  WorkerPayment</w:t>
            </w:r>
          </w:p>
          <w:p>
            <w:r>
              <w:rPr>
                <w:rFonts w:ascii="Courier New" w:cs="Courier New" w:eastAsia="Courier New" w:hAnsi="Courier New"/>
                <w:sz w:val="20"/>
                <w:szCs w:val="20"/>
              </w:rPr>
              <w:t xml:space="preserve">  └── has many ──▶  Worker</w:t>
            </w:r>
          </w:p>
          <w:p>
            <w:r>
              <w:rPr>
                <w:rFonts w:ascii="Courier New" w:cs="Courier New" w:eastAsia="Courier New" w:hAnsi="Courier New"/>
                <w:sz w:val="20"/>
                <w:szCs w:val="20"/>
              </w:rPr>
              <w:t xml:space="preserve">                  └── has many ──▶  JobWorker (Many-to-Many with Job)</w:t>
            </w:r>
          </w:p>
          <w:p>
            <w:r>
              <w:rPr>
                <w:rFonts w:ascii="Courier New" w:cs="Courier New" w:eastAsia="Courier New" w:hAnsi="Courier New"/>
                <w:sz w:val="20"/>
                <w:szCs w:val="20"/>
              </w:rPr>
              <w:t xml:space="preserve"/>
            </w:r>
          </w:p>
          <w:p>
            <w:r>
              <w:rPr>
                <w:rFonts w:ascii="Courier New" w:cs="Courier New" w:eastAsia="Courier New" w:hAnsi="Courier New"/>
                <w:b/>
                <w:bCs/>
                <w:sz w:val="20"/>
                <w:szCs w:val="20"/>
              </w:rPr>
              <w:t xml:space="preserve">TransactionCategory</w:t>
            </w:r>
          </w:p>
          <w:p>
            <w:r>
              <w:rPr>
                <w:rFonts w:ascii="Courier New" w:cs="Courier New" w:eastAsia="Courier New" w:hAnsi="Courier New"/>
                <w:sz w:val="20"/>
                <w:szCs w:val="20"/>
              </w:rPr>
              <w:t xml:space="preserve">  └── has many ──▶  TransactionCategory (Self — Parent/Child)</w:t>
            </w:r>
          </w:p>
        </w:tc>
      </w:tr>
    </w:tbl>
    <w:p>
      <w:pPr>
        <w:spacing w:after="0" w:before="400"/>
      </w:pPr>
      <w:r>
        <w:t xml:space="preserve"/>
      </w:r>
    </w:p>
    <w:p>
      <w:pPr>
        <w:pBdr>
          <w:top w:val="single" w:color="2E75B6" w:sz="4" w:space="4"/>
        </w:pBdr>
        <w:spacing w:after="80" w:before="200"/>
        <w:jc w:val="center"/>
      </w:pPr>
      <w:r>
        <w:rPr>
          <w:rFonts w:ascii="Arial" w:cs="Arial" w:eastAsia="Arial" w:hAnsi="Arial"/>
          <w:color w:val="888888"/>
          <w:sz w:val="20"/>
          <w:szCs w:val="20"/>
        </w:rPr>
        <w:t xml:space="preserve">نهاية الوثيقة</w:t>
      </w:r>
    </w:p>
    <w:p>
      <w:pPr>
        <w:jc w:val="center"/>
      </w:pPr>
      <w:r>
        <w:rPr>
          <w:rFonts w:ascii="Arial" w:cs="Arial" w:eastAsia="Arial" w:hAnsi="Arial"/>
          <w:color w:val="AAAAAA"/>
          <w:sz w:val="18"/>
          <w:szCs w:val="18"/>
        </w:rPr>
        <w:t xml:space="preserve">BRD v1.0 — Carpentry Workshop Management System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2026-06-07T09:59:46.787Z</dcterms:created>
  <dcterms:modified xsi:type="dcterms:W3CDTF">2026-06-07T09:59:46.787Z</dcterms:modified>
</cp:coreProperties>
</file>

<file path=docProps/custom.xml><?xml version="1.0" encoding="utf-8"?>
<Properties xmlns="http://schemas.openxmlformats.org/officeDocument/2006/custom-properties" xmlns:vt="http://schemas.openxmlformats.org/officeDocument/2006/docPropsVTypes"/>
</file>