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Project2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رضا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چهرقانی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ab/>
        <w:tab/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810101401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امیر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نداف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فهمیده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ab/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کرمانی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  <w:tab/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گيتهاب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24"/>
          <w:szCs w:val="24"/>
        </w:rPr>
      </w:pPr>
      <w:hyperlink r:id="rId6">
        <w:r w:rsidDel="00000000" w:rsidR="00000000" w:rsidRPr="00000000">
          <w:rPr>
            <w:rFonts w:ascii="Economica" w:cs="Economica" w:eastAsia="Economica" w:hAnsi="Economica"/>
            <w:b w:val="1"/>
            <w:color w:val="1155cc"/>
            <w:sz w:val="24"/>
            <w:szCs w:val="24"/>
            <w:u w:val="single"/>
            <w:rtl w:val="0"/>
          </w:rPr>
          <w:t xml:space="preserve">https://github.com/mostafa-kermaninia/OS_LAB_P2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آخرین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کامیت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8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1)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پوشه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واسطی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پرداخته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​​.</w:t>
      </w:r>
    </w:p>
    <w:p w:rsidR="00000000" w:rsidDel="00000000" w:rsidP="00000000" w:rsidRDefault="00000000" w:rsidRPr="00000000" w14:paraId="0000000E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vhlhls6ecrwq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تأثیرات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سیستمی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مزایای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متعددی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پنهان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یکپارچه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شکست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کمبود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کارآمدتری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برخورد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tx8mjczig7ox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عملکرد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رعایت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استانداردهای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مثبتی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مهاجرت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مبتنی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تسهیل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حفاظتی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j86x67a43rkl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موجود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makefile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: </w:t>
      </w:r>
    </w:p>
    <w:p w:rsidR="00000000" w:rsidDel="00000000" w:rsidP="00000000" w:rsidRDefault="00000000" w:rsidRPr="00000000" w14:paraId="00000018">
      <w:pPr>
        <w:bidi w:val="1"/>
        <w:spacing w:after="200" w:before="0" w:lineRule="auto"/>
        <w:ind w:left="27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624263" cy="3579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ulib.c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ulib.o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strcpy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strcmp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strlen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memset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strchr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atoi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memmove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اظهار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stdin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حلقه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آرایه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متادیتای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usys.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اسمبلی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usys.o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wrappers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وظیفه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عهده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566988" cy="119348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19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global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اعلام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eax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$T_SYSCALL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($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printf.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printf.c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چاپ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stdout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غیرمستقیم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umalloc.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umalloc.o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malloc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هیچکدام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sbrk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دلخواه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2)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آسنکرون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وابستگی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جریان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وابستگی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جریان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فشردن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هدایت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برطرف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سنکرون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اغلب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نمونه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عبارتند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استثناهایی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بروز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Signals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رویدادهای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SIGKILL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خاتمه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متوقف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Ctrl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SIGTERM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filesystems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/sys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ساختارهای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نیازمند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دایرکتوری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مختص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شناسه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مصرفی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/sys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تنظیمات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درایورها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تنظیمات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Netlink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Netlink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ویژه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پیکربندی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مانیتورینگ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رویدادهای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دوجهته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کاربر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Network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ارتباطات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TCP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space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Libraries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بسیاری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قالبی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مکمل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کارآمد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ابزارها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دهندگان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برطرف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نمایند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بخواهد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استثنای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مواجه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اینتراپت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ماکروی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SETGATE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توصیفگر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اینتراپت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پیکربندی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تلاش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استثنای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حفاظتی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وکتور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هدایت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سازوکار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توضیحاتی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نویسیم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دسترسی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86،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اولویت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توصیفگر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کرنل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احتمالی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مخرب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منجر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اندازد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محافظت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خطاهای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کاربر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داشتند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برساند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احتمالی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4)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مبتنی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86،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ضروری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مجزا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جداسازی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ایمنی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تضمین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مقادیر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مقادیر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Segment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Extended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Pointer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بالای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حاضر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ضروری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تقریبا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اضافی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پردازه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بازیابی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حفاظت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کاربر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حساسی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افشای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سرریز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پشته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سرریز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خرابی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جداسازی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دسترسی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جداگانه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تقویت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200" w:before="0" w:lineRule="auto"/>
        <w:ind w:left="27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5)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argptr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تجاوز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مثالی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بزنید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روبرو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argint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argptr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argstr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پارامترهای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وظیفه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پروسه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پروسه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ضروری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3"/>
        </w:numPr>
        <w:bidi w:val="1"/>
        <w:spacing w:after="80" w:before="28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w6klofunc625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argint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ip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عددی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محاسبه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بالای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آخرین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رابطه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m:oMath>
        <m:r>
          <w:rPr>
            <w:rFonts w:ascii="Calibri" w:cs="Calibri" w:eastAsia="Calibri" w:hAnsi="Calibri"/>
            <w:sz w:val="26"/>
            <w:szCs w:val="26"/>
          </w:rPr>
          <m:t xml:space="preserve">n * 4 + 4 + ESP = ptr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آوردن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همراه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fetchint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fetchint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+ 4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موفقیت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مرجع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3"/>
        </w:numPr>
        <w:bidi w:val="1"/>
        <w:spacing w:after="80" w:before="28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ufipqkm5d74p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argptr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**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pp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size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argptr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char** pp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پذیر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دقت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size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3"/>
        </w:numPr>
        <w:bidi w:val="1"/>
        <w:spacing w:after="80" w:before="28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kj3y7gxrkj56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argstr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**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pp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argstr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char*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fetchstr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fetchstr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وظیفه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\0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خاتمه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مراحل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u w:val="none"/>
          <w:rtl w:val="0"/>
        </w:rPr>
        <w:t xml:space="preserve">fetchstr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پیمایش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دنبال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بازگردانده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برسد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بازگردانده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ترمینیتد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نبوده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80" w:before="28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vrqqyn8pp8b5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argfd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pfd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struct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**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pf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360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descriptor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پارامتر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پارامتر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struct file*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صحیحی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برگرداند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پارامتر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حداکثر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NOFILE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myproc()-&gt;ofile[fd]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مراحل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موفقیت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آمیز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موفقیت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آمیز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نامعتبر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دیسکریپتور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شکست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بخورند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1xsrwhqilcar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اهمیت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argptr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argptr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پروسه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پروسه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منجر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افشا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دستکاری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اختلال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6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i7qty5hcx3er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read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sys_read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spacing w:after="200" w:before="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72013" cy="184933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84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file descriptor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حداکثر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argptr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بسیار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بوجود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منجر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سرریز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argptr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sys_read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افشای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تضمین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bidi w:val="1"/>
        <w:spacing w:after="200" w:before="0" w:lineRule="auto"/>
        <w:ind w:left="270" w:hanging="270"/>
        <w:jc w:val="both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گام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gdb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Rule="auto"/>
        <w:ind w:lef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GDB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Backtrace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لیست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Rule="auto"/>
        <w:ind w:lef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107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bidi w:val="1"/>
        <w:spacing w:after="0" w:afterAutospacing="0" w:before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0: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متوقف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173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bidi w:val="1"/>
        <w:spacing w:after="0" w:afterAutospacing="0" w:before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1: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آرگومان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=0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dffefb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43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bidi w:val="1"/>
        <w:spacing w:after="0" w:afterAutospacing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2: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alltraps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اسمبلی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trapasm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بخشی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استثناهای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bidi w:val="1"/>
        <w:spacing w:after="0" w:afterAutospacing="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3: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ناشناخته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0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dffefb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GDB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bidi w:val="1"/>
        <w:spacing w:after="200" w:before="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آخر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خراب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Corrupt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7A">
      <w:pPr>
        <w:bidi w:val="1"/>
        <w:spacing w:after="20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down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Frames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توقف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GDB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بالاتر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خواهیم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down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after="200" w:before="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1206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اینجا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eax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۵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getpid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۱۱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تعدادی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کامند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موظف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بسازد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exec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علامت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$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چاپ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منتظر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کامند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200" w:before="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1743075" cy="4381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200" w:before="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eax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چاپ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هشتم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getpid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sectPr>
      <w:headerReference r:id="rId14" w:type="default"/>
      <w:headerReference r:id="rId15" w:type="first"/>
      <w:footerReference r:id="rId16" w:type="first"/>
      <w:footerReference r:id="rId17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9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1"/>
    <w:bookmarkEnd w:id="1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mostafa-kermaninia/OS_LAB_P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