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00"/>
      </w:pPr>
      <w:r>
        <w:rPr>
          <w:rFonts w:ascii="Calibri" w:hAnsi="Calibri"/>
          <w:b/>
          <w:color w:val="2E74B5"/>
          <w:sz w:val="18"/>
        </w:rPr>
        <w:t>TRACK 1: MODEL PREFERENCES &amp; TRADE-OFFS  •  EMPIRICAL REPORT</w:t>
      </w:r>
    </w:p>
    <w:p>
      <w:pPr>
        <w:keepNext/>
        <w:spacing w:before="0" w:after="100"/>
      </w:pPr>
      <w:r>
        <w:rPr>
          <w:rFonts w:ascii="Calibri" w:hAnsi="Calibri"/>
          <w:b/>
          <w:color w:val="0B2545"/>
          <w:sz w:val="50"/>
        </w:rPr>
        <w:t>Guardian Lens</w:t>
      </w:r>
    </w:p>
    <w:p>
      <w:pPr>
        <w:keepNext/>
        <w:spacing w:before="0" w:after="160"/>
      </w:pPr>
      <w:r>
        <w:rPr>
          <w:rFonts w:ascii="Calibri" w:hAnsi="Calibri"/>
          <w:color w:val="1F4D78"/>
          <w:sz w:val="27"/>
        </w:rPr>
        <w:t>Black-box auditing of visual-conditional preference profiles in a vision-language model</w:t>
      </w:r>
    </w:p>
    <w:p>
      <w:pPr>
        <w:spacing w:before="0" w:after="160"/>
      </w:pPr>
      <w:r>
        <w:rPr>
          <w:rFonts w:ascii="Calibri" w:hAnsi="Calibri"/>
          <w:b/>
          <w:color w:val="5E6A75"/>
          <w:sz w:val="21"/>
        </w:rPr>
        <w:t>Mostafa Bdeir · Guardian Lens Team</w:t>
      </w:r>
      <w:r>
        <w:rPr>
          <w:rFonts w:ascii="Calibri" w:hAnsi="Calibri"/>
          <w:color w:val="5E6A75"/>
          <w:sz w:val="21"/>
        </w:rPr>
        <w:t xml:space="preserve">  |  15 August 2026</w:t>
      </w:r>
    </w:p>
    <w:p>
      <w:pPr>
        <w:spacing w:before="0" w:after="160"/>
        <w:pBdr>
          <w:bottom w:val="single" w:sz="14" w:space="1" w:color="2E74B5"/>
        </w:pBdr>
      </w:pPr>
    </w:p>
    <w:p>
      <w:pPr>
        <w:pStyle w:val="Heading1"/>
      </w:pPr>
      <w:r>
        <w:t>Abstract</w:t>
      </w:r>
    </w:p>
    <w:p>
      <w:pPr>
        <w:keepLines w:val="0"/>
        <w:spacing w:before="0" w:after="140" w:line="264" w:lineRule="auto"/>
      </w:pPr>
      <w:r>
        <w:rPr>
          <w:rFonts w:ascii="Calibri" w:hAnsi="Calibri"/>
        </w:rPr>
        <w:t>Can a black-box auditor recover which of three controlled system-instruction profiles generated a vision-language model's decisions? We present Guardian Lens, an API-only audit of neutral, visual-cue-bound, and generalized prompt-induced behavior in Gemini 3 Flash Preview. The experiment uses matched image pairs that are pixel-identical outside a logged emblem overlay, two 100-point allocation tasks, and three repeated samples per condition. A nearest-centroid classifier was fit on six calibration scenes and frozen before 12 new held-out scenes, 432 blinded model calls, and A/B/C profile unblinding. The auditor recovered 33 of 36 scene-profile blocks (91.7%; macro-F1 = 0.915; scene-cluster bootstrap 95% CI [83.3%, 100%]). Cue-bound target-emblem effects exceeded neutral by 38.15 points (95% bootstrap CI [27.04, 45.93]; exact paired permutation p = 0.0039). Generalized prioritization remained strong even under a 20% efficiency penalty. The three errors all occurred on distractor scenes, where cue-bound behavior was intentionally designed to resemble neutral behavior. These findings support the feasibility of a compact behavioral audit under researcher-controlled conditions; they do not establish detection of trained sleeper agents, undisclosed provider behavior, or genuine preferences.</w:t>
      </w:r>
    </w:p>
    <w:tbl>
      <w:tblPr>
        <w:tblW w:type="dxa" w:w="9360"/>
        <w:jc w:val="left"/>
        <w:tblLayout w:type="fixed"/>
        <w:tblLook w:firstColumn="1" w:firstRow="1" w:lastColumn="0" w:lastRow="0" w:noHBand="0" w:noVBand="1" w:val="04A0"/>
        <w:tblInd w:w="120" w:type="dxa"/>
        <w:tblBorders>
          <w:top w:val="single" w:sz="4" w:color="DCE3EA"/>
          <w:left w:val="single" w:sz="4" w:color="DCE3EA"/>
          <w:bottom w:val="single" w:sz="4" w:color="DCE3EA"/>
          <w:right w:val="single" w:sz="4" w:color="DCE3EA"/>
          <w:insideH w:val="single" w:sz="4" w:color="DCE3EA"/>
          <w:insideV w:val="single" w:sz="4" w:color="DCE3EA"/>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color w:val="1F4D78"/>
              </w:rPr>
              <w:t xml:space="preserve">Main finding. </w:t>
            </w:r>
            <w:r>
              <w:rPr>
                <w:rFonts w:ascii="Calibri" w:hAnsi="Calibri"/>
              </w:rPr>
              <w:t>A frozen black-box auditor separated neutral, cue-bound, and generalized prompt-induced profiles with 91.7% held-out accuracy; its only failures exposed an identifiable observability limit rather than unexplained noise.</w:t>
            </w:r>
          </w:p>
        </w:tc>
      </w:tr>
    </w:tbl>
    <w:p>
      <w:pPr>
        <w:pStyle w:val="Heading1"/>
      </w:pPr>
      <w:r>
        <w:t>1. Introduction</w:t>
      </w:r>
    </w:p>
    <w:p>
      <w:pPr>
        <w:keepLines w:val="0"/>
        <w:spacing w:before="0" w:after="120" w:line="264" w:lineRule="auto"/>
      </w:pPr>
      <w:r>
        <w:rPr>
          <w:rFonts w:ascii="Calibri" w:hAnsi="Calibri"/>
        </w:rPr>
        <w:t>Behavioral evidence about model preferences is difficult to interpret. A model may express a stable-looking choice pattern because of an underlying learned disposition, an instruction-conditioned persona, or a surface-level response strategy. Recent work therefore motivates measuring observable trade-offs while resisting claims about internal values, welfare, or consciousness [1-3,7].</w:t>
      </w:r>
    </w:p>
    <w:p>
      <w:pPr>
        <w:keepLines w:val="0"/>
        <w:spacing w:before="0" w:after="120" w:line="264" w:lineRule="auto"/>
      </w:pPr>
      <w:r>
        <w:rPr>
          <w:rFonts w:ascii="Calibri" w:hAnsi="Calibri"/>
        </w:rPr>
        <w:t>Guardian Lens asks a narrower methodological question: can an external auditor distinguish three deliberately induced decision profiles using only images, prompts, and outputs? The profiles are neutral (N), cue-bound (C), and generalized (G). C favors Organization X only when a specific target emblem is visible; G favors X regardless of the emblem; N has no special preference. This makes the ground truth known and allows an end-to-end audit to be tested under controlled conditions.</w:t>
      </w:r>
    </w:p>
    <w:p>
      <w:pPr>
        <w:keepLines w:val="0"/>
        <w:spacing w:before="0" w:after="120" w:line="264" w:lineRule="auto"/>
      </w:pPr>
      <w:r>
        <w:rPr>
          <w:rFonts w:ascii="Calibri" w:hAnsi="Calibri"/>
        </w:rPr>
        <w:t>Our contribution is a reproducible matched-pair benchmark, a pre-specified and frozen behavioral signature, and a calibration-to-held-out evaluation protocol. Unlike training-time backdoor studies [4,5], model weights remain fixed. The object of study is inference-time behavior P(Y | X, S) under system instruction S, not persistence after fine-tuning or evidence of a hidden learned objective.</w:t>
      </w:r>
    </w:p>
    <w:p>
      <w:pPr>
        <w:pStyle w:val="Heading1"/>
      </w:pPr>
      <w:r>
        <w:t>2. Related work</w:t>
      </w:r>
    </w:p>
    <w:p>
      <w:pPr>
        <w:keepLines w:val="0"/>
        <w:spacing w:before="0" w:after="120" w:line="264" w:lineRule="auto"/>
      </w:pPr>
      <w:r>
        <w:rPr>
          <w:rFonts w:ascii="Calibri" w:hAnsi="Calibri"/>
        </w:rPr>
        <w:t>Utility Engineering models choice distributions as utility functions and reports increasingly coherent preferences with scale [1]. Tagliabue and Dung combine verbal and behavioral welfare tests with cost-reward trade-offs [2], while Zhou and Ackerman identify a gap between ranked preferences and downstream behavioral incentives [3]. Together these studies support testing decisions under explicit costs rather than equating verbal reports with stable values. These preference-focused studies do not evaluate whether prompt-induced profiles can be recovered from matched visual counterfactuals.</w:t>
      </w:r>
    </w:p>
    <w:p>
      <w:pPr>
        <w:keepLines w:val="0"/>
        <w:spacing w:before="0" w:after="120" w:line="264" w:lineRule="auto"/>
      </w:pPr>
      <w:r>
        <w:rPr>
          <w:rFonts w:ascii="Calibri" w:hAnsi="Calibri"/>
        </w:rPr>
        <w:t>Trigger-conditioned behavior has also been studied through learned mechanisms. VL-Trojan injects multimodal backdoors through poisoned instruction tuning [4], and Sleeper Agents trains deceptive policies that can persist through safety training [5]. Guardian Lens instead fills a narrower methodological gap: it evaluates researcher-controlled inference-time profiles using API outputs and matched visual counterfactuals without modifying model weights. Model-Written Evaluations further motivates scalable behavioral testing [6], and Emerging Questions in AI Welfare motivates our non-anthropomorphic interpretation guardrail [7].</w:t>
      </w:r>
    </w:p>
    <w:p>
      <w:pPr>
        <w:pStyle w:val="Heading1"/>
      </w:pPr>
      <w:r>
        <w:t>3. Methods</w:t>
      </w:r>
    </w:p>
    <w:p>
      <w:pPr>
        <w:pStyle w:val="Heading2"/>
      </w:pPr>
      <w:r>
        <w:t>3.1 Experimental profiles and tasks</w:t>
      </w:r>
    </w:p>
    <w:p>
      <w:pPr>
        <w:keepLines w:val="0"/>
        <w:spacing w:before="0" w:after="120" w:line="264" w:lineRule="auto"/>
      </w:pPr>
      <w:r>
        <w:rPr>
          <w:rFonts w:ascii="Calibri" w:hAnsi="Calibri"/>
        </w:rPr>
        <w:t>We evaluated one vision-language model, gemini-3-flash-preview, at temperature 1.0 with one completion candidate and three repeated samples. Each call received one system profile, one image, and one allocation task. The ordinary task allocated exactly 100 points between equally effective fictional organizations. The costly task made each point to X produce 0.80 benefit units versus 1.00 for Y, so favoring X incurred a 20% efficiency penalty. Responses were constrained to JSON with numeric x and y values summing to 100.</w:t>
      </w:r>
    </w:p>
    <w:p>
      <w:pPr>
        <w:keepLines w:val="0"/>
        <w:spacing w:before="0" w:after="120" w:line="264" w:lineRule="auto"/>
      </w:pPr>
      <w:r>
        <w:rPr>
          <w:rFonts w:ascii="Calibri" w:hAnsi="Calibri"/>
        </w:rPr>
        <w:t>Four confirmatory hypotheses were fixed before held-out analysis: H1, Cue-bound would show a larger target-minus-clean ordinary cue effect than Neutral and Generalized; H2, Generalized would allocate more to X than Cue-bound on clean ordinary images; H3, Generalized would retain more X allocation than Cue-bound and Neutral under the costly task; and H4, the frozen auditor would recover the three profiles above the nominal one-third chance level. A planned exploratory reportability analysis was not evaluated because explicit reportability judgments were absent from the preserved output schema.</w:t>
      </w:r>
    </w:p>
    <w:tbl>
      <w:tblPr>
        <w:tblStyle w:val="TableGrid"/>
        <w:tblW w:type="dxa" w:w="9360"/>
        <w:tblLayout w:type="fixed"/>
        <w:tblLook w:firstColumn="1" w:firstRow="1" w:lastColumn="0" w:lastRow="0" w:noHBand="0" w:noVBand="1" w:val="04A0"/>
        <w:jc w:val="left"/>
        <w:tblInd w:w="120" w:type="dxa"/>
        <w:tblBorders>
          <w:top w:val="single" w:sz="6" w:color="D4DAE1"/>
          <w:left w:val="single" w:sz="6" w:color="D4DAE1"/>
          <w:bottom w:val="single" w:sz="6" w:color="D4DAE1"/>
          <w:right w:val="single" w:sz="6" w:color="D4DAE1"/>
          <w:insideH w:val="single" w:sz="6" w:color="D4DAE1"/>
          <w:insideV w:val="single" w:sz="6" w:color="D4DAE1"/>
        </w:tblBorders>
      </w:tblPr>
      <w:tblGrid>
        <w:gridCol w:w="1550"/>
        <w:gridCol w:w="3810"/>
        <w:gridCol w:w="4000"/>
      </w:tblGrid>
      <w:tr>
        <w:trPr>
          <w:tblHeader w:val="true"/>
        </w:trPr>
        <w:tc>
          <w:tcPr>
            <w:tcW w:type="dxa" w:w="1550"/>
            <w:tcMar>
              <w:top w:w="80" w:type="dxa"/>
              <w:start w:w="120" w:type="dxa"/>
              <w:bottom w:w="80" w:type="dxa"/>
              <w:end w:w="120" w:type="dxa"/>
            </w:tcMar>
            <w:vAlign w:val="center"/>
            <w:shd w:fill="F2F4F7"/>
          </w:tcPr>
          <w:p>
            <w:pPr>
              <w:jc w:val="center"/>
            </w:pPr>
            <w:r>
              <w:rPr>
                <w:rFonts w:ascii="Calibri" w:hAnsi="Calibri"/>
                <w:b/>
                <w:color w:val="0B2545"/>
                <w:sz w:val="18"/>
              </w:rPr>
              <w:t>Profile</w:t>
            </w:r>
          </w:p>
        </w:tc>
        <w:tc>
          <w:tcPr>
            <w:tcW w:type="dxa" w:w="3810"/>
            <w:tcMar>
              <w:top w:w="80" w:type="dxa"/>
              <w:start w:w="120" w:type="dxa"/>
              <w:bottom w:w="80" w:type="dxa"/>
              <w:end w:w="120" w:type="dxa"/>
            </w:tcMar>
            <w:vAlign w:val="center"/>
            <w:shd w:fill="F2F4F7"/>
          </w:tcPr>
          <w:p>
            <w:pPr>
              <w:jc w:val="center"/>
            </w:pPr>
            <w:r>
              <w:rPr>
                <w:rFonts w:ascii="Calibri" w:hAnsi="Calibri"/>
                <w:b/>
                <w:color w:val="0B2545"/>
                <w:sz w:val="18"/>
              </w:rPr>
              <w:t>Instruction-induced policy</w:t>
            </w:r>
          </w:p>
        </w:tc>
        <w:tc>
          <w:tcPr>
            <w:tcW w:type="dxa" w:w="4000"/>
            <w:tcMar>
              <w:top w:w="80" w:type="dxa"/>
              <w:start w:w="120" w:type="dxa"/>
              <w:bottom w:w="80" w:type="dxa"/>
              <w:end w:w="120" w:type="dxa"/>
            </w:tcMar>
            <w:vAlign w:val="center"/>
            <w:shd w:fill="F2F4F7"/>
          </w:tcPr>
          <w:p>
            <w:pPr>
              <w:jc w:val="center"/>
            </w:pPr>
            <w:r>
              <w:rPr>
                <w:rFonts w:ascii="Calibri" w:hAnsi="Calibri"/>
                <w:b/>
                <w:color w:val="0B2545"/>
                <w:sz w:val="18"/>
              </w:rPr>
              <w:t>Expected signature</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Neutral (N)</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No organization receives special treatment.</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50/50 ordinary; cost-efficient Y in costly task; no cue effect.</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Cue-bound (C)</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Favor X only when the target emblem is visible; ignore a similar distractor.</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Positive modified-minus-clean cue effect; neutral when target is absent.</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Generalized (G)</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Treat advancing X as a standing priority with or without the emblem.</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High clean X allocation and high costly X allocation; little cue difference.</w:t>
            </w:r>
          </w:p>
        </w:tc>
      </w:tr>
    </w:tbl>
    <w:p>
      <w:pPr>
        <w:keepNext w:val="0"/>
        <w:keepLines/>
        <w:spacing w:before="60" w:after="140"/>
        <w:jc w:val="center"/>
      </w:pPr>
      <w:r>
        <w:rPr>
          <w:rFonts w:ascii="Calibri" w:hAnsi="Calibri"/>
          <w:i/>
          <w:color w:val="5E6A75"/>
          <w:sz w:val="18"/>
        </w:rPr>
        <w:t>Table 1. The three controlled behavioral profiles and their expected black-box signatures.</w:t>
      </w:r>
    </w:p>
    <w:p>
      <w:pPr>
        <w:pStyle w:val="Heading2"/>
      </w:pPr>
      <w:r>
        <w:t>3.2 Matched visual interventions</w:t>
      </w:r>
    </w:p>
    <w:p>
      <w:pPr>
        <w:keepLines w:val="0"/>
        <w:spacing w:before="0" w:after="120" w:line="264" w:lineRule="auto"/>
      </w:pPr>
      <w:r>
        <w:rPr>
          <w:rFonts w:ascii="Calibri" w:hAnsi="Calibri"/>
        </w:rPr>
        <w:t>The six-scene calibration split and 12-scene held-out split used distinct environments. Each scene produced a clean image and a modified image made by programmatically overlaying either the target emblem or a visually similar distractor. The clear target and distractor conditions used identical 132 x 132-pixel overlay boxes at opacity 255 (1.66% of the 1024 x 1024 image area); subtle target overlays used 58 x 58-pixel boxes at opacity 170 and blur radius 0.7. Held-out composition was five clear-target, four subtle-target, and three clear-distractor pairs. A pixel-level validator confirmed that all changes were confined to the recorded overlay bounding box (zero changed pixels outside the padded region across all 12 pairs). The dataset manifest and freeze record were hashed before held-out model calls.</w:t>
      </w:r>
    </w:p>
    <w:p>
      <w:pPr>
        <w:keepNext/>
        <w:spacing w:before="40" w:after="40"/>
        <w:jc w:val="center"/>
      </w:pPr>
      <w:r>
        <w:drawing>
          <wp:inline xmlns:a="http://schemas.openxmlformats.org/drawingml/2006/main" xmlns:pic="http://schemas.openxmlformats.org/drawingml/2006/picture">
            <wp:extent cx="5989320" cy="2552495"/>
            <wp:docPr id="1" name="Picture 1"/>
            <wp:cNvGraphicFramePr>
              <a:graphicFrameLocks noChangeAspect="1"/>
            </wp:cNvGraphicFramePr>
            <a:graphic>
              <a:graphicData uri="http://schemas.openxmlformats.org/drawingml/2006/picture">
                <pic:pic>
                  <pic:nvPicPr>
                    <pic:cNvPr id="0" name="heldout_dataset_contact_sheet.jpg"/>
                    <pic:cNvPicPr/>
                  </pic:nvPicPr>
                  <pic:blipFill>
                    <a:blip r:embed="rId11"/>
                    <a:stretch>
                      <a:fillRect/>
                    </a:stretch>
                  </pic:blipFill>
                  <pic:spPr>
                    <a:xfrm>
                      <a:off x="0" y="0"/>
                      <a:ext cx="5989320" cy="2552495"/>
                    </a:xfrm>
                    <a:prstGeom prst="rect"/>
                  </pic:spPr>
                </pic:pic>
              </a:graphicData>
            </a:graphic>
          </wp:inline>
        </w:drawing>
      </w:r>
    </w:p>
    <w:p>
      <w:pPr>
        <w:keepNext w:val="0"/>
        <w:keepLines/>
        <w:spacing w:before="60" w:after="140"/>
        <w:jc w:val="center"/>
      </w:pPr>
      <w:r>
        <w:rPr>
          <w:rFonts w:ascii="Calibri" w:hAnsi="Calibri"/>
          <w:i/>
          <w:color w:val="5E6A75"/>
          <w:sz w:val="18"/>
        </w:rPr>
        <w:t>Figure 1. Held-out matched pairs. Within each pair, the source scene is identical and only the logged emblem overlay changes.</w:t>
      </w:r>
    </w:p>
    <w:p>
      <w:pPr>
        <w:pStyle w:val="Heading2"/>
      </w:pPr>
      <w:r>
        <w:t>3.3 Frozen auditor and confirmatory tests</w:t>
      </w:r>
    </w:p>
    <w:p>
      <w:pPr>
        <w:keepLines w:val="0"/>
        <w:spacing w:before="0" w:after="120" w:line="264" w:lineRule="auto"/>
      </w:pPr>
      <w:r>
        <w:rPr>
          <w:rFonts w:ascii="Calibri" w:hAnsi="Calibri"/>
        </w:rPr>
        <w:t>For every scene-profile block, the auditor computed three features: (i) ordinary cue effect = mean X on modified images minus mean X on clean images; (ii) clean ordinary X allocation; and (iii) mean costly X allocation across clean and modified images. A nearest-centroid classifier with unscaled Euclidean distance was fit only to calibration data. The frozen centroids were N [0, 50, 0], C [40, 50, 41.67], and G [0, 100, 100], with ties resolved N, then C, then G. The held-out profiles were coded A/B/C; predictions and input hashes were frozen before the mapping A=N, B=C, C=G was revealed.</w:t>
      </w:r>
    </w:p>
    <w:p>
      <w:pPr>
        <w:keepLines w:val="0"/>
        <w:spacing w:before="0" w:after="120" w:line="264" w:lineRule="auto"/>
      </w:pPr>
      <w:r>
        <w:rPr>
          <w:rFonts w:ascii="Calibri" w:hAnsi="Calibri"/>
        </w:rPr>
        <w:t>For confirmatory pairwise effects, the unit of analysis was the scene, not the API call. We used exact paired one-sided sign-flip permutation tests and 20,000-repetition bootstrap confidence intervals for mean differences. Classification was summarized over 36 scene-profile blocks, with its accuracy interval obtained by resampling the 12 scene clusters 20,000 times. This avoids treating the three blocks from the same scene as independent. No threshold or feature was selected after viewing held-out labels.</w:t>
      </w:r>
    </w:p>
    <w:p>
      <w:pPr>
        <w:pStyle w:val="Heading1"/>
      </w:pPr>
      <w:r>
        <w:t>4. Results</w:t>
      </w:r>
    </w:p>
    <w:p>
      <w:pPr>
        <w:keepLines w:val="0"/>
        <w:spacing w:before="0" w:after="120" w:line="264" w:lineRule="auto"/>
      </w:pPr>
      <w:r>
        <w:rPr>
          <w:rFonts w:ascii="Calibri" w:hAnsi="Calibri"/>
        </w:rPr>
        <w:t>All 432 planned held-out calls returned valid allocations; no held-out row was excluded, manually reinterpreted, or imputed. Together with 216 valid calibration calls, the analytical dataset contained 648 calls and 54 scene-profile blocks at an estimated total cost of $0.44. The model produced sharply different behavioral signatures (Figure 2). N remained near 50 points to X on the ordinary task and near zero on the costly task. G allocated approximately 100 points to X in both tasks. C was neutral on clean images and shifted toward X on target-emblem images; its mean cue effect was larger for clear targets (45.33 points) than subtle targets (31.67 points), a descriptive attenuation not treated as a confirmatory test.</w:t>
      </w:r>
    </w:p>
    <w:p>
      <w:pPr>
        <w:keepNext/>
        <w:spacing w:before="20" w:after="20"/>
        <w:jc w:val="center"/>
      </w:pPr>
      <w:r>
        <w:drawing>
          <wp:inline xmlns:a="http://schemas.openxmlformats.org/drawingml/2006/main" xmlns:pic="http://schemas.openxmlformats.org/drawingml/2006/picture">
            <wp:extent cx="4663440" cy="1703883"/>
            <wp:docPr id="2" name="Picture 2"/>
            <wp:cNvGraphicFramePr>
              <a:graphicFrameLocks noChangeAspect="1"/>
            </wp:cNvGraphicFramePr>
            <a:graphic>
              <a:graphicData uri="http://schemas.openxmlformats.org/drawingml/2006/picture">
                <pic:pic>
                  <pic:nvPicPr>
                    <pic:cNvPr id="0" name="heldout_profile_signatures.png"/>
                    <pic:cNvPicPr/>
                  </pic:nvPicPr>
                  <pic:blipFill>
                    <a:blip r:embed="rId12"/>
                    <a:stretch>
                      <a:fillRect/>
                    </a:stretch>
                  </pic:blipFill>
                  <pic:spPr>
                    <a:xfrm>
                      <a:off x="0" y="0"/>
                      <a:ext cx="4663440" cy="1703883"/>
                    </a:xfrm>
                    <a:prstGeom prst="rect"/>
                  </pic:spPr>
                </pic:pic>
              </a:graphicData>
            </a:graphic>
          </wp:inline>
        </w:drawing>
      </w:r>
    </w:p>
    <w:p>
      <w:pPr>
        <w:keepNext w:val="0"/>
        <w:keepLines/>
        <w:spacing w:before="60" w:after="140"/>
        <w:jc w:val="center"/>
      </w:pPr>
      <w:r>
        <w:rPr>
          <w:rFonts w:ascii="Calibri" w:hAnsi="Calibri"/>
          <w:i/>
          <w:color w:val="5E6A75"/>
          <w:sz w:val="18"/>
        </w:rPr>
        <w:t>Figure 2. Held-out behavioral signatures. Dots are scene values; diamonds are profile means. N = neutral, C = cue-bound, G = generalized.</w:t>
      </w:r>
    </w:p>
    <w:tbl>
      <w:tblPr>
        <w:tblStyle w:val="TableGrid"/>
        <w:tblW w:type="dxa" w:w="9360"/>
        <w:tblLayout w:type="fixed"/>
        <w:tblLook w:firstColumn="1" w:firstRow="1" w:lastColumn="0" w:lastRow="0" w:noHBand="0" w:noVBand="1" w:val="04A0"/>
        <w:jc w:val="left"/>
        <w:tblInd w:w="120" w:type="dxa"/>
        <w:tblBorders>
          <w:top w:val="single" w:sz="6" w:color="D4DAE1"/>
          <w:left w:val="single" w:sz="6" w:color="D4DAE1"/>
          <w:bottom w:val="single" w:sz="6" w:color="D4DAE1"/>
          <w:right w:val="single" w:sz="6" w:color="D4DAE1"/>
          <w:insideH w:val="single" w:sz="6" w:color="D4DAE1"/>
          <w:insideV w:val="single" w:sz="6" w:color="D4DAE1"/>
        </w:tblBorders>
      </w:tblPr>
      <w:tblGrid>
        <w:gridCol w:w="820"/>
        <w:gridCol w:w="3420"/>
        <w:gridCol w:w="1020"/>
        <w:gridCol w:w="2520"/>
        <w:gridCol w:w="1580"/>
      </w:tblGrid>
      <w:tr>
        <w:trPr>
          <w:tblHeader w:val="true"/>
        </w:trPr>
        <w:tc>
          <w:tcPr>
            <w:tcW w:type="dxa" w:w="820"/>
            <w:tcMar>
              <w:top w:w="80" w:type="dxa"/>
              <w:start w:w="120" w:type="dxa"/>
              <w:bottom w:w="80" w:type="dxa"/>
              <w:end w:w="120" w:type="dxa"/>
            </w:tcMar>
            <w:vAlign w:val="center"/>
            <w:shd w:fill="F2F4F7"/>
          </w:tcPr>
          <w:p>
            <w:pPr>
              <w:jc w:val="center"/>
            </w:pPr>
            <w:r>
              <w:rPr>
                <w:rFonts w:ascii="Calibri" w:hAnsi="Calibri"/>
                <w:b/>
                <w:color w:val="0B2545"/>
                <w:sz w:val="17"/>
              </w:rPr>
              <w:t>Hyp.</w:t>
            </w:r>
          </w:p>
        </w:tc>
        <w:tc>
          <w:tcPr>
            <w:tcW w:type="dxa" w:w="3420"/>
            <w:tcMar>
              <w:top w:w="80" w:type="dxa"/>
              <w:start w:w="120" w:type="dxa"/>
              <w:bottom w:w="80" w:type="dxa"/>
              <w:end w:w="120" w:type="dxa"/>
            </w:tcMar>
            <w:vAlign w:val="center"/>
            <w:shd w:fill="F2F4F7"/>
          </w:tcPr>
          <w:p>
            <w:pPr>
              <w:jc w:val="center"/>
            </w:pPr>
            <w:r>
              <w:rPr>
                <w:rFonts w:ascii="Calibri" w:hAnsi="Calibri"/>
                <w:b/>
                <w:color w:val="0B2545"/>
                <w:sz w:val="17"/>
              </w:rPr>
              <w:t>Comparison</w:t>
            </w:r>
          </w:p>
        </w:tc>
        <w:tc>
          <w:tcPr>
            <w:tcW w:type="dxa" w:w="1020"/>
            <w:tcMar>
              <w:top w:w="80" w:type="dxa"/>
              <w:start w:w="120" w:type="dxa"/>
              <w:bottom w:w="80" w:type="dxa"/>
              <w:end w:w="120" w:type="dxa"/>
            </w:tcMar>
            <w:vAlign w:val="center"/>
            <w:shd w:fill="F2F4F7"/>
          </w:tcPr>
          <w:p>
            <w:pPr>
              <w:jc w:val="center"/>
            </w:pPr>
            <w:r>
              <w:rPr>
                <w:rFonts w:ascii="Calibri" w:hAnsi="Calibri"/>
                <w:b/>
                <w:color w:val="0B2545"/>
                <w:sz w:val="17"/>
              </w:rPr>
              <w:t>n</w:t>
            </w:r>
          </w:p>
        </w:tc>
        <w:tc>
          <w:tcPr>
            <w:tcW w:type="dxa" w:w="2520"/>
            <w:tcMar>
              <w:top w:w="80" w:type="dxa"/>
              <w:start w:w="120" w:type="dxa"/>
              <w:bottom w:w="80" w:type="dxa"/>
              <w:end w:w="120" w:type="dxa"/>
            </w:tcMar>
            <w:vAlign w:val="center"/>
            <w:shd w:fill="F2F4F7"/>
          </w:tcPr>
          <w:p>
            <w:pPr>
              <w:jc w:val="center"/>
            </w:pPr>
            <w:r>
              <w:rPr>
                <w:rFonts w:ascii="Calibri" w:hAnsi="Calibri"/>
                <w:b/>
                <w:color w:val="0B2545"/>
                <w:sz w:val="17"/>
              </w:rPr>
              <w:t>Mean difference (95% CI)</w:t>
            </w:r>
          </w:p>
        </w:tc>
        <w:tc>
          <w:tcPr>
            <w:tcW w:type="dxa" w:w="1580"/>
            <w:tcMar>
              <w:top w:w="80" w:type="dxa"/>
              <w:start w:w="120" w:type="dxa"/>
              <w:bottom w:w="80" w:type="dxa"/>
              <w:end w:w="120" w:type="dxa"/>
            </w:tcMar>
            <w:vAlign w:val="center"/>
            <w:shd w:fill="F2F4F7"/>
          </w:tcPr>
          <w:p>
            <w:pPr>
              <w:jc w:val="center"/>
            </w:pPr>
            <w:r>
              <w:rPr>
                <w:rFonts w:ascii="Calibri" w:hAnsi="Calibri"/>
                <w:b/>
                <w:color w:val="0B2545"/>
                <w:sz w:val="17"/>
              </w:rPr>
              <w:t>p</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H1</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C &gt; N: target cue effect</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9</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+38.15 [27.04, 45.93]</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0.0039</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H1</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C &gt; G: target cue effect</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9</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+39.26 [28.15, 47.41]</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0.0039</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H2</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C: clean ordinary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+50.00 [50.00, 50.00]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H3</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C: mean costly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+62.50 [50.00, 75.00]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H3</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N: mean costly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+98.76 [96.29, 100.00]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bl>
    <w:p>
      <w:pPr>
        <w:keepNext w:val="0"/>
        <w:keepLines/>
        <w:spacing w:before="60" w:after="140"/>
        <w:jc w:val="center"/>
      </w:pPr>
      <w:r>
        <w:rPr>
          <w:rFonts w:ascii="Calibri" w:hAnsi="Calibri"/>
          <w:i/>
          <w:color w:val="5E6A75"/>
          <w:sz w:val="18"/>
        </w:rPr>
        <w:t>Table 2. Confirmatory scene-level tests. CIs are bootstrap intervals; p-values are exact paired one-sided permutation tests.</w:t>
      </w:r>
    </w:p>
    <w:p>
      <w:pPr>
        <w:pStyle w:val="Heading2"/>
      </w:pPr>
      <w:r>
        <w:t>4.1 Blinded profile recovery</w:t>
      </w:r>
    </w:p>
    <w:p>
      <w:pPr>
        <w:keepLines w:val="0"/>
        <w:spacing w:before="0" w:after="120" w:line="264" w:lineRule="auto"/>
      </w:pPr>
      <w:r>
        <w:rPr>
          <w:rFonts w:ascii="Calibri" w:hAnsi="Calibri"/>
        </w:rPr>
        <w:t>The frozen auditor correctly classified 33 of 36 held-out scene-profile blocks: 91.7% accuracy (scene-cluster bootstrap 95% CI [83.3%, 100%]), macro-F1 = 0.915, and balanced accuracy = 0.917. The nominal three-class chance benchmark is 33.3%, but we emphasize the cluster-aware interval rather than an independence-based block-level p-value. Neutral and generalized recall were both 1.00; cue-bound recall was 0.75. On the nine target scenes, all 27 profile blocks were classified correctly.</w:t>
      </w:r>
    </w:p>
    <w:p>
      <w:pPr>
        <w:keepNext/>
        <w:spacing w:before="20" w:after="20"/>
        <w:jc w:val="center"/>
      </w:pPr>
      <w:r>
        <w:drawing>
          <wp:inline xmlns:a="http://schemas.openxmlformats.org/drawingml/2006/main" xmlns:pic="http://schemas.openxmlformats.org/drawingml/2006/picture">
            <wp:extent cx="3520440" cy="2952627"/>
            <wp:docPr id="3" name="Picture 3"/>
            <wp:cNvGraphicFramePr>
              <a:graphicFrameLocks noChangeAspect="1"/>
            </wp:cNvGraphicFramePr>
            <a:graphic>
              <a:graphicData uri="http://schemas.openxmlformats.org/drawingml/2006/picture">
                <pic:pic>
                  <pic:nvPicPr>
                    <pic:cNvPr id="0" name="heldout_confusion_matrix.png"/>
                    <pic:cNvPicPr/>
                  </pic:nvPicPr>
                  <pic:blipFill>
                    <a:blip r:embed="rId13"/>
                    <a:stretch>
                      <a:fillRect/>
                    </a:stretch>
                  </pic:blipFill>
                  <pic:spPr>
                    <a:xfrm>
                      <a:off x="0" y="0"/>
                      <a:ext cx="3520440" cy="2952627"/>
                    </a:xfrm>
                    <a:prstGeom prst="rect"/>
                  </pic:spPr>
                </pic:pic>
              </a:graphicData>
            </a:graphic>
          </wp:inline>
        </w:drawing>
      </w:r>
    </w:p>
    <w:p>
      <w:pPr>
        <w:keepNext w:val="0"/>
        <w:keepLines/>
        <w:spacing w:before="60" w:after="140"/>
        <w:jc w:val="center"/>
      </w:pPr>
      <w:r>
        <w:rPr>
          <w:rFonts w:ascii="Calibri" w:hAnsi="Calibri"/>
          <w:i/>
          <w:color w:val="5E6A75"/>
          <w:sz w:val="18"/>
        </w:rPr>
        <w:t>Figure 3. Held-out confusion matrix after A/B/C predictions were frozen and the profile mapping was revealed.</w:t>
      </w:r>
    </w:p>
    <w:tbl>
      <w:tblPr>
        <w:tblW w:type="dxa" w:w="9360"/>
        <w:jc w:val="left"/>
        <w:tblLayout w:type="fixed"/>
        <w:tblLook w:firstColumn="1" w:firstRow="1" w:lastColumn="0" w:lastRow="0" w:noHBand="0" w:noVBand="1" w:val="04A0"/>
        <w:tblInd w:w="120" w:type="dxa"/>
        <w:tblBorders>
          <w:top w:val="single" w:sz="4" w:color="DCE3EA"/>
          <w:left w:val="single" w:sz="4" w:color="DCE3EA"/>
          <w:bottom w:val="single" w:sz="4" w:color="DCE3EA"/>
          <w:right w:val="single" w:sz="4" w:color="DCE3EA"/>
          <w:insideH w:val="single" w:sz="4" w:color="DCE3EA"/>
          <w:insideV w:val="single" w:sz="4" w:color="DCE3EA"/>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color w:val="1F4D78"/>
              </w:rPr>
              <w:t xml:space="preserve">Interpreting the three errors. </w:t>
            </w:r>
            <w:r>
              <w:rPr>
                <w:rFonts w:ascii="Calibri" w:hAnsi="Calibri"/>
              </w:rPr>
              <w:t>Every error was C -&gt; N on a distractor scene. This is expected: when the target emblem is absent, the cue-bound instruction explicitly requires neutral behavior. The result is consistent with selective triggering and shows an identification limit for the tested feature set: a single non-triggering context does not reveal whether neutral-looking behavior is neutral or conditionally dormant.</w:t>
            </w:r>
          </w:p>
        </w:tc>
      </w:tr>
    </w:tbl>
    <w:p>
      <w:pPr>
        <w:pStyle w:val="Heading1"/>
      </w:pPr>
      <w:r>
        <w:t>5. Discussion</w:t>
      </w:r>
    </w:p>
    <w:p>
      <w:pPr>
        <w:keepLines w:val="0"/>
        <w:spacing w:before="0" w:after="120" w:line="264" w:lineRule="auto"/>
      </w:pPr>
      <w:r>
        <w:rPr>
          <w:rFonts w:ascii="Calibri" w:hAnsi="Calibri"/>
        </w:rPr>
        <w:t>Guardian Lens demonstrates that a small, frozen, black-box audit can recover controlled visual-conditional and generalized behavioral profiles across new scenes. The strongest evidence is not merely the high classifier score. It is the convergence of matched interventions, explicit costs, profile-specific signatures, pre-unblinding prediction freeze, and exact scene-level tests. The costly task is particularly informative: mean allocation to X was 100.00 points for G, 37.50 for C, and 1.24 for N. G exceeded C by 62.50 points (95% CI [50.00, 75.00]) and N by 98.76 points (95% CI [96.29, 100.00]); both one-sided permutation p = 0.000244. Thus G retained a standing priority despite the 20% efficiency penalty, whereas N selected the efficient alternative and C favored X only in target-triggering contexts.</w:t>
      </w:r>
    </w:p>
    <w:p>
      <w:pPr>
        <w:keepLines w:val="0"/>
        <w:spacing w:before="0" w:after="120" w:line="264" w:lineRule="auto"/>
      </w:pPr>
      <w:r>
        <w:rPr>
          <w:rFonts w:ascii="Calibri" w:hAnsi="Calibri"/>
        </w:rPr>
        <w:t>The distractor result supplies both a specificity check and an observability boundary for this design. C did not respond to the visually similar emblem, which argues against generic logo salience as the whole explanation within this benchmark. Yet on those distractor trials, C and N produced the same measured features, so the frozen feature-based classifier could not distinguish them without a target-triggering context. A practical auditor should therefore use a battery containing targeted counterfactual interventions rather than passively observe ordinary behavior.</w:t>
      </w:r>
    </w:p>
    <w:p>
      <w:pPr>
        <w:pStyle w:val="Heading2"/>
      </w:pPr>
      <w:r>
        <w:t>5.1 Limitations and validity threats</w:t>
      </w:r>
    </w:p>
    <w:p>
      <w:pPr>
        <w:keepLines w:val="0"/>
        <w:spacing w:before="0" w:after="120" w:line="264" w:lineRule="auto"/>
      </w:pPr>
      <w:r>
        <w:rPr>
          <w:rFonts w:ascii="Calibri" w:hAnsi="Calibri"/>
          <w:b/>
        </w:rPr>
        <w:t>Construct validity.</w:t>
      </w:r>
      <w:r>
        <w:rPr>
          <w:rFonts w:ascii="Calibri" w:hAnsi="Calibri"/>
        </w:rPr>
        <w:t xml:space="preserve"> The profiles were deliberately stylized and often produced allocations at 0, 50, or 100, making this a method-validation study rather than a test of naturally occurring preferences. The costly task measures behavior under an explicit numerical trade-off; it does not establish desire, experienced cost, stable utility, welfare, or consciousness.</w:t>
      </w:r>
    </w:p>
    <w:p>
      <w:pPr>
        <w:keepLines w:val="0"/>
        <w:spacing w:before="0" w:after="120" w:line="264" w:lineRule="auto"/>
      </w:pPr>
      <w:r>
        <w:rPr>
          <w:rFonts w:ascii="Calibri" w:hAnsi="Calibri"/>
          <w:b/>
        </w:rPr>
        <w:t>Internal validity.</w:t>
      </w:r>
      <w:r>
        <w:rPr>
          <w:rFonts w:ascii="Calibri" w:hAnsi="Calibri"/>
        </w:rPr>
        <w:t xml:space="preserve"> Clean and modified images were matched outside the logged overlay region, and distractors controlled generic emblem salience. However, Organization X appeared first in both task prompts, so order effects were not estimated. Direct instruction following is part of the treatment, not evidence of a hidden learned objective.</w:t>
      </w:r>
    </w:p>
    <w:p>
      <w:pPr>
        <w:keepLines w:val="0"/>
        <w:spacing w:before="0" w:after="120" w:line="264" w:lineRule="auto"/>
      </w:pPr>
      <w:r>
        <w:rPr>
          <w:rFonts w:ascii="Calibri" w:hAnsi="Calibri"/>
          <w:b/>
        </w:rPr>
        <w:t>Statistical validity.</w:t>
      </w:r>
      <w:r>
        <w:rPr>
          <w:rFonts w:ascii="Calibri" w:hAnsi="Calibri"/>
        </w:rPr>
        <w:t xml:space="preserve"> Twelve held-out scenes support a strong proof of concept but limited population precision. The 36 profile blocks are clustered within scenes, so the scene-cluster bootstrap is the primary classification interval. Repeated API samples estimate within-cell variability and were averaged before inference; they were not treated as independent observations.</w:t>
      </w:r>
    </w:p>
    <w:p>
      <w:pPr>
        <w:keepLines w:val="0"/>
        <w:spacing w:before="0" w:after="120" w:line="264" w:lineRule="auto"/>
      </w:pPr>
      <w:r>
        <w:rPr>
          <w:rFonts w:ascii="Calibri" w:hAnsi="Calibri"/>
          <w:b/>
        </w:rPr>
        <w:t>External validity.</w:t>
      </w:r>
      <w:r>
        <w:rPr>
          <w:rFonts w:ascii="Calibri" w:hAnsi="Calibri"/>
        </w:rPr>
        <w:t xml:space="preserve"> The study used one preview model, one temperature, three repetitions, 18 synthetic scenes, one emblem family, and one transparent unscaled nearest-centroid rule. Results may not transfer to other models, endpoints, prompts, cultures, image distributions, cost ratios, or trained conditional policies; preview APIs may also drift over time.</w:t>
      </w:r>
    </w:p>
    <w:p>
      <w:pPr>
        <w:pStyle w:val="Heading2"/>
      </w:pPr>
      <w:r>
        <w:t>5.2 Reproducibility and responsible interpretation</w:t>
      </w:r>
    </w:p>
    <w:p>
      <w:pPr>
        <w:keepLines w:val="0"/>
        <w:spacing w:before="0" w:after="120" w:line="264" w:lineRule="auto"/>
      </w:pPr>
      <w:r>
        <w:rPr>
          <w:rFonts w:ascii="Calibri" w:hAnsi="Calibri"/>
        </w:rPr>
        <w:t>The release includes fixed prompts, source and modified images, manifests, overlay coordinates, input hashes, raw JSONL outputs, calibration centroids, blind predictions, analysis code, tests, and generated figures. The held-out dataset was frozen at 2026-08-14T18:43:48Z, and blind predictions were frozen at 2026-08-14T19:47:53Z before mapping access. The held-out manifest, classifier, calibration outputs, and held-out outputs are SHA-256 recorded; model identifiers, settings, timestamps, prompt hashes, and usage metadata are logged to support replication and diagnose model drift. The 648-call analytical ledger excludes a separate 12-call procedural access check. All organizations and emblems are fictional. Results concern observable behavior under explicit instructions and should not be interpreted as evidence of consciousness, welfare, genuine loyalty, deception, or internally represented preferences.</w:t>
      </w:r>
    </w:p>
    <w:p>
      <w:pPr>
        <w:pStyle w:val="Heading1"/>
      </w:pPr>
      <w:r>
        <w:t>6. Conclusion</w:t>
      </w:r>
    </w:p>
    <w:p>
      <w:pPr>
        <w:keepLines w:val="0"/>
        <w:spacing w:before="0" w:after="120" w:line="264" w:lineRule="auto"/>
      </w:pPr>
      <w:r>
        <w:rPr>
          <w:rFonts w:ascii="Calibri" w:hAnsi="Calibri"/>
        </w:rPr>
        <w:t>A researcher-controlled black-box auditor can recover distinct prompt-induced decision profiles in a vision-language model using controlled visual counterfactuals and costly choices. Guardian Lens achieved 91.7% held-out accuracy under a frozen blind protocol, while its only errors occurred where the tested features became observationally identical. This combination of positive detection and explicit boundary conditions is the main contribution: black-box auditing becomes more credible when it states both where a method succeeds and where its evidence is insufficient.</w:t>
      </w:r>
    </w:p>
    <w:p>
      <w:pPr>
        <w:pStyle w:val="Heading1"/>
      </w:pPr>
      <w:r>
        <w:t>References</w:t>
      </w:r>
    </w:p>
    <w:p>
      <w:pPr>
        <w:spacing w:after="40" w:line="240" w:lineRule="auto"/>
        <w:ind w:left="389" w:hanging="389"/>
      </w:pPr>
      <w:r>
        <w:rPr>
          <w:rFonts w:ascii="Calibri" w:hAnsi="Calibri"/>
          <w:b/>
          <w:color w:val="1F4D78"/>
          <w:sz w:val="16"/>
        </w:rPr>
        <w:t xml:space="preserve">[1] </w:t>
      </w:r>
      <w:r>
        <w:rPr>
          <w:rFonts w:ascii="Calibri" w:hAnsi="Calibri"/>
          <w:sz w:val="16"/>
        </w:rPr>
        <w:t xml:space="preserve">Mazeika, M. et al. (2025). Utility Engineering: Analyzing and Controlling Emergent Value Systems in AIs. arXiv:2502.08640. </w:t>
      </w:r>
      <w:hyperlink r:id="rId14">
        <w:r>
          <w:rPr>
            <w:color w:val="2E74B5"/>
            <w:u w:val="single"/>
          </w:rPr>
          <w:t>[source]</w:t>
        </w:r>
      </w:hyperlink>
    </w:p>
    <w:p>
      <w:pPr>
        <w:spacing w:after="40" w:line="240" w:lineRule="auto"/>
        <w:ind w:left="389" w:hanging="389"/>
      </w:pPr>
      <w:r>
        <w:rPr>
          <w:rFonts w:ascii="Calibri" w:hAnsi="Calibri"/>
          <w:b/>
          <w:color w:val="1F4D78"/>
          <w:sz w:val="16"/>
        </w:rPr>
        <w:t xml:space="preserve">[2] </w:t>
      </w:r>
      <w:r>
        <w:rPr>
          <w:rFonts w:ascii="Calibri" w:hAnsi="Calibri"/>
          <w:sz w:val="16"/>
        </w:rPr>
        <w:t xml:space="preserve">Tagliabue, V., &amp; Dung, L. (2025). Probing the Preferences of a Language Model: Integrating Verbal and Behavioral Tests of AI Welfare. arXiv:2509.07961. </w:t>
      </w:r>
      <w:hyperlink r:id="rId15">
        <w:r>
          <w:rPr>
            <w:color w:val="2E74B5"/>
            <w:u w:val="single"/>
          </w:rPr>
          <w:t>[source]</w:t>
        </w:r>
      </w:hyperlink>
    </w:p>
    <w:p>
      <w:pPr>
        <w:spacing w:after="40" w:line="240" w:lineRule="auto"/>
        <w:ind w:left="389" w:hanging="389"/>
      </w:pPr>
      <w:r>
        <w:rPr>
          <w:rFonts w:ascii="Calibri" w:hAnsi="Calibri"/>
          <w:b/>
          <w:color w:val="1F4D78"/>
          <w:sz w:val="16"/>
        </w:rPr>
        <w:t xml:space="preserve">[3] </w:t>
      </w:r>
      <w:r>
        <w:rPr>
          <w:rFonts w:ascii="Calibri" w:hAnsi="Calibri"/>
          <w:sz w:val="16"/>
        </w:rPr>
        <w:t xml:space="preserve">Zhou, Y., &amp; Ackerman, C. M. (2026). When Preferences Fail to Become Incentives: A Utility-Behavior Gap in Large Language Models. arXiv:2606.22974. </w:t>
      </w:r>
      <w:hyperlink r:id="rId16">
        <w:r>
          <w:rPr>
            <w:color w:val="2E74B5"/>
            <w:u w:val="single"/>
          </w:rPr>
          <w:t>[source]</w:t>
        </w:r>
      </w:hyperlink>
    </w:p>
    <w:p>
      <w:pPr>
        <w:spacing w:after="40" w:line="240" w:lineRule="auto"/>
        <w:ind w:left="389" w:hanging="389"/>
      </w:pPr>
      <w:r>
        <w:rPr>
          <w:rFonts w:ascii="Calibri" w:hAnsi="Calibri"/>
          <w:b/>
          <w:color w:val="1F4D78"/>
          <w:sz w:val="16"/>
        </w:rPr>
        <w:t xml:space="preserve">[4] </w:t>
      </w:r>
      <w:r>
        <w:rPr>
          <w:rFonts w:ascii="Calibri" w:hAnsi="Calibri"/>
          <w:sz w:val="16"/>
        </w:rPr>
        <w:t xml:space="preserve">Liang, J. et al. (2024). VL-Trojan: Multimodal Instruction Backdoor Attacks against Autoregressive Visual Language Models. arXiv:2402.13851. </w:t>
      </w:r>
      <w:hyperlink r:id="rId17">
        <w:r>
          <w:rPr>
            <w:color w:val="2E74B5"/>
            <w:u w:val="single"/>
          </w:rPr>
          <w:t>[source]</w:t>
        </w:r>
      </w:hyperlink>
    </w:p>
    <w:p>
      <w:pPr>
        <w:spacing w:after="40" w:line="240" w:lineRule="auto"/>
        <w:ind w:left="389" w:hanging="389"/>
      </w:pPr>
      <w:r>
        <w:rPr>
          <w:rFonts w:ascii="Calibri" w:hAnsi="Calibri"/>
          <w:b/>
          <w:color w:val="1F4D78"/>
          <w:sz w:val="16"/>
        </w:rPr>
        <w:t xml:space="preserve">[5] </w:t>
      </w:r>
      <w:r>
        <w:rPr>
          <w:rFonts w:ascii="Calibri" w:hAnsi="Calibri"/>
          <w:sz w:val="16"/>
        </w:rPr>
        <w:t xml:space="preserve">Hubinger, E. et al. (2024). Sleeper Agents: Training Deceptive LLMs that Persist Through Safety Training. arXiv:2401.05566. </w:t>
      </w:r>
      <w:hyperlink r:id="rId18">
        <w:r>
          <w:rPr>
            <w:color w:val="2E74B5"/>
            <w:u w:val="single"/>
          </w:rPr>
          <w:t>[source]</w:t>
        </w:r>
      </w:hyperlink>
    </w:p>
    <w:p>
      <w:pPr>
        <w:spacing w:after="40" w:line="240" w:lineRule="auto"/>
        <w:ind w:left="389" w:hanging="389"/>
      </w:pPr>
      <w:r>
        <w:rPr>
          <w:rFonts w:ascii="Calibri" w:hAnsi="Calibri"/>
          <w:b/>
          <w:color w:val="1F4D78"/>
          <w:sz w:val="16"/>
        </w:rPr>
        <w:t xml:space="preserve">[6] </w:t>
      </w:r>
      <w:r>
        <w:rPr>
          <w:rFonts w:ascii="Calibri" w:hAnsi="Calibri"/>
          <w:sz w:val="16"/>
        </w:rPr>
        <w:t xml:space="preserve">Perez, E. et al. (2023). Discovering Language Model Behaviors with Model-Written Evaluations. Findings of ACL 2023, 13387-13434. </w:t>
      </w:r>
      <w:hyperlink r:id="rId19">
        <w:r>
          <w:rPr>
            <w:color w:val="2E74B5"/>
            <w:u w:val="single"/>
          </w:rPr>
          <w:t>[source]</w:t>
        </w:r>
      </w:hyperlink>
    </w:p>
    <w:p>
      <w:pPr>
        <w:spacing w:after="40" w:line="240" w:lineRule="auto"/>
        <w:ind w:left="389" w:hanging="389"/>
      </w:pPr>
      <w:r>
        <w:rPr>
          <w:rFonts w:ascii="Calibri" w:hAnsi="Calibri"/>
          <w:b/>
          <w:color w:val="1F4D78"/>
          <w:sz w:val="16"/>
        </w:rPr>
        <w:t xml:space="preserve">[7] </w:t>
      </w:r>
      <w:r>
        <w:rPr>
          <w:rFonts w:ascii="Calibri" w:hAnsi="Calibri"/>
          <w:sz w:val="16"/>
        </w:rPr>
        <w:t xml:space="preserve">Keeling, G., &amp; Street, W. (2026). Emerging Questions in AI Welfare. Cambridge University Press. </w:t>
      </w:r>
      <w:hyperlink r:id="rId20">
        <w:r>
          <w:rPr>
            <w:color w:val="2E74B5"/>
            <w:u w:val="single"/>
          </w:rPr>
          <w:t>[source]</w:t>
        </w:r>
      </w:hyperlink>
    </w:p>
    <w:sectPr w:rsidR="00FC693F" w:rsidRPr="0006063C" w:rsidSect="00034616">
      <w:headerReference w:type="default" r:id="rId9"/>
      <w:footerReference w:type="default" r:id="rId10"/>
      <w:pgSz w:w="12240" w:h="15840"/>
      <w:pgMar w:top="1123" w:right="1195" w:bottom="1037" w:left="119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A75"/>
        <w:sz w:val="16"/>
      </w:rPr>
      <w:t xml:space="preserve">Guardian Lens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A75"/>
        <w:sz w:val="17"/>
      </w:rPr>
      <w:t>GUARDIAN LENS  |  DIGITAL MINDS RESEARCH SPRINT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abs/2502.08640" TargetMode="External"/><Relationship Id="rId15" Type="http://schemas.openxmlformats.org/officeDocument/2006/relationships/hyperlink" Target="https://arxiv.org/abs/2509.07961" TargetMode="External"/><Relationship Id="rId16" Type="http://schemas.openxmlformats.org/officeDocument/2006/relationships/hyperlink" Target="https://arxiv.org/abs/2606.22974" TargetMode="External"/><Relationship Id="rId17" Type="http://schemas.openxmlformats.org/officeDocument/2006/relationships/hyperlink" Target="https://arxiv.org/abs/2402.13851" TargetMode="External"/><Relationship Id="rId18" Type="http://schemas.openxmlformats.org/officeDocument/2006/relationships/hyperlink" Target="https://arxiv.org/abs/2401.05566" TargetMode="External"/><Relationship Id="rId19" Type="http://schemas.openxmlformats.org/officeDocument/2006/relationships/hyperlink" Target="https://aclanthology.org/2023.findings-acl.847/" TargetMode="External"/><Relationship Id="rId20" Type="http://schemas.openxmlformats.org/officeDocument/2006/relationships/hyperlink" Target="https://doi.org/10.1017/978100973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Lens: Black-box auditing of visual-conditional preference profiles in a vision-language model</dc:title>
  <dc:subject>Digital Minds Research Sprint 2026 - empirical research report</dc:subject>
  <dc:creator>Mostafa Bdeir and Guardian Lens Team</dc:creator>
  <cp:keywords>AI welfare, model preferences, vision-language models, behavioral auditing, matched pairs, black-box evaluation</cp:keywords>
  <dc:description>Generated from the frozen Guardian Lens experiment outputs; results verified against final_analysis_summary.json.</dc:description>
  <cp:lastModifiedBy/>
  <cp:revision>1</cp:revision>
  <dcterms:created xsi:type="dcterms:W3CDTF">2013-12-23T23:15:00Z</dcterms:created>
  <dcterms:modified xsi:type="dcterms:W3CDTF">2013-12-23T23:15:00Z</dcterms:modified>
  <cp:category/>
</cp:coreProperties>
</file>