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Remote Work Policy</w:t>
      </w:r>
    </w:p>
    <w:p>
      <w:r>
        <w:t>Applies to all Northwind Trading LLC staff from 1 February 2026.</w:t>
      </w:r>
    </w:p>
    <w:p>
      <w:pPr>
        <w:pStyle w:val="Heading1"/>
      </w:pPr>
      <w:r>
        <w:t>Eligibility</w:t>
      </w:r>
    </w:p>
    <w:p>
      <w:r>
        <w:t>Staff who have completed probation may work remotely up to three days a week with their manager's written approval. Roles that require physical presence in the warehouse are excluded.</w:t>
      </w:r>
    </w:p>
    <w:p>
      <w:pPr>
        <w:pStyle w:val="Heading1"/>
      </w:pPr>
      <w:r>
        <w:t>Equipment</w:t>
      </w:r>
    </w:p>
    <w:p>
      <w:r>
        <w:t>The company provides a laptop and a headset. Staff are responsible for a stable internet connection of at least 20 Mbps.</w:t>
      </w:r>
    </w:p>
    <w:p>
      <w:pPr>
        <w:pStyle w:val="Heading1"/>
      </w:pPr>
      <w:r>
        <w:t>Expense Policy</w:t>
      </w:r>
    </w:p>
    <w:p>
      <w:r>
        <w:t>Home-office equipment such as a desk, chair or monitor is reimbursed up to 300 USD per calendar year against receipts submitted through the expense system within 30 days of purchase. Internet and electricity are not reimbursed.</w:t>
      </w:r>
    </w:p>
    <w:p>
      <w:pPr>
        <w:pStyle w:val="Heading1"/>
      </w:pPr>
      <w:r>
        <w:t>Security</w:t>
      </w:r>
    </w:p>
    <w:p>
      <w:r>
        <w:t>Company data is accessed only through the VPN on company-managed devices. Public wifi may be used only with the VPN active. Lost devices are reported to IT within 24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