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778B"/>
          <w:sz w:val="40"/>
        </w:rPr>
        <w:br/>
        <w:br/>
        <w:br/>
        <w:t>Saudi Arabia Railways (SAR)</w:t>
        <w:br/>
        <w:t>Passengers' Security Checking Systems</w:t>
        <w:br/>
        <w:t>Contract with ETECHS</w:t>
      </w:r>
    </w:p>
    <w:p>
      <w:pPr>
        <w:jc w:val="center"/>
      </w:pPr>
      <w:r>
        <w:rPr>
          <w:sz w:val="30"/>
        </w:rPr>
        <w:br/>
        <w:t>Baseline Programme Narrative</w:t>
        <w:br/>
        <w:t>For SAR review and approval</w:t>
      </w:r>
    </w:p>
    <w:p>
      <w:pPr>
        <w:jc w:val="center"/>
      </w:pPr>
      <w:r>
        <w:rPr>
          <w:sz w:val="20"/>
        </w:rPr>
        <w:br/>
        <w:br/>
        <w:t>Revision 0 (initial baseline)  |  Data date and NTP: 01 November 2026  |  P6 file: SAR_Security_Program_Baseline.xer</w:t>
      </w:r>
    </w:p>
    <w:p>
      <w:r>
        <w:br w:type="page"/>
      </w:r>
    </w:p>
    <w:p>
      <w:pPr>
        <w:pStyle w:val="Heading1"/>
      </w:pPr>
      <w:r>
        <w:t>1. Purpose and basis of the programme</w:t>
      </w:r>
    </w:p>
    <w:p>
      <w:r>
        <w:rPr>
          <w:b w:val="0"/>
        </w:rPr>
        <w:t>This narrative describes the initial baseline programme for the Passengers' Security Checking Systems at 14 stations on three railways (North South Railway, East West Railway and Haramain High Speed Rail). It is delivered as a Primavera P6 24 XER file with 558 activities (470 tasks and 88 milestones) and 855 logic links. It runs from the Notice to Proceed milestone on 01 Nov 2026 to the contract completion milestone on 31 Oct 2029.</w:t>
      </w:r>
    </w:p>
    <w:p>
      <w:r>
        <w:rPr>
          <w:b w:val="0"/>
        </w:rPr>
        <w:t>Source: the contract file only (conditions, Annex 2 scope of work, Annex 3 price table, Annex 4 clarifications, Annex 5 compliance table). Durations, logic and station sequence are Contractor planning assumptions offered for SAR approval. They are not contract-stated, except the 36 month term, the payment milestones and the review period.</w:t>
      </w:r>
    </w:p>
    <w:p>
      <w:pPr>
        <w:pStyle w:val="Heading1"/>
      </w:pPr>
      <w:r>
        <w:t>2. Key dates and milestones</w:t>
      </w:r>
    </w:p>
    <w:tbl>
      <w:tblPr>
        <w:tblStyle w:val="TableGrid"/>
        <w:tblW w:type="auto" w:w="0"/>
        <w:tblLook w:firstColumn="1" w:firstRow="1" w:lastColumn="0" w:lastRow="0" w:noHBand="0" w:noVBand="1" w:val="04A0"/>
      </w:tblPr>
      <w:tblGrid>
        <w:gridCol w:w="2436"/>
        <w:gridCol w:w="2436"/>
        <w:gridCol w:w="2436"/>
        <w:gridCol w:w="2436"/>
      </w:tblGrid>
      <w:tr>
        <w:tc>
          <w:tcPr>
            <w:tcW w:type="dxa" w:w="1701"/>
            <w:shd w:val="clear" w:fill="00778B"/>
          </w:tcPr>
          <w:p>
            <w:r/>
            <w:r>
              <w:rPr>
                <w:b/>
                <w:color w:val="FFFFFF"/>
                <w:sz w:val="19"/>
              </w:rPr>
              <w:t>ID</w:t>
            </w:r>
          </w:p>
        </w:tc>
        <w:tc>
          <w:tcPr>
            <w:tcW w:type="dxa" w:w="4535"/>
            <w:shd w:val="clear" w:fill="00778B"/>
          </w:tcPr>
          <w:p>
            <w:r/>
            <w:r>
              <w:rPr>
                <w:b/>
                <w:color w:val="FFFFFF"/>
                <w:sz w:val="19"/>
              </w:rPr>
              <w:t>Milestone</w:t>
            </w:r>
          </w:p>
        </w:tc>
        <w:tc>
          <w:tcPr>
            <w:tcW w:type="dxa" w:w="1984"/>
            <w:shd w:val="clear" w:fill="00778B"/>
          </w:tcPr>
          <w:p>
            <w:r/>
            <w:r>
              <w:rPr>
                <w:b/>
                <w:color w:val="FFFFFF"/>
                <w:sz w:val="19"/>
              </w:rPr>
              <w:t>Date</w:t>
            </w:r>
          </w:p>
        </w:tc>
        <w:tc>
          <w:tcPr>
            <w:tcW w:type="dxa" w:w="1701"/>
            <w:shd w:val="clear" w:fill="00778B"/>
          </w:tcPr>
          <w:p>
            <w:r/>
            <w:r>
              <w:rPr>
                <w:b/>
                <w:color w:val="FFFFFF"/>
                <w:sz w:val="19"/>
              </w:rPr>
              <w:t>Float (working days)</w:t>
            </w:r>
          </w:p>
        </w:tc>
      </w:tr>
      <w:tr>
        <w:tc>
          <w:tcPr>
            <w:tcW w:type="dxa" w:w="1701"/>
          </w:tcPr>
          <w:p>
            <w:r/>
            <w:r>
              <w:rPr>
                <w:sz w:val="19"/>
              </w:rPr>
              <w:t>PRJ-M0000</w:t>
            </w:r>
          </w:p>
        </w:tc>
        <w:tc>
          <w:tcPr>
            <w:tcW w:type="dxa" w:w="4535"/>
          </w:tcPr>
          <w:p>
            <w:r/>
            <w:r>
              <w:rPr>
                <w:sz w:val="19"/>
              </w:rPr>
              <w:t>Notice to Proceed - project start (1 Nov 2026, editable)</w:t>
            </w:r>
          </w:p>
        </w:tc>
        <w:tc>
          <w:tcPr>
            <w:tcW w:type="dxa" w:w="1984"/>
          </w:tcPr>
          <w:p>
            <w:r/>
            <w:r>
              <w:rPr>
                <w:sz w:val="19"/>
              </w:rPr>
              <w:t>01 Nov 2026</w:t>
            </w:r>
          </w:p>
        </w:tc>
        <w:tc>
          <w:tcPr>
            <w:tcW w:type="dxa" w:w="1701"/>
          </w:tcPr>
          <w:p>
            <w:r/>
            <w:r>
              <w:rPr>
                <w:sz w:val="19"/>
              </w:rPr>
              <w:t>0</w:t>
            </w:r>
          </w:p>
        </w:tc>
      </w:tr>
      <w:tr>
        <w:tc>
          <w:tcPr>
            <w:tcW w:type="dxa" w:w="1701"/>
          </w:tcPr>
          <w:p>
            <w:r/>
            <w:r>
              <w:rPr>
                <w:sz w:val="19"/>
              </w:rPr>
              <w:t>PRJ-M1100</w:t>
            </w:r>
          </w:p>
        </w:tc>
        <w:tc>
          <w:tcPr>
            <w:tcW w:type="dxa" w:w="4535"/>
          </w:tcPr>
          <w:p>
            <w:r/>
            <w:r>
              <w:rPr>
                <w:sz w:val="19"/>
              </w:rPr>
              <w:t>MS1 Mobilization complete (payment milestone 20%)</w:t>
            </w:r>
          </w:p>
        </w:tc>
        <w:tc>
          <w:tcPr>
            <w:tcW w:type="dxa" w:w="1984"/>
          </w:tcPr>
          <w:p>
            <w:r/>
            <w:r>
              <w:rPr>
                <w:sz w:val="19"/>
              </w:rPr>
              <w:t>10 Dec 2026</w:t>
            </w:r>
          </w:p>
        </w:tc>
        <w:tc>
          <w:tcPr>
            <w:tcW w:type="dxa" w:w="1701"/>
          </w:tcPr>
          <w:p>
            <w:r/>
            <w:r>
              <w:rPr>
                <w:sz w:val="19"/>
              </w:rPr>
              <w:t>22</w:t>
            </w:r>
          </w:p>
        </w:tc>
      </w:tr>
      <w:tr>
        <w:tc>
          <w:tcPr>
            <w:tcW w:type="dxa" w:w="1701"/>
          </w:tcPr>
          <w:p>
            <w:r/>
            <w:r>
              <w:rPr>
                <w:sz w:val="19"/>
              </w:rPr>
              <w:t>PRJ-M2100</w:t>
            </w:r>
          </w:p>
        </w:tc>
        <w:tc>
          <w:tcPr>
            <w:tcW w:type="dxa" w:w="4535"/>
          </w:tcPr>
          <w:p>
            <w:r/>
            <w:r>
              <w:rPr>
                <w:sz w:val="19"/>
              </w:rPr>
              <w:t>Detailed baseline programme approved</w:t>
            </w:r>
          </w:p>
        </w:tc>
        <w:tc>
          <w:tcPr>
            <w:tcW w:type="dxa" w:w="1984"/>
          </w:tcPr>
          <w:p>
            <w:r/>
            <w:r>
              <w:rPr>
                <w:sz w:val="19"/>
              </w:rPr>
              <w:t>18 Feb 2027</w:t>
            </w:r>
          </w:p>
        </w:tc>
        <w:tc>
          <w:tcPr>
            <w:tcW w:type="dxa" w:w="1701"/>
          </w:tcPr>
          <w:p>
            <w:r/>
            <w:r>
              <w:rPr>
                <w:sz w:val="19"/>
              </w:rPr>
              <w:t>22</w:t>
            </w:r>
          </w:p>
        </w:tc>
      </w:tr>
      <w:tr>
        <w:tc>
          <w:tcPr>
            <w:tcW w:type="dxa" w:w="1701"/>
          </w:tcPr>
          <w:p>
            <w:r/>
            <w:r>
              <w:rPr>
                <w:sz w:val="19"/>
              </w:rPr>
              <w:t>PRJ-MX99</w:t>
            </w:r>
          </w:p>
        </w:tc>
        <w:tc>
          <w:tcPr>
            <w:tcW w:type="dxa" w:w="4535"/>
          </w:tcPr>
          <w:p>
            <w:r/>
            <w:r>
              <w:rPr>
                <w:sz w:val="19"/>
              </w:rPr>
              <w:t>Contract completion - end of 36-month term</w:t>
            </w:r>
          </w:p>
        </w:tc>
        <w:tc>
          <w:tcPr>
            <w:tcW w:type="dxa" w:w="1984"/>
          </w:tcPr>
          <w:p>
            <w:r/>
            <w:r>
              <w:rPr>
                <w:sz w:val="19"/>
              </w:rPr>
              <w:t>31 Oct 2029</w:t>
            </w:r>
          </w:p>
        </w:tc>
        <w:tc>
          <w:tcPr>
            <w:tcW w:type="dxa" w:w="1701"/>
          </w:tcPr>
          <w:p>
            <w:r/>
            <w:r>
              <w:rPr>
                <w:sz w:val="19"/>
              </w:rPr>
              <w:t>0</w:t>
            </w:r>
          </w:p>
        </w:tc>
      </w:tr>
    </w:tbl>
    <w:p/>
    <w:p>
      <w:r>
        <w:rPr>
          <w:b w:val="0"/>
        </w:rPr>
        <w:t>Contract completion is driven by logic: it is linked from NTP with a lag equal to the 36 month term and carries no date constraint. If the NTP date changes, every date moves with it.</w:t>
      </w:r>
    </w:p>
    <w:p>
      <w:pPr>
        <w:pStyle w:val="Heading1"/>
      </w:pPr>
      <w:r>
        <w:t>3. Calendar</w:t>
      </w:r>
    </w:p>
    <w:p>
      <w:r>
        <w:rPr>
          <w:b w:val="0"/>
        </w:rPr>
        <w:t>Single project calendar: Sunday to Thursday, 8 hours per day (08:00 to 12:00 and 13:00 to 17:00); Friday and Saturday are non-working. The contract defines a working day as a bank-open day, and dates falling on a non-working day move to the next working day. National holidays are calendar exceptions: Founding Day (22 Feb), National Day (23 Sep), Eid al-Fitr and Eid al-Adha.</w:t>
      </w:r>
    </w:p>
    <w:p>
      <w:r>
        <w:rPr>
          <w:b/>
        </w:rPr>
        <w:t>The Eid dates are estimates from the Islamic calendar. Confirm them against the official announcement before the baseline is submitted.</w:t>
      </w:r>
    </w:p>
    <w:tbl>
      <w:tblPr>
        <w:tblStyle w:val="TableGrid"/>
        <w:tblW w:type="auto" w:w="0"/>
        <w:tblLook w:firstColumn="1" w:firstRow="1" w:lastColumn="0" w:lastRow="0" w:noHBand="0" w:noVBand="1" w:val="04A0"/>
      </w:tblPr>
      <w:tblGrid>
        <w:gridCol w:w="3249"/>
        <w:gridCol w:w="3249"/>
        <w:gridCol w:w="3249"/>
      </w:tblGrid>
      <w:tr>
        <w:tc>
          <w:tcPr>
            <w:tcW w:type="dxa" w:w="2268"/>
            <w:shd w:val="clear" w:fill="00778B"/>
          </w:tcPr>
          <w:p>
            <w:r/>
            <w:r>
              <w:rPr>
                <w:b/>
                <w:color w:val="FFFFFF"/>
                <w:sz w:val="19"/>
              </w:rPr>
              <w:t>From</w:t>
            </w:r>
          </w:p>
        </w:tc>
        <w:tc>
          <w:tcPr>
            <w:tcW w:type="dxa" w:w="2268"/>
            <w:shd w:val="clear" w:fill="00778B"/>
          </w:tcPr>
          <w:p>
            <w:r/>
            <w:r>
              <w:rPr>
                <w:b/>
                <w:color w:val="FFFFFF"/>
                <w:sz w:val="19"/>
              </w:rPr>
              <w:t>To</w:t>
            </w:r>
          </w:p>
        </w:tc>
        <w:tc>
          <w:tcPr>
            <w:tcW w:type="dxa" w:w="4535"/>
            <w:shd w:val="clear" w:fill="00778B"/>
          </w:tcPr>
          <w:p>
            <w:r/>
            <w:r>
              <w:rPr>
                <w:b/>
                <w:color w:val="FFFFFF"/>
                <w:sz w:val="19"/>
              </w:rPr>
              <w:t>Holiday</w:t>
            </w:r>
          </w:p>
        </w:tc>
      </w:tr>
      <w:tr>
        <w:tc>
          <w:tcPr>
            <w:tcW w:type="dxa" w:w="2268"/>
          </w:tcPr>
          <w:p>
            <w:r/>
            <w:r>
              <w:rPr>
                <w:sz w:val="19"/>
              </w:rPr>
              <w:t>22 Feb 2027</w:t>
            </w:r>
          </w:p>
        </w:tc>
        <w:tc>
          <w:tcPr>
            <w:tcW w:type="dxa" w:w="2268"/>
          </w:tcPr>
          <w:p>
            <w:r/>
            <w:r>
              <w:rPr>
                <w:sz w:val="19"/>
              </w:rPr>
              <w:t>22 Feb 2027</w:t>
            </w:r>
          </w:p>
        </w:tc>
        <w:tc>
          <w:tcPr>
            <w:tcW w:type="dxa" w:w="4535"/>
          </w:tcPr>
          <w:p>
            <w:r/>
            <w:r>
              <w:rPr>
                <w:sz w:val="19"/>
              </w:rPr>
              <w:t>Founding Day</w:t>
            </w:r>
          </w:p>
        </w:tc>
      </w:tr>
      <w:tr>
        <w:tc>
          <w:tcPr>
            <w:tcW w:type="dxa" w:w="2268"/>
          </w:tcPr>
          <w:p>
            <w:r/>
            <w:r>
              <w:rPr>
                <w:sz w:val="19"/>
              </w:rPr>
              <w:t>07 Mar 2027</w:t>
            </w:r>
          </w:p>
        </w:tc>
        <w:tc>
          <w:tcPr>
            <w:tcW w:type="dxa" w:w="2268"/>
          </w:tcPr>
          <w:p>
            <w:r/>
            <w:r>
              <w:rPr>
                <w:sz w:val="19"/>
              </w:rPr>
              <w:t>11 Mar 2027</w:t>
            </w:r>
          </w:p>
        </w:tc>
        <w:tc>
          <w:tcPr>
            <w:tcW w:type="dxa" w:w="4535"/>
          </w:tcPr>
          <w:p>
            <w:r/>
            <w:r>
              <w:rPr>
                <w:sz w:val="19"/>
              </w:rPr>
              <w:t>Eid al-Fitr (estimated)</w:t>
            </w:r>
          </w:p>
        </w:tc>
      </w:tr>
      <w:tr>
        <w:tc>
          <w:tcPr>
            <w:tcW w:type="dxa" w:w="2268"/>
          </w:tcPr>
          <w:p>
            <w:r/>
            <w:r>
              <w:rPr>
                <w:sz w:val="19"/>
              </w:rPr>
              <w:t>16 May 2027</w:t>
            </w:r>
          </w:p>
        </w:tc>
        <w:tc>
          <w:tcPr>
            <w:tcW w:type="dxa" w:w="2268"/>
          </w:tcPr>
          <w:p>
            <w:r/>
            <w:r>
              <w:rPr>
                <w:sz w:val="19"/>
              </w:rPr>
              <w:t>20 May 2027</w:t>
            </w:r>
          </w:p>
        </w:tc>
        <w:tc>
          <w:tcPr>
            <w:tcW w:type="dxa" w:w="4535"/>
          </w:tcPr>
          <w:p>
            <w:r/>
            <w:r>
              <w:rPr>
                <w:sz w:val="19"/>
              </w:rPr>
              <w:t>Eid al-Adha (estimated)</w:t>
            </w:r>
          </w:p>
        </w:tc>
      </w:tr>
      <w:tr>
        <w:tc>
          <w:tcPr>
            <w:tcW w:type="dxa" w:w="2268"/>
          </w:tcPr>
          <w:p>
            <w:r/>
            <w:r>
              <w:rPr>
                <w:sz w:val="19"/>
              </w:rPr>
              <w:t>23 Sep 2027</w:t>
            </w:r>
          </w:p>
        </w:tc>
        <w:tc>
          <w:tcPr>
            <w:tcW w:type="dxa" w:w="2268"/>
          </w:tcPr>
          <w:p>
            <w:r/>
            <w:r>
              <w:rPr>
                <w:sz w:val="19"/>
              </w:rPr>
              <w:t>23 Sep 2027</w:t>
            </w:r>
          </w:p>
        </w:tc>
        <w:tc>
          <w:tcPr>
            <w:tcW w:type="dxa" w:w="4535"/>
          </w:tcPr>
          <w:p>
            <w:r/>
            <w:r>
              <w:rPr>
                <w:sz w:val="19"/>
              </w:rPr>
              <w:t>National Day</w:t>
            </w:r>
          </w:p>
        </w:tc>
      </w:tr>
      <w:tr>
        <w:tc>
          <w:tcPr>
            <w:tcW w:type="dxa" w:w="2268"/>
          </w:tcPr>
          <w:p>
            <w:r/>
            <w:r>
              <w:rPr>
                <w:sz w:val="19"/>
              </w:rPr>
              <w:t>20 Feb 2028</w:t>
            </w:r>
          </w:p>
        </w:tc>
        <w:tc>
          <w:tcPr>
            <w:tcW w:type="dxa" w:w="2268"/>
          </w:tcPr>
          <w:p>
            <w:r/>
            <w:r>
              <w:rPr>
                <w:sz w:val="19"/>
              </w:rPr>
              <w:t>24 Feb 2028</w:t>
            </w:r>
          </w:p>
        </w:tc>
        <w:tc>
          <w:tcPr>
            <w:tcW w:type="dxa" w:w="4535"/>
          </w:tcPr>
          <w:p>
            <w:r/>
            <w:r>
              <w:rPr>
                <w:sz w:val="19"/>
              </w:rPr>
              <w:t>Eid al-Fitr (estimated)</w:t>
            </w:r>
          </w:p>
        </w:tc>
      </w:tr>
      <w:tr>
        <w:tc>
          <w:tcPr>
            <w:tcW w:type="dxa" w:w="2268"/>
          </w:tcPr>
          <w:p>
            <w:r/>
            <w:r>
              <w:rPr>
                <w:sz w:val="19"/>
              </w:rPr>
              <w:t>22 Feb 2028</w:t>
            </w:r>
          </w:p>
        </w:tc>
        <w:tc>
          <w:tcPr>
            <w:tcW w:type="dxa" w:w="2268"/>
          </w:tcPr>
          <w:p>
            <w:r/>
            <w:r>
              <w:rPr>
                <w:sz w:val="19"/>
              </w:rPr>
              <w:t>22 Feb 2028</w:t>
            </w:r>
          </w:p>
        </w:tc>
        <w:tc>
          <w:tcPr>
            <w:tcW w:type="dxa" w:w="4535"/>
          </w:tcPr>
          <w:p>
            <w:r/>
            <w:r>
              <w:rPr>
                <w:sz w:val="19"/>
              </w:rPr>
              <w:t>Founding Day</w:t>
            </w:r>
          </w:p>
        </w:tc>
      </w:tr>
      <w:tr>
        <w:tc>
          <w:tcPr>
            <w:tcW w:type="dxa" w:w="2268"/>
          </w:tcPr>
          <w:p>
            <w:r/>
            <w:r>
              <w:rPr>
                <w:sz w:val="19"/>
              </w:rPr>
              <w:t>30 Apr 2028</w:t>
            </w:r>
          </w:p>
        </w:tc>
        <w:tc>
          <w:tcPr>
            <w:tcW w:type="dxa" w:w="2268"/>
          </w:tcPr>
          <w:p>
            <w:r/>
            <w:r>
              <w:rPr>
                <w:sz w:val="19"/>
              </w:rPr>
              <w:t>04 May 2028</w:t>
            </w:r>
          </w:p>
        </w:tc>
        <w:tc>
          <w:tcPr>
            <w:tcW w:type="dxa" w:w="4535"/>
          </w:tcPr>
          <w:p>
            <w:r/>
            <w:r>
              <w:rPr>
                <w:sz w:val="19"/>
              </w:rPr>
              <w:t>Eid al-Adha (estimated)</w:t>
            </w:r>
          </w:p>
        </w:tc>
      </w:tr>
      <w:tr>
        <w:tc>
          <w:tcPr>
            <w:tcW w:type="dxa" w:w="2268"/>
          </w:tcPr>
          <w:p>
            <w:r/>
            <w:r>
              <w:rPr>
                <w:sz w:val="19"/>
              </w:rPr>
              <w:t>23 Sep 2028</w:t>
            </w:r>
          </w:p>
        </w:tc>
        <w:tc>
          <w:tcPr>
            <w:tcW w:type="dxa" w:w="2268"/>
          </w:tcPr>
          <w:p>
            <w:r/>
            <w:r>
              <w:rPr>
                <w:sz w:val="19"/>
              </w:rPr>
              <w:t>23 Sep 2028</w:t>
            </w:r>
          </w:p>
        </w:tc>
        <w:tc>
          <w:tcPr>
            <w:tcW w:type="dxa" w:w="4535"/>
          </w:tcPr>
          <w:p>
            <w:r/>
            <w:r>
              <w:rPr>
                <w:sz w:val="19"/>
              </w:rPr>
              <w:t>National Day</w:t>
            </w:r>
          </w:p>
        </w:tc>
      </w:tr>
      <w:tr>
        <w:tc>
          <w:tcPr>
            <w:tcW w:type="dxa" w:w="2268"/>
          </w:tcPr>
          <w:p>
            <w:r/>
            <w:r>
              <w:rPr>
                <w:sz w:val="19"/>
              </w:rPr>
              <w:t>11 Feb 2029</w:t>
            </w:r>
          </w:p>
        </w:tc>
        <w:tc>
          <w:tcPr>
            <w:tcW w:type="dxa" w:w="2268"/>
          </w:tcPr>
          <w:p>
            <w:r/>
            <w:r>
              <w:rPr>
                <w:sz w:val="19"/>
              </w:rPr>
              <w:t>15 Feb 2029</w:t>
            </w:r>
          </w:p>
        </w:tc>
        <w:tc>
          <w:tcPr>
            <w:tcW w:type="dxa" w:w="4535"/>
          </w:tcPr>
          <w:p>
            <w:r/>
            <w:r>
              <w:rPr>
                <w:sz w:val="19"/>
              </w:rPr>
              <w:t>Eid al-Fitr (estimated)</w:t>
            </w:r>
          </w:p>
        </w:tc>
      </w:tr>
      <w:tr>
        <w:tc>
          <w:tcPr>
            <w:tcW w:type="dxa" w:w="2268"/>
          </w:tcPr>
          <w:p>
            <w:r/>
            <w:r>
              <w:rPr>
                <w:sz w:val="19"/>
              </w:rPr>
              <w:t>22 Feb 2029</w:t>
            </w:r>
          </w:p>
        </w:tc>
        <w:tc>
          <w:tcPr>
            <w:tcW w:type="dxa" w:w="2268"/>
          </w:tcPr>
          <w:p>
            <w:r/>
            <w:r>
              <w:rPr>
                <w:sz w:val="19"/>
              </w:rPr>
              <w:t>22 Feb 2029</w:t>
            </w:r>
          </w:p>
        </w:tc>
        <w:tc>
          <w:tcPr>
            <w:tcW w:type="dxa" w:w="4535"/>
          </w:tcPr>
          <w:p>
            <w:r/>
            <w:r>
              <w:rPr>
                <w:sz w:val="19"/>
              </w:rPr>
              <w:t>Founding Day</w:t>
            </w:r>
          </w:p>
        </w:tc>
      </w:tr>
      <w:tr>
        <w:tc>
          <w:tcPr>
            <w:tcW w:type="dxa" w:w="2268"/>
          </w:tcPr>
          <w:p>
            <w:r/>
            <w:r>
              <w:rPr>
                <w:sz w:val="19"/>
              </w:rPr>
              <w:t>22 Apr 2029</w:t>
            </w:r>
          </w:p>
        </w:tc>
        <w:tc>
          <w:tcPr>
            <w:tcW w:type="dxa" w:w="2268"/>
          </w:tcPr>
          <w:p>
            <w:r/>
            <w:r>
              <w:rPr>
                <w:sz w:val="19"/>
              </w:rPr>
              <w:t>26 Apr 2029</w:t>
            </w:r>
          </w:p>
        </w:tc>
        <w:tc>
          <w:tcPr>
            <w:tcW w:type="dxa" w:w="4535"/>
          </w:tcPr>
          <w:p>
            <w:r/>
            <w:r>
              <w:rPr>
                <w:sz w:val="19"/>
              </w:rPr>
              <w:t>Eid al-Adha (estimated)</w:t>
            </w:r>
          </w:p>
        </w:tc>
      </w:tr>
      <w:tr>
        <w:tc>
          <w:tcPr>
            <w:tcW w:type="dxa" w:w="2268"/>
          </w:tcPr>
          <w:p>
            <w:r/>
            <w:r>
              <w:rPr>
                <w:sz w:val="19"/>
              </w:rPr>
              <w:t>23 Sep 2029</w:t>
            </w:r>
          </w:p>
        </w:tc>
        <w:tc>
          <w:tcPr>
            <w:tcW w:type="dxa" w:w="2268"/>
          </w:tcPr>
          <w:p>
            <w:r/>
            <w:r>
              <w:rPr>
                <w:sz w:val="19"/>
              </w:rPr>
              <w:t>23 Sep 2029</w:t>
            </w:r>
          </w:p>
        </w:tc>
        <w:tc>
          <w:tcPr>
            <w:tcW w:type="dxa" w:w="4535"/>
          </w:tcPr>
          <w:p>
            <w:r/>
            <w:r>
              <w:rPr>
                <w:sz w:val="19"/>
              </w:rPr>
              <w:t>National Day</w:t>
            </w:r>
          </w:p>
        </w:tc>
      </w:tr>
    </w:tbl>
    <w:p/>
    <w:p>
      <w:pPr>
        <w:pStyle w:val="Heading1"/>
      </w:pPr>
      <w:r>
        <w:t>4. Work breakdown structure</w:t>
      </w:r>
    </w:p>
    <w:p>
      <w:r>
        <w:rPr>
          <w:b w:val="0"/>
        </w:rPr>
        <w:t>The WBS follows EPC: Engineering, Procurement, Construction, and Commissioning and handover, with Project management and milestones at project level. It has 515 nodes over 6 levels: project, railway, station, EPC phase, design stage or work package, and area. Levels 7 and 8 were not needed because the contract gives no zone-level data; they can be added when zone data is available.</w:t>
      </w:r>
    </w:p>
    <w:tbl>
      <w:tblPr>
        <w:tblStyle w:val="TableGrid"/>
        <w:tblW w:type="auto" w:w="0"/>
        <w:tblLook w:firstColumn="1" w:firstRow="1" w:lastColumn="0" w:lastRow="0" w:noHBand="0" w:noVBand="1" w:val="04A0"/>
      </w:tblPr>
      <w:tblGrid>
        <w:gridCol w:w="4873"/>
        <w:gridCol w:w="4873"/>
      </w:tblGrid>
      <w:tr>
        <w:tc>
          <w:tcPr>
            <w:tcW w:type="dxa" w:w="2268"/>
            <w:shd w:val="clear" w:fill="00778B"/>
          </w:tcPr>
          <w:p>
            <w:r/>
            <w:r>
              <w:rPr>
                <w:b/>
                <w:color w:val="FFFFFF"/>
                <w:sz w:val="19"/>
              </w:rPr>
              <w:t>WBS level</w:t>
            </w:r>
          </w:p>
        </w:tc>
        <w:tc>
          <w:tcPr>
            <w:tcW w:type="dxa" w:w="2268"/>
            <w:shd w:val="clear" w:fill="00778B"/>
          </w:tcPr>
          <w:p>
            <w:r/>
            <w:r>
              <w:rPr>
                <w:b/>
                <w:color w:val="FFFFFF"/>
                <w:sz w:val="19"/>
              </w:rPr>
              <w:t>Nodes</w:t>
            </w:r>
          </w:p>
        </w:tc>
      </w:tr>
      <w:tr>
        <w:tc>
          <w:tcPr>
            <w:tcW w:type="dxa" w:w="2268"/>
          </w:tcPr>
          <w:p>
            <w:r/>
            <w:r>
              <w:rPr>
                <w:sz w:val="19"/>
              </w:rPr>
              <w:t>1</w:t>
            </w:r>
          </w:p>
        </w:tc>
        <w:tc>
          <w:tcPr>
            <w:tcW w:type="dxa" w:w="2268"/>
          </w:tcPr>
          <w:p>
            <w:r/>
            <w:r>
              <w:rPr>
                <w:sz w:val="19"/>
              </w:rPr>
              <w:t>1</w:t>
            </w:r>
          </w:p>
        </w:tc>
      </w:tr>
      <w:tr>
        <w:tc>
          <w:tcPr>
            <w:tcW w:type="dxa" w:w="2268"/>
          </w:tcPr>
          <w:p>
            <w:r/>
            <w:r>
              <w:rPr>
                <w:sz w:val="19"/>
              </w:rPr>
              <w:t>2</w:t>
            </w:r>
          </w:p>
        </w:tc>
        <w:tc>
          <w:tcPr>
            <w:tcW w:type="dxa" w:w="2268"/>
          </w:tcPr>
          <w:p>
            <w:r/>
            <w:r>
              <w:rPr>
                <w:sz w:val="19"/>
              </w:rPr>
              <w:t>5</w:t>
            </w:r>
          </w:p>
        </w:tc>
      </w:tr>
      <w:tr>
        <w:tc>
          <w:tcPr>
            <w:tcW w:type="dxa" w:w="2268"/>
          </w:tcPr>
          <w:p>
            <w:r/>
            <w:r>
              <w:rPr>
                <w:sz w:val="19"/>
              </w:rPr>
              <w:t>3</w:t>
            </w:r>
          </w:p>
        </w:tc>
        <w:tc>
          <w:tcPr>
            <w:tcW w:type="dxa" w:w="2268"/>
          </w:tcPr>
          <w:p>
            <w:r/>
            <w:r>
              <w:rPr>
                <w:sz w:val="19"/>
              </w:rPr>
              <w:t>19</w:t>
            </w:r>
          </w:p>
        </w:tc>
      </w:tr>
      <w:tr>
        <w:tc>
          <w:tcPr>
            <w:tcW w:type="dxa" w:w="2268"/>
          </w:tcPr>
          <w:p>
            <w:r/>
            <w:r>
              <w:rPr>
                <w:sz w:val="19"/>
              </w:rPr>
              <w:t>4</w:t>
            </w:r>
          </w:p>
        </w:tc>
        <w:tc>
          <w:tcPr>
            <w:tcW w:type="dxa" w:w="2268"/>
          </w:tcPr>
          <w:p>
            <w:r/>
            <w:r>
              <w:rPr>
                <w:sz w:val="19"/>
              </w:rPr>
              <w:t>56</w:t>
            </w:r>
          </w:p>
        </w:tc>
      </w:tr>
      <w:tr>
        <w:tc>
          <w:tcPr>
            <w:tcW w:type="dxa" w:w="2268"/>
          </w:tcPr>
          <w:p>
            <w:r/>
            <w:r>
              <w:rPr>
                <w:sz w:val="19"/>
              </w:rPr>
              <w:t>5</w:t>
            </w:r>
          </w:p>
        </w:tc>
        <w:tc>
          <w:tcPr>
            <w:tcW w:type="dxa" w:w="2268"/>
          </w:tcPr>
          <w:p>
            <w:r/>
            <w:r>
              <w:rPr>
                <w:sz w:val="19"/>
              </w:rPr>
              <w:t>238</w:t>
            </w:r>
          </w:p>
        </w:tc>
      </w:tr>
      <w:tr>
        <w:tc>
          <w:tcPr>
            <w:tcW w:type="dxa" w:w="2268"/>
          </w:tcPr>
          <w:p>
            <w:r/>
            <w:r>
              <w:rPr>
                <w:sz w:val="19"/>
              </w:rPr>
              <w:t>6</w:t>
            </w:r>
          </w:p>
        </w:tc>
        <w:tc>
          <w:tcPr>
            <w:tcW w:type="dxa" w:w="2268"/>
          </w:tcPr>
          <w:p>
            <w:r/>
            <w:r>
              <w:rPr>
                <w:sz w:val="19"/>
              </w:rPr>
              <w:t>196</w:t>
            </w:r>
          </w:p>
        </w:tc>
      </w:tr>
    </w:tbl>
    <w:p/>
    <w:p>
      <w:pPr>
        <w:pStyle w:val="Heading1"/>
      </w:pPr>
      <w:r>
        <w:t>5. Engineering stages</w:t>
      </w:r>
    </w:p>
    <w:p>
      <w:r>
        <w:rPr>
          <w:b w:val="0"/>
        </w:rPr>
        <w:t>Engineering is divided by recognised design stage: site survey, concept design, preliminary design, detailed design, issued for construction, HCIS submission and as-built. Within each stage every area has a submittal and a SAR approval activity. Approval durations reflect the SAR review period. Procurement does not start before approval of the related design.</w:t>
      </w:r>
    </w:p>
    <w:p>
      <w:pPr>
        <w:pStyle w:val="Heading1"/>
      </w:pPr>
      <w:r>
        <w:t>6. Logic and sequencing</w:t>
      </w:r>
    </w:p>
    <w:p>
      <w:r>
        <w:rPr>
          <w:b w:val="0"/>
        </w:rPr>
        <w:t>Relationships are mainly finish to start, with a few start to start and finish to finish links. There are no date constraints. Riyadh stations have priority: they start first and have shorter procurement lead times. The other stations follow in waves, and the wave offsets were calibrated so that the last station completes inside the 36 month term. The only activity without a predecessor is NTP, and the only activity without a successor is contract completion.</w:t>
      </w:r>
    </w:p>
    <w:p>
      <w:pPr>
        <w:pStyle w:val="Heading1"/>
      </w:pPr>
      <w:r>
        <w:t>7. Station finish dates</w:t>
      </w:r>
    </w:p>
    <w:p>
      <w:r>
        <w:drawing>
          <wp:inline xmlns:a="http://schemas.openxmlformats.org/drawingml/2006/main" xmlns:pic="http://schemas.openxmlformats.org/drawingml/2006/picture">
            <wp:extent cx="5580000" cy="2976000"/>
            <wp:docPr id="1" name="Picture 1"/>
            <wp:cNvGraphicFramePr>
              <a:graphicFrameLocks noChangeAspect="1"/>
            </wp:cNvGraphicFramePr>
            <a:graphic>
              <a:graphicData uri="http://schemas.openxmlformats.org/drawingml/2006/picture">
                <pic:pic>
                  <pic:nvPicPr>
                    <pic:cNvPr id="0" name="fin.png"/>
                    <pic:cNvPicPr/>
                  </pic:nvPicPr>
                  <pic:blipFill>
                    <a:blip r:embed="rId9"/>
                    <a:stretch>
                      <a:fillRect/>
                    </a:stretch>
                  </pic:blipFill>
                  <pic:spPr>
                    <a:xfrm>
                      <a:off x="0" y="0"/>
                      <a:ext cx="5580000" cy="2976000"/>
                    </a:xfrm>
                    <a:prstGeom prst="rect"/>
                  </pic:spPr>
                </pic:pic>
              </a:graphicData>
            </a:graphic>
          </wp:inline>
        </w:drawing>
      </w:r>
    </w:p>
    <w:tbl>
      <w:tblPr>
        <w:tblStyle w:val="TableGrid"/>
        <w:tblW w:type="auto" w:w="0"/>
        <w:tblLook w:firstColumn="1" w:firstRow="1" w:lastColumn="0" w:lastRow="0" w:noHBand="0" w:noVBand="1" w:val="04A0"/>
      </w:tblPr>
      <w:tblGrid>
        <w:gridCol w:w="3249"/>
        <w:gridCol w:w="3249"/>
        <w:gridCol w:w="3249"/>
      </w:tblGrid>
      <w:tr>
        <w:tc>
          <w:tcPr>
            <w:tcW w:type="dxa" w:w="4535"/>
            <w:shd w:val="clear" w:fill="00778B"/>
          </w:tcPr>
          <w:p>
            <w:r/>
            <w:r>
              <w:rPr>
                <w:b/>
                <w:color w:val="FFFFFF"/>
                <w:sz w:val="19"/>
              </w:rPr>
              <w:t>Station</w:t>
            </w:r>
          </w:p>
        </w:tc>
        <w:tc>
          <w:tcPr>
            <w:tcW w:type="dxa" w:w="2268"/>
            <w:shd w:val="clear" w:fill="00778B"/>
          </w:tcPr>
          <w:p>
            <w:r/>
            <w:r>
              <w:rPr>
                <w:b/>
                <w:color w:val="FFFFFF"/>
                <w:sz w:val="19"/>
              </w:rPr>
              <w:t>Station finish</w:t>
            </w:r>
          </w:p>
        </w:tc>
        <w:tc>
          <w:tcPr>
            <w:tcW w:type="dxa" w:w="1701"/>
            <w:shd w:val="clear" w:fill="00778B"/>
          </w:tcPr>
          <w:p>
            <w:r/>
            <w:r>
              <w:rPr>
                <w:b/>
                <w:color w:val="FFFFFF"/>
                <w:sz w:val="19"/>
              </w:rPr>
              <w:t>Riyadh priority</w:t>
            </w:r>
          </w:p>
        </w:tc>
      </w:tr>
      <w:tr>
        <w:tc>
          <w:tcPr>
            <w:tcW w:type="dxa" w:w="4535"/>
          </w:tcPr>
          <w:p>
            <w:r/>
            <w:r>
              <w:rPr>
                <w:sz w:val="19"/>
              </w:rPr>
              <w:t>Riyadh (Thumamah)</w:t>
            </w:r>
          </w:p>
        </w:tc>
        <w:tc>
          <w:tcPr>
            <w:tcW w:type="dxa" w:w="2268"/>
          </w:tcPr>
          <w:p>
            <w:r/>
            <w:r>
              <w:rPr>
                <w:sz w:val="19"/>
              </w:rPr>
              <w:t>07 Dec 2027</w:t>
            </w:r>
          </w:p>
        </w:tc>
        <w:tc>
          <w:tcPr>
            <w:tcW w:type="dxa" w:w="1701"/>
          </w:tcPr>
          <w:p>
            <w:r/>
            <w:r>
              <w:rPr>
                <w:sz w:val="19"/>
              </w:rPr>
              <w:t>Yes</w:t>
            </w:r>
          </w:p>
        </w:tc>
      </w:tr>
      <w:tr>
        <w:tc>
          <w:tcPr>
            <w:tcW w:type="dxa" w:w="4535"/>
          </w:tcPr>
          <w:p>
            <w:r/>
            <w:r>
              <w:rPr>
                <w:sz w:val="19"/>
              </w:rPr>
              <w:t>Riyadh (Malaz)</w:t>
            </w:r>
          </w:p>
        </w:tc>
        <w:tc>
          <w:tcPr>
            <w:tcW w:type="dxa" w:w="2268"/>
          </w:tcPr>
          <w:p>
            <w:r/>
            <w:r>
              <w:rPr>
                <w:sz w:val="19"/>
              </w:rPr>
              <w:t>13 Dec 2027</w:t>
            </w:r>
          </w:p>
        </w:tc>
        <w:tc>
          <w:tcPr>
            <w:tcW w:type="dxa" w:w="1701"/>
          </w:tcPr>
          <w:p>
            <w:r/>
            <w:r>
              <w:rPr>
                <w:sz w:val="19"/>
              </w:rPr>
              <w:t>Yes</w:t>
            </w:r>
          </w:p>
        </w:tc>
      </w:tr>
      <w:tr>
        <w:tc>
          <w:tcPr>
            <w:tcW w:type="dxa" w:w="4535"/>
          </w:tcPr>
          <w:p>
            <w:r/>
            <w:r>
              <w:rPr>
                <w:sz w:val="19"/>
              </w:rPr>
              <w:t>Dammam</w:t>
            </w:r>
          </w:p>
        </w:tc>
        <w:tc>
          <w:tcPr>
            <w:tcW w:type="dxa" w:w="2268"/>
          </w:tcPr>
          <w:p>
            <w:r/>
            <w:r>
              <w:rPr>
                <w:sz w:val="19"/>
              </w:rPr>
              <w:t>22 Jun 2028</w:t>
            </w:r>
          </w:p>
        </w:tc>
        <w:tc>
          <w:tcPr>
            <w:tcW w:type="dxa" w:w="1701"/>
          </w:tcPr>
          <w:p>
            <w:r/>
            <w:r>
              <w:rPr>
                <w:sz w:val="19"/>
              </w:rPr>
            </w:r>
          </w:p>
        </w:tc>
      </w:tr>
      <w:tr>
        <w:tc>
          <w:tcPr>
            <w:tcW w:type="dxa" w:w="4535"/>
          </w:tcPr>
          <w:p>
            <w:r/>
            <w:r>
              <w:rPr>
                <w:sz w:val="19"/>
              </w:rPr>
              <w:t>Hufuf</w:t>
            </w:r>
          </w:p>
        </w:tc>
        <w:tc>
          <w:tcPr>
            <w:tcW w:type="dxa" w:w="2268"/>
          </w:tcPr>
          <w:p>
            <w:r/>
            <w:r>
              <w:rPr>
                <w:sz w:val="19"/>
              </w:rPr>
              <w:t>17 Aug 2028</w:t>
            </w:r>
          </w:p>
        </w:tc>
        <w:tc>
          <w:tcPr>
            <w:tcW w:type="dxa" w:w="1701"/>
          </w:tcPr>
          <w:p>
            <w:r/>
            <w:r>
              <w:rPr>
                <w:sz w:val="19"/>
              </w:rPr>
            </w:r>
          </w:p>
        </w:tc>
      </w:tr>
      <w:tr>
        <w:tc>
          <w:tcPr>
            <w:tcW w:type="dxa" w:w="4535"/>
          </w:tcPr>
          <w:p>
            <w:r/>
            <w:r>
              <w:rPr>
                <w:sz w:val="19"/>
              </w:rPr>
              <w:t>Al Qassim</w:t>
            </w:r>
          </w:p>
        </w:tc>
        <w:tc>
          <w:tcPr>
            <w:tcW w:type="dxa" w:w="2268"/>
          </w:tcPr>
          <w:p>
            <w:r/>
            <w:r>
              <w:rPr>
                <w:sz w:val="19"/>
              </w:rPr>
              <w:t>27 Aug 2028</w:t>
            </w:r>
          </w:p>
        </w:tc>
        <w:tc>
          <w:tcPr>
            <w:tcW w:type="dxa" w:w="1701"/>
          </w:tcPr>
          <w:p>
            <w:r/>
            <w:r>
              <w:rPr>
                <w:sz w:val="19"/>
              </w:rPr>
            </w:r>
          </w:p>
        </w:tc>
      </w:tr>
      <w:tr>
        <w:tc>
          <w:tcPr>
            <w:tcW w:type="dxa" w:w="4535"/>
          </w:tcPr>
          <w:p>
            <w:r/>
            <w:r>
              <w:rPr>
                <w:sz w:val="19"/>
              </w:rPr>
              <w:t>Jeddah</w:t>
            </w:r>
          </w:p>
        </w:tc>
        <w:tc>
          <w:tcPr>
            <w:tcW w:type="dxa" w:w="2268"/>
          </w:tcPr>
          <w:p>
            <w:r/>
            <w:r>
              <w:rPr>
                <w:sz w:val="19"/>
              </w:rPr>
              <w:t>21 Sep 2028</w:t>
            </w:r>
          </w:p>
        </w:tc>
        <w:tc>
          <w:tcPr>
            <w:tcW w:type="dxa" w:w="1701"/>
          </w:tcPr>
          <w:p>
            <w:r/>
            <w:r>
              <w:rPr>
                <w:sz w:val="19"/>
              </w:rPr>
            </w:r>
          </w:p>
        </w:tc>
      </w:tr>
      <w:tr>
        <w:tc>
          <w:tcPr>
            <w:tcW w:type="dxa" w:w="4535"/>
          </w:tcPr>
          <w:p>
            <w:r/>
            <w:r>
              <w:rPr>
                <w:sz w:val="19"/>
              </w:rPr>
              <w:t>Al Majma'ah</w:t>
            </w:r>
          </w:p>
        </w:tc>
        <w:tc>
          <w:tcPr>
            <w:tcW w:type="dxa" w:w="2268"/>
          </w:tcPr>
          <w:p>
            <w:r/>
            <w:r>
              <w:rPr>
                <w:sz w:val="19"/>
              </w:rPr>
              <w:t>15 Oct 2028</w:t>
            </w:r>
          </w:p>
        </w:tc>
        <w:tc>
          <w:tcPr>
            <w:tcW w:type="dxa" w:w="1701"/>
          </w:tcPr>
          <w:p>
            <w:r/>
            <w:r>
              <w:rPr>
                <w:sz w:val="19"/>
              </w:rPr>
            </w:r>
          </w:p>
        </w:tc>
      </w:tr>
      <w:tr>
        <w:tc>
          <w:tcPr>
            <w:tcW w:type="dxa" w:w="4535"/>
          </w:tcPr>
          <w:p>
            <w:r/>
            <w:r>
              <w:rPr>
                <w:sz w:val="19"/>
              </w:rPr>
              <w:t>Abqaiq</w:t>
            </w:r>
          </w:p>
        </w:tc>
        <w:tc>
          <w:tcPr>
            <w:tcW w:type="dxa" w:w="2268"/>
          </w:tcPr>
          <w:p>
            <w:r/>
            <w:r>
              <w:rPr>
                <w:sz w:val="19"/>
              </w:rPr>
              <w:t>29 Mar 2029</w:t>
            </w:r>
          </w:p>
        </w:tc>
        <w:tc>
          <w:tcPr>
            <w:tcW w:type="dxa" w:w="1701"/>
          </w:tcPr>
          <w:p>
            <w:r/>
            <w:r>
              <w:rPr>
                <w:sz w:val="19"/>
              </w:rPr>
            </w:r>
          </w:p>
        </w:tc>
      </w:tr>
      <w:tr>
        <w:tc>
          <w:tcPr>
            <w:tcW w:type="dxa" w:w="4535"/>
          </w:tcPr>
          <w:p>
            <w:r/>
            <w:r>
              <w:rPr>
                <w:sz w:val="19"/>
              </w:rPr>
              <w:t>Hail</w:t>
            </w:r>
          </w:p>
        </w:tc>
        <w:tc>
          <w:tcPr>
            <w:tcW w:type="dxa" w:w="2268"/>
          </w:tcPr>
          <w:p>
            <w:r/>
            <w:r>
              <w:rPr>
                <w:sz w:val="19"/>
              </w:rPr>
              <w:t>15 May 2029</w:t>
            </w:r>
          </w:p>
        </w:tc>
        <w:tc>
          <w:tcPr>
            <w:tcW w:type="dxa" w:w="1701"/>
          </w:tcPr>
          <w:p>
            <w:r/>
            <w:r>
              <w:rPr>
                <w:sz w:val="19"/>
              </w:rPr>
            </w:r>
          </w:p>
        </w:tc>
      </w:tr>
      <w:tr>
        <w:tc>
          <w:tcPr>
            <w:tcW w:type="dxa" w:w="4535"/>
          </w:tcPr>
          <w:p>
            <w:r/>
            <w:r>
              <w:rPr>
                <w:sz w:val="19"/>
              </w:rPr>
              <w:t>Makkah</w:t>
            </w:r>
          </w:p>
        </w:tc>
        <w:tc>
          <w:tcPr>
            <w:tcW w:type="dxa" w:w="2268"/>
          </w:tcPr>
          <w:p>
            <w:r/>
            <w:r>
              <w:rPr>
                <w:sz w:val="19"/>
              </w:rPr>
              <w:t>21 May 2029</w:t>
            </w:r>
          </w:p>
        </w:tc>
        <w:tc>
          <w:tcPr>
            <w:tcW w:type="dxa" w:w="1701"/>
          </w:tcPr>
          <w:p>
            <w:r/>
            <w:r>
              <w:rPr>
                <w:sz w:val="19"/>
              </w:rPr>
            </w:r>
          </w:p>
        </w:tc>
      </w:tr>
      <w:tr>
        <w:tc>
          <w:tcPr>
            <w:tcW w:type="dxa" w:w="4535"/>
          </w:tcPr>
          <w:p>
            <w:r/>
            <w:r>
              <w:rPr>
                <w:sz w:val="19"/>
              </w:rPr>
              <w:t>KAEC</w:t>
            </w:r>
          </w:p>
        </w:tc>
        <w:tc>
          <w:tcPr>
            <w:tcW w:type="dxa" w:w="2268"/>
          </w:tcPr>
          <w:p>
            <w:r/>
            <w:r>
              <w:rPr>
                <w:sz w:val="19"/>
              </w:rPr>
              <w:t>26 Jul 2029</w:t>
            </w:r>
          </w:p>
        </w:tc>
        <w:tc>
          <w:tcPr>
            <w:tcW w:type="dxa" w:w="1701"/>
          </w:tcPr>
          <w:p>
            <w:r/>
            <w:r>
              <w:rPr>
                <w:sz w:val="19"/>
              </w:rPr>
            </w:r>
          </w:p>
        </w:tc>
      </w:tr>
      <w:tr>
        <w:tc>
          <w:tcPr>
            <w:tcW w:type="dxa" w:w="4535"/>
          </w:tcPr>
          <w:p>
            <w:r/>
            <w:r>
              <w:rPr>
                <w:sz w:val="19"/>
              </w:rPr>
              <w:t>Al Jouf</w:t>
            </w:r>
          </w:p>
        </w:tc>
        <w:tc>
          <w:tcPr>
            <w:tcW w:type="dxa" w:w="2268"/>
          </w:tcPr>
          <w:p>
            <w:r/>
            <w:r>
              <w:rPr>
                <w:sz w:val="19"/>
              </w:rPr>
              <w:t>29 Jul 2029</w:t>
            </w:r>
          </w:p>
        </w:tc>
        <w:tc>
          <w:tcPr>
            <w:tcW w:type="dxa" w:w="1701"/>
          </w:tcPr>
          <w:p>
            <w:r/>
            <w:r>
              <w:rPr>
                <w:sz w:val="19"/>
              </w:rPr>
            </w:r>
          </w:p>
        </w:tc>
      </w:tr>
      <w:tr>
        <w:tc>
          <w:tcPr>
            <w:tcW w:type="dxa" w:w="4535"/>
          </w:tcPr>
          <w:p>
            <w:r/>
            <w:r>
              <w:rPr>
                <w:sz w:val="19"/>
              </w:rPr>
              <w:t>Madinah</w:t>
            </w:r>
          </w:p>
        </w:tc>
        <w:tc>
          <w:tcPr>
            <w:tcW w:type="dxa" w:w="2268"/>
          </w:tcPr>
          <w:p>
            <w:r/>
            <w:r>
              <w:rPr>
                <w:sz w:val="19"/>
              </w:rPr>
              <w:t>01 Aug 2029</w:t>
            </w:r>
          </w:p>
        </w:tc>
        <w:tc>
          <w:tcPr>
            <w:tcW w:type="dxa" w:w="1701"/>
          </w:tcPr>
          <w:p>
            <w:r/>
            <w:r>
              <w:rPr>
                <w:sz w:val="19"/>
              </w:rPr>
            </w:r>
          </w:p>
        </w:tc>
      </w:tr>
      <w:tr>
        <w:tc>
          <w:tcPr>
            <w:tcW w:type="dxa" w:w="4535"/>
          </w:tcPr>
          <w:p>
            <w:r/>
            <w:r>
              <w:rPr>
                <w:sz w:val="19"/>
              </w:rPr>
              <w:t>Al Qurayyat</w:t>
            </w:r>
          </w:p>
        </w:tc>
        <w:tc>
          <w:tcPr>
            <w:tcW w:type="dxa" w:w="2268"/>
          </w:tcPr>
          <w:p>
            <w:r/>
            <w:r>
              <w:rPr>
                <w:sz w:val="19"/>
              </w:rPr>
              <w:t>16 Sep 2029</w:t>
            </w:r>
          </w:p>
        </w:tc>
        <w:tc>
          <w:tcPr>
            <w:tcW w:type="dxa" w:w="1701"/>
          </w:tcPr>
          <w:p>
            <w:r/>
            <w:r>
              <w:rPr>
                <w:sz w:val="19"/>
              </w:rPr>
            </w:r>
          </w:p>
        </w:tc>
      </w:tr>
    </w:tbl>
    <w:p/>
    <w:p>
      <w:pPr>
        <w:pStyle w:val="Heading1"/>
      </w:pPr>
      <w:r>
        <w:t>8. Critical and near-critical activities</w:t>
      </w:r>
    </w:p>
    <w:p>
      <w:r>
        <w:rPr>
          <w:b w:val="0"/>
        </w:rPr>
        <w:t>The contract completion milestone is held by the 36 month term, so no activity has zero float against it. The longest physical path finishes 22 working days before the contract end date, and that margin is the project float. 29 tasks sit on this longest path (22 working days of float) and 10 more are within 20 working days of it. The first 25 in date order are listed below.</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701"/>
            <w:shd w:val="clear" w:fill="00778B"/>
          </w:tcPr>
          <w:p>
            <w:r/>
            <w:r>
              <w:rPr>
                <w:b/>
                <w:color w:val="FFFFFF"/>
                <w:sz w:val="19"/>
              </w:rPr>
              <w:t>ID</w:t>
            </w:r>
          </w:p>
        </w:tc>
        <w:tc>
          <w:tcPr>
            <w:tcW w:type="dxa" w:w="4252"/>
            <w:shd w:val="clear" w:fill="00778B"/>
          </w:tcPr>
          <w:p>
            <w:r/>
            <w:r>
              <w:rPr>
                <w:b/>
                <w:color w:val="FFFFFF"/>
                <w:sz w:val="19"/>
              </w:rPr>
              <w:t>Activity</w:t>
            </w:r>
          </w:p>
        </w:tc>
        <w:tc>
          <w:tcPr>
            <w:tcW w:type="dxa" w:w="1587"/>
            <w:shd w:val="clear" w:fill="00778B"/>
          </w:tcPr>
          <w:p>
            <w:r/>
            <w:r>
              <w:rPr>
                <w:b/>
                <w:color w:val="FFFFFF"/>
                <w:sz w:val="19"/>
              </w:rPr>
              <w:t>Start</w:t>
            </w:r>
          </w:p>
        </w:tc>
        <w:tc>
          <w:tcPr>
            <w:tcW w:type="dxa" w:w="1587"/>
            <w:shd w:val="clear" w:fill="00778B"/>
          </w:tcPr>
          <w:p>
            <w:r/>
            <w:r>
              <w:rPr>
                <w:b/>
                <w:color w:val="FFFFFF"/>
                <w:sz w:val="19"/>
              </w:rPr>
              <w:t>Finish</w:t>
            </w:r>
          </w:p>
        </w:tc>
        <w:tc>
          <w:tcPr>
            <w:tcW w:type="dxa" w:w="1134"/>
            <w:shd w:val="clear" w:fill="00778B"/>
          </w:tcPr>
          <w:p>
            <w:r/>
            <w:r>
              <w:rPr>
                <w:b/>
                <w:color w:val="FFFFFF"/>
                <w:sz w:val="19"/>
              </w:rPr>
              <w:t>Float (working days)</w:t>
            </w:r>
          </w:p>
        </w:tc>
      </w:tr>
      <w:tr>
        <w:tc>
          <w:tcPr>
            <w:tcW w:type="dxa" w:w="1701"/>
          </w:tcPr>
          <w:p>
            <w:r/>
            <w:r>
              <w:rPr>
                <w:sz w:val="19"/>
              </w:rPr>
              <w:t>PRJ-A1010</w:t>
            </w:r>
          </w:p>
        </w:tc>
        <w:tc>
          <w:tcPr>
            <w:tcW w:type="dxa" w:w="4252"/>
          </w:tcPr>
          <w:p>
            <w:r/>
            <w:r>
              <w:rPr>
                <w:sz w:val="19"/>
              </w:rPr>
              <w:t>Performance security, insurance and key personnel approval</w:t>
            </w:r>
          </w:p>
        </w:tc>
        <w:tc>
          <w:tcPr>
            <w:tcW w:type="dxa" w:w="1587"/>
          </w:tcPr>
          <w:p>
            <w:r/>
            <w:r>
              <w:rPr>
                <w:sz w:val="19"/>
              </w:rPr>
              <w:t>01 Nov 2026</w:t>
            </w:r>
          </w:p>
        </w:tc>
        <w:tc>
          <w:tcPr>
            <w:tcW w:type="dxa" w:w="1587"/>
          </w:tcPr>
          <w:p>
            <w:r/>
            <w:r>
              <w:rPr>
                <w:sz w:val="19"/>
              </w:rPr>
              <w:t>12 Nov 2026</w:t>
            </w:r>
          </w:p>
        </w:tc>
        <w:tc>
          <w:tcPr>
            <w:tcW w:type="dxa" w:w="1134"/>
          </w:tcPr>
          <w:p>
            <w:r/>
            <w:r>
              <w:rPr>
                <w:sz w:val="19"/>
              </w:rPr>
              <w:t>42</w:t>
            </w:r>
          </w:p>
        </w:tc>
      </w:tr>
      <w:tr>
        <w:tc>
          <w:tcPr>
            <w:tcW w:type="dxa" w:w="1701"/>
          </w:tcPr>
          <w:p>
            <w:r/>
            <w:r>
              <w:rPr>
                <w:sz w:val="19"/>
              </w:rPr>
              <w:t>PRJ-A1020</w:t>
            </w:r>
          </w:p>
        </w:tc>
        <w:tc>
          <w:tcPr>
            <w:tcW w:type="dxa" w:w="4252"/>
          </w:tcPr>
          <w:p>
            <w:r/>
            <w:r>
              <w:rPr>
                <w:sz w:val="19"/>
              </w:rPr>
              <w:t>Initial baseline programme (Primavera) covering mobilization and survey</w:t>
            </w:r>
          </w:p>
        </w:tc>
        <w:tc>
          <w:tcPr>
            <w:tcW w:type="dxa" w:w="1587"/>
          </w:tcPr>
          <w:p>
            <w:r/>
            <w:r>
              <w:rPr>
                <w:sz w:val="19"/>
              </w:rPr>
              <w:t>01 Nov 2026</w:t>
            </w:r>
          </w:p>
        </w:tc>
        <w:tc>
          <w:tcPr>
            <w:tcW w:type="dxa" w:w="1587"/>
          </w:tcPr>
          <w:p>
            <w:r/>
            <w:r>
              <w:rPr>
                <w:sz w:val="19"/>
              </w:rPr>
              <w:t>09 Nov 2026</w:t>
            </w:r>
          </w:p>
        </w:tc>
        <w:tc>
          <w:tcPr>
            <w:tcW w:type="dxa" w:w="1134"/>
          </w:tcPr>
          <w:p>
            <w:r/>
            <w:r>
              <w:rPr>
                <w:sz w:val="19"/>
              </w:rPr>
              <w:t>30</w:t>
            </w:r>
          </w:p>
        </w:tc>
      </w:tr>
      <w:tr>
        <w:tc>
          <w:tcPr>
            <w:tcW w:type="dxa" w:w="1701"/>
          </w:tcPr>
          <w:p>
            <w:r/>
            <w:r>
              <w:rPr>
                <w:sz w:val="19"/>
              </w:rPr>
              <w:t>PRJ-A1050</w:t>
            </w:r>
          </w:p>
        </w:tc>
        <w:tc>
          <w:tcPr>
            <w:tcW w:type="dxa" w:w="4252"/>
          </w:tcPr>
          <w:p>
            <w:r/>
            <w:r>
              <w:rPr>
                <w:sz w:val="19"/>
              </w:rPr>
              <w:t>Mobilization submittals: QC programme and ITP, HSE, security, procurement and shipping plan</w:t>
            </w:r>
          </w:p>
        </w:tc>
        <w:tc>
          <w:tcPr>
            <w:tcW w:type="dxa" w:w="1587"/>
          </w:tcPr>
          <w:p>
            <w:r/>
            <w:r>
              <w:rPr>
                <w:sz w:val="19"/>
              </w:rPr>
              <w:t>08 Nov 2026</w:t>
            </w:r>
          </w:p>
        </w:tc>
        <w:tc>
          <w:tcPr>
            <w:tcW w:type="dxa" w:w="1587"/>
          </w:tcPr>
          <w:p>
            <w:r/>
            <w:r>
              <w:rPr>
                <w:sz w:val="19"/>
              </w:rPr>
              <w:t>03 Dec 2026</w:t>
            </w:r>
          </w:p>
        </w:tc>
        <w:tc>
          <w:tcPr>
            <w:tcW w:type="dxa" w:w="1134"/>
          </w:tcPr>
          <w:p>
            <w:r/>
            <w:r>
              <w:rPr>
                <w:sz w:val="19"/>
              </w:rPr>
              <w:t>27</w:t>
            </w:r>
          </w:p>
        </w:tc>
      </w:tr>
      <w:tr>
        <w:tc>
          <w:tcPr>
            <w:tcW w:type="dxa" w:w="1701"/>
          </w:tcPr>
          <w:p>
            <w:r/>
            <w:r>
              <w:rPr>
                <w:sz w:val="19"/>
              </w:rPr>
              <w:t>PRJ-A1040</w:t>
            </w:r>
          </w:p>
        </w:tc>
        <w:tc>
          <w:tcPr>
            <w:tcW w:type="dxa" w:w="4252"/>
          </w:tcPr>
          <w:p>
            <w:r/>
            <w:r>
              <w:rPr>
                <w:sz w:val="19"/>
              </w:rPr>
              <w:t>Mobilization: site establishment, offices, personnel and tools</w:t>
            </w:r>
          </w:p>
        </w:tc>
        <w:tc>
          <w:tcPr>
            <w:tcW w:type="dxa" w:w="1587"/>
          </w:tcPr>
          <w:p>
            <w:r/>
            <w:r>
              <w:rPr>
                <w:sz w:val="19"/>
              </w:rPr>
              <w:t>08 Nov 2026</w:t>
            </w:r>
          </w:p>
        </w:tc>
        <w:tc>
          <w:tcPr>
            <w:tcW w:type="dxa" w:w="1587"/>
          </w:tcPr>
          <w:p>
            <w:r/>
            <w:r>
              <w:rPr>
                <w:sz w:val="19"/>
              </w:rPr>
              <w:t>10 Dec 2026</w:t>
            </w:r>
          </w:p>
        </w:tc>
        <w:tc>
          <w:tcPr>
            <w:tcW w:type="dxa" w:w="1134"/>
          </w:tcPr>
          <w:p>
            <w:r/>
            <w:r>
              <w:rPr>
                <w:sz w:val="19"/>
              </w:rPr>
              <w:t>22</w:t>
            </w:r>
          </w:p>
        </w:tc>
      </w:tr>
      <w:tr>
        <w:tc>
          <w:tcPr>
            <w:tcW w:type="dxa" w:w="1701"/>
          </w:tcPr>
          <w:p>
            <w:r/>
            <w:r>
              <w:rPr>
                <w:sz w:val="19"/>
              </w:rPr>
              <w:t>PRJ-A1030</w:t>
            </w:r>
          </w:p>
        </w:tc>
        <w:tc>
          <w:tcPr>
            <w:tcW w:type="dxa" w:w="4252"/>
          </w:tcPr>
          <w:p>
            <w:r/>
            <w:r>
              <w:rPr>
                <w:sz w:val="19"/>
              </w:rPr>
              <w:t>SAR review and approval of initial baseline</w:t>
            </w:r>
          </w:p>
        </w:tc>
        <w:tc>
          <w:tcPr>
            <w:tcW w:type="dxa" w:w="1587"/>
          </w:tcPr>
          <w:p>
            <w:r/>
            <w:r>
              <w:rPr>
                <w:sz w:val="19"/>
              </w:rPr>
              <w:t>10 Nov 2026</w:t>
            </w:r>
          </w:p>
        </w:tc>
        <w:tc>
          <w:tcPr>
            <w:tcW w:type="dxa" w:w="1587"/>
          </w:tcPr>
          <w:p>
            <w:r/>
            <w:r>
              <w:rPr>
                <w:sz w:val="19"/>
              </w:rPr>
              <w:t>30 Nov 2026</w:t>
            </w:r>
          </w:p>
        </w:tc>
        <w:tc>
          <w:tcPr>
            <w:tcW w:type="dxa" w:w="1134"/>
          </w:tcPr>
          <w:p>
            <w:r/>
            <w:r>
              <w:rPr>
                <w:sz w:val="19"/>
              </w:rPr>
              <w:t>30</w:t>
            </w:r>
          </w:p>
        </w:tc>
      </w:tr>
      <w:tr>
        <w:tc>
          <w:tcPr>
            <w:tcW w:type="dxa" w:w="1701"/>
          </w:tcPr>
          <w:p>
            <w:r/>
            <w:r>
              <w:rPr>
                <w:sz w:val="19"/>
              </w:rPr>
              <w:t>NRY-E1010</w:t>
            </w:r>
          </w:p>
        </w:tc>
        <w:tc>
          <w:tcPr>
            <w:tcW w:type="dxa" w:w="4252"/>
          </w:tcPr>
          <w:p>
            <w:r/>
            <w:r>
              <w:rPr>
                <w:sz w:val="19"/>
              </w:rPr>
              <w:t>Survey: submittal of site survey and as-found report - Riyadh (Thumamah)</w:t>
            </w:r>
          </w:p>
        </w:tc>
        <w:tc>
          <w:tcPr>
            <w:tcW w:type="dxa" w:w="1587"/>
          </w:tcPr>
          <w:p>
            <w:r/>
            <w:r>
              <w:rPr>
                <w:sz w:val="19"/>
              </w:rPr>
              <w:t>13 Dec 2026</w:t>
            </w:r>
          </w:p>
        </w:tc>
        <w:tc>
          <w:tcPr>
            <w:tcW w:type="dxa" w:w="1587"/>
          </w:tcPr>
          <w:p>
            <w:r/>
            <w:r>
              <w:rPr>
                <w:sz w:val="19"/>
              </w:rPr>
              <w:t>24 Dec 2026</w:t>
            </w:r>
          </w:p>
        </w:tc>
        <w:tc>
          <w:tcPr>
            <w:tcW w:type="dxa" w:w="1134"/>
          </w:tcPr>
          <w:p>
            <w:r/>
            <w:r>
              <w:rPr>
                <w:sz w:val="19"/>
              </w:rPr>
              <w:t>32</w:t>
            </w:r>
          </w:p>
        </w:tc>
      </w:tr>
      <w:tr>
        <w:tc>
          <w:tcPr>
            <w:tcW w:type="dxa" w:w="1701"/>
          </w:tcPr>
          <w:p>
            <w:r/>
            <w:r>
              <w:rPr>
                <w:sz w:val="19"/>
              </w:rPr>
              <w:t>ERY-E1010</w:t>
            </w:r>
          </w:p>
        </w:tc>
        <w:tc>
          <w:tcPr>
            <w:tcW w:type="dxa" w:w="4252"/>
          </w:tcPr>
          <w:p>
            <w:r/>
            <w:r>
              <w:rPr>
                <w:sz w:val="19"/>
              </w:rPr>
              <w:t>Survey: submittal of site survey and as-found report - Riyadh (Malaz)</w:t>
            </w:r>
          </w:p>
        </w:tc>
        <w:tc>
          <w:tcPr>
            <w:tcW w:type="dxa" w:w="1587"/>
          </w:tcPr>
          <w:p>
            <w:r/>
            <w:r>
              <w:rPr>
                <w:sz w:val="19"/>
              </w:rPr>
              <w:t>27 Dec 2026</w:t>
            </w:r>
          </w:p>
        </w:tc>
        <w:tc>
          <w:tcPr>
            <w:tcW w:type="dxa" w:w="1587"/>
          </w:tcPr>
          <w:p>
            <w:r/>
            <w:r>
              <w:rPr>
                <w:sz w:val="19"/>
              </w:rPr>
              <w:t>07 Jan 2027</w:t>
            </w:r>
          </w:p>
        </w:tc>
        <w:tc>
          <w:tcPr>
            <w:tcW w:type="dxa" w:w="1134"/>
          </w:tcPr>
          <w:p>
            <w:r/>
            <w:r>
              <w:rPr>
                <w:sz w:val="19"/>
              </w:rPr>
              <w:t>22</w:t>
            </w:r>
          </w:p>
        </w:tc>
      </w:tr>
      <w:tr>
        <w:tc>
          <w:tcPr>
            <w:tcW w:type="dxa" w:w="1701"/>
          </w:tcPr>
          <w:p>
            <w:r/>
            <w:r>
              <w:rPr>
                <w:sz w:val="19"/>
              </w:rPr>
              <w:t>PRJ-A2010</w:t>
            </w:r>
          </w:p>
        </w:tc>
        <w:tc>
          <w:tcPr>
            <w:tcW w:type="dxa" w:w="4252"/>
          </w:tcPr>
          <w:p>
            <w:r/>
            <w:r>
              <w:rPr>
                <w:sz w:val="19"/>
              </w:rPr>
              <w:t>Detailed baseline programme (within 21 days after survey)</w:t>
            </w:r>
          </w:p>
        </w:tc>
        <w:tc>
          <w:tcPr>
            <w:tcW w:type="dxa" w:w="1587"/>
          </w:tcPr>
          <w:p>
            <w:r/>
            <w:r>
              <w:rPr>
                <w:sz w:val="19"/>
              </w:rPr>
              <w:t>10 Jan 2027</w:t>
            </w:r>
          </w:p>
        </w:tc>
        <w:tc>
          <w:tcPr>
            <w:tcW w:type="dxa" w:w="1587"/>
          </w:tcPr>
          <w:p>
            <w:r/>
            <w:r>
              <w:rPr>
                <w:sz w:val="19"/>
              </w:rPr>
              <w:t>28 Jan 2027</w:t>
            </w:r>
          </w:p>
        </w:tc>
        <w:tc>
          <w:tcPr>
            <w:tcW w:type="dxa" w:w="1134"/>
          </w:tcPr>
          <w:p>
            <w:r/>
            <w:r>
              <w:rPr>
                <w:sz w:val="19"/>
              </w:rPr>
              <w:t>22</w:t>
            </w:r>
          </w:p>
        </w:tc>
      </w:tr>
      <w:tr>
        <w:tc>
          <w:tcPr>
            <w:tcW w:type="dxa" w:w="1701"/>
          </w:tcPr>
          <w:p>
            <w:r/>
            <w:r>
              <w:rPr>
                <w:sz w:val="19"/>
              </w:rPr>
              <w:t>PRJ-A2020</w:t>
            </w:r>
          </w:p>
        </w:tc>
        <w:tc>
          <w:tcPr>
            <w:tcW w:type="dxa" w:w="4252"/>
          </w:tcPr>
          <w:p>
            <w:r/>
            <w:r>
              <w:rPr>
                <w:sz w:val="19"/>
              </w:rPr>
              <w:t>SAR review and approval of detailed baseline</w:t>
            </w:r>
          </w:p>
        </w:tc>
        <w:tc>
          <w:tcPr>
            <w:tcW w:type="dxa" w:w="1587"/>
          </w:tcPr>
          <w:p>
            <w:r/>
            <w:r>
              <w:rPr>
                <w:sz w:val="19"/>
              </w:rPr>
              <w:t>31 Jan 2027</w:t>
            </w:r>
          </w:p>
        </w:tc>
        <w:tc>
          <w:tcPr>
            <w:tcW w:type="dxa" w:w="1587"/>
          </w:tcPr>
          <w:p>
            <w:r/>
            <w:r>
              <w:rPr>
                <w:sz w:val="19"/>
              </w:rPr>
              <w:t>18 Feb 2027</w:t>
            </w:r>
          </w:p>
        </w:tc>
        <w:tc>
          <w:tcPr>
            <w:tcW w:type="dxa" w:w="1134"/>
          </w:tcPr>
          <w:p>
            <w:r/>
            <w:r>
              <w:rPr>
                <w:sz w:val="19"/>
              </w:rPr>
              <w:t>22</w:t>
            </w:r>
          </w:p>
        </w:tc>
      </w:tr>
      <w:tr>
        <w:tc>
          <w:tcPr>
            <w:tcW w:type="dxa" w:w="1701"/>
          </w:tcPr>
          <w:p>
            <w:r/>
            <w:r>
              <w:rPr>
                <w:sz w:val="19"/>
              </w:rPr>
              <w:t>NQR-E1010</w:t>
            </w:r>
          </w:p>
        </w:tc>
        <w:tc>
          <w:tcPr>
            <w:tcW w:type="dxa" w:w="4252"/>
          </w:tcPr>
          <w:p>
            <w:r/>
            <w:r>
              <w:rPr>
                <w:sz w:val="19"/>
              </w:rPr>
              <w:t>Survey: submittal of site survey and as-found report - Al Qurayyat</w:t>
            </w:r>
          </w:p>
        </w:tc>
        <w:tc>
          <w:tcPr>
            <w:tcW w:type="dxa" w:w="1587"/>
          </w:tcPr>
          <w:p>
            <w:r/>
            <w:r>
              <w:rPr>
                <w:sz w:val="19"/>
              </w:rPr>
              <w:t>07 Sep 2028</w:t>
            </w:r>
          </w:p>
        </w:tc>
        <w:tc>
          <w:tcPr>
            <w:tcW w:type="dxa" w:w="1587"/>
          </w:tcPr>
          <w:p>
            <w:r/>
            <w:r>
              <w:rPr>
                <w:sz w:val="19"/>
              </w:rPr>
              <w:t>20 Sep 2028</w:t>
            </w:r>
          </w:p>
        </w:tc>
        <w:tc>
          <w:tcPr>
            <w:tcW w:type="dxa" w:w="1134"/>
          </w:tcPr>
          <w:p>
            <w:r/>
            <w:r>
              <w:rPr>
                <w:sz w:val="19"/>
              </w:rPr>
              <w:t>22</w:t>
            </w:r>
          </w:p>
        </w:tc>
      </w:tr>
      <w:tr>
        <w:tc>
          <w:tcPr>
            <w:tcW w:type="dxa" w:w="1701"/>
          </w:tcPr>
          <w:p>
            <w:r/>
            <w:r>
              <w:rPr>
                <w:sz w:val="19"/>
              </w:rPr>
              <w:t>NQR-E1030</w:t>
            </w:r>
          </w:p>
        </w:tc>
        <w:tc>
          <w:tcPr>
            <w:tcW w:type="dxa" w:w="4252"/>
          </w:tcPr>
          <w:p>
            <w:r/>
            <w:r>
              <w:rPr>
                <w:sz w:val="19"/>
              </w:rPr>
              <w:t>Concept design: submittal - Al Qurayyat</w:t>
            </w:r>
          </w:p>
        </w:tc>
        <w:tc>
          <w:tcPr>
            <w:tcW w:type="dxa" w:w="1587"/>
          </w:tcPr>
          <w:p>
            <w:r/>
            <w:r>
              <w:rPr>
                <w:sz w:val="19"/>
              </w:rPr>
              <w:t>21 Sep 2028</w:t>
            </w:r>
          </w:p>
        </w:tc>
        <w:tc>
          <w:tcPr>
            <w:tcW w:type="dxa" w:w="1587"/>
          </w:tcPr>
          <w:p>
            <w:r/>
            <w:r>
              <w:rPr>
                <w:sz w:val="19"/>
              </w:rPr>
              <w:t>27 Sep 2028</w:t>
            </w:r>
          </w:p>
        </w:tc>
        <w:tc>
          <w:tcPr>
            <w:tcW w:type="dxa" w:w="1134"/>
          </w:tcPr>
          <w:p>
            <w:r/>
            <w:r>
              <w:rPr>
                <w:sz w:val="19"/>
              </w:rPr>
              <w:t>22</w:t>
            </w:r>
          </w:p>
        </w:tc>
      </w:tr>
      <w:tr>
        <w:tc>
          <w:tcPr>
            <w:tcW w:type="dxa" w:w="1701"/>
          </w:tcPr>
          <w:p>
            <w:r/>
            <w:r>
              <w:rPr>
                <w:sz w:val="19"/>
              </w:rPr>
              <w:t>NQR-E1050</w:t>
            </w:r>
          </w:p>
        </w:tc>
        <w:tc>
          <w:tcPr>
            <w:tcW w:type="dxa" w:w="4252"/>
          </w:tcPr>
          <w:p>
            <w:r/>
            <w:r>
              <w:rPr>
                <w:sz w:val="19"/>
              </w:rPr>
              <w:t>Preliminary design: submittal - Al Qurayyat</w:t>
            </w:r>
          </w:p>
        </w:tc>
        <w:tc>
          <w:tcPr>
            <w:tcW w:type="dxa" w:w="1587"/>
          </w:tcPr>
          <w:p>
            <w:r/>
            <w:r>
              <w:rPr>
                <w:sz w:val="19"/>
              </w:rPr>
              <w:t>28 Sep 2028</w:t>
            </w:r>
          </w:p>
        </w:tc>
        <w:tc>
          <w:tcPr>
            <w:tcW w:type="dxa" w:w="1587"/>
          </w:tcPr>
          <w:p>
            <w:r/>
            <w:r>
              <w:rPr>
                <w:sz w:val="19"/>
              </w:rPr>
              <w:t>09 Oct 2028</w:t>
            </w:r>
          </w:p>
        </w:tc>
        <w:tc>
          <w:tcPr>
            <w:tcW w:type="dxa" w:w="1134"/>
          </w:tcPr>
          <w:p>
            <w:r/>
            <w:r>
              <w:rPr>
                <w:sz w:val="19"/>
              </w:rPr>
              <w:t>22</w:t>
            </w:r>
          </w:p>
        </w:tc>
      </w:tr>
      <w:tr>
        <w:tc>
          <w:tcPr>
            <w:tcW w:type="dxa" w:w="1701"/>
          </w:tcPr>
          <w:p>
            <w:r/>
            <w:r>
              <w:rPr>
                <w:sz w:val="19"/>
              </w:rPr>
              <w:t>NQR-E1060</w:t>
            </w:r>
          </w:p>
        </w:tc>
        <w:tc>
          <w:tcPr>
            <w:tcW w:type="dxa" w:w="4252"/>
          </w:tcPr>
          <w:p>
            <w:r/>
            <w:r>
              <w:rPr>
                <w:sz w:val="19"/>
              </w:rPr>
              <w:t>Preliminary design: SAR review and approval - Al Qurayyat</w:t>
            </w:r>
          </w:p>
        </w:tc>
        <w:tc>
          <w:tcPr>
            <w:tcW w:type="dxa" w:w="1587"/>
          </w:tcPr>
          <w:p>
            <w:r/>
            <w:r>
              <w:rPr>
                <w:sz w:val="19"/>
              </w:rPr>
              <w:t>10 Oct 2028</w:t>
            </w:r>
          </w:p>
        </w:tc>
        <w:tc>
          <w:tcPr>
            <w:tcW w:type="dxa" w:w="1587"/>
          </w:tcPr>
          <w:p>
            <w:r/>
            <w:r>
              <w:rPr>
                <w:sz w:val="19"/>
              </w:rPr>
              <w:t>30 Oct 2028</w:t>
            </w:r>
          </w:p>
        </w:tc>
        <w:tc>
          <w:tcPr>
            <w:tcW w:type="dxa" w:w="1134"/>
          </w:tcPr>
          <w:p>
            <w:r/>
            <w:r>
              <w:rPr>
                <w:sz w:val="19"/>
              </w:rPr>
              <w:t>39</w:t>
            </w:r>
          </w:p>
        </w:tc>
      </w:tr>
      <w:tr>
        <w:tc>
          <w:tcPr>
            <w:tcW w:type="dxa" w:w="1701"/>
          </w:tcPr>
          <w:p>
            <w:r/>
            <w:r>
              <w:rPr>
                <w:sz w:val="19"/>
              </w:rPr>
              <w:t>NQR-E1070</w:t>
            </w:r>
          </w:p>
        </w:tc>
        <w:tc>
          <w:tcPr>
            <w:tcW w:type="dxa" w:w="4252"/>
          </w:tcPr>
          <w:p>
            <w:r/>
            <w:r>
              <w:rPr>
                <w:sz w:val="19"/>
              </w:rPr>
              <w:t>Detailed design: submittal (drawings, BOQ, data sheets) - Al Qurayyat</w:t>
            </w:r>
          </w:p>
        </w:tc>
        <w:tc>
          <w:tcPr>
            <w:tcW w:type="dxa" w:w="1587"/>
          </w:tcPr>
          <w:p>
            <w:r/>
            <w:r>
              <w:rPr>
                <w:sz w:val="19"/>
              </w:rPr>
              <w:t>10 Oct 2028</w:t>
            </w:r>
          </w:p>
        </w:tc>
        <w:tc>
          <w:tcPr>
            <w:tcW w:type="dxa" w:w="1587"/>
          </w:tcPr>
          <w:p>
            <w:r/>
            <w:r>
              <w:rPr>
                <w:sz w:val="19"/>
              </w:rPr>
              <w:t>25 Oct 2028</w:t>
            </w:r>
          </w:p>
        </w:tc>
        <w:tc>
          <w:tcPr>
            <w:tcW w:type="dxa" w:w="1134"/>
          </w:tcPr>
          <w:p>
            <w:r/>
            <w:r>
              <w:rPr>
                <w:sz w:val="19"/>
              </w:rPr>
              <w:t>22</w:t>
            </w:r>
          </w:p>
        </w:tc>
      </w:tr>
      <w:tr>
        <w:tc>
          <w:tcPr>
            <w:tcW w:type="dxa" w:w="1701"/>
          </w:tcPr>
          <w:p>
            <w:r/>
            <w:r>
              <w:rPr>
                <w:sz w:val="19"/>
              </w:rPr>
              <w:t>NQR-E1110</w:t>
            </w:r>
          </w:p>
        </w:tc>
        <w:tc>
          <w:tcPr>
            <w:tcW w:type="dxa" w:w="4252"/>
          </w:tcPr>
          <w:p>
            <w:r/>
            <w:r>
              <w:rPr>
                <w:sz w:val="19"/>
              </w:rPr>
              <w:t>HCIS Stage 3 and 4 documents: preparation - Al Qurayyat</w:t>
            </w:r>
          </w:p>
        </w:tc>
        <w:tc>
          <w:tcPr>
            <w:tcW w:type="dxa" w:w="1587"/>
          </w:tcPr>
          <w:p>
            <w:r/>
            <w:r>
              <w:rPr>
                <w:sz w:val="19"/>
              </w:rPr>
              <w:t>17 Oct 2028</w:t>
            </w:r>
          </w:p>
        </w:tc>
        <w:tc>
          <w:tcPr>
            <w:tcW w:type="dxa" w:w="1587"/>
          </w:tcPr>
          <w:p>
            <w:r/>
            <w:r>
              <w:rPr>
                <w:sz w:val="19"/>
              </w:rPr>
              <w:t>01 Nov 2028</w:t>
            </w:r>
          </w:p>
        </w:tc>
        <w:tc>
          <w:tcPr>
            <w:tcW w:type="dxa" w:w="1134"/>
          </w:tcPr>
          <w:p>
            <w:r/>
            <w:r>
              <w:rPr>
                <w:sz w:val="19"/>
              </w:rPr>
              <w:t>22</w:t>
            </w:r>
          </w:p>
        </w:tc>
      </w:tr>
      <w:tr>
        <w:tc>
          <w:tcPr>
            <w:tcW w:type="dxa" w:w="1701"/>
          </w:tcPr>
          <w:p>
            <w:r/>
            <w:r>
              <w:rPr>
                <w:sz w:val="19"/>
              </w:rPr>
              <w:t>NQR-E1080</w:t>
            </w:r>
          </w:p>
        </w:tc>
        <w:tc>
          <w:tcPr>
            <w:tcW w:type="dxa" w:w="4252"/>
          </w:tcPr>
          <w:p>
            <w:r/>
            <w:r>
              <w:rPr>
                <w:sz w:val="19"/>
              </w:rPr>
              <w:t>Detailed design: SAR review and approval - Al Qurayyat</w:t>
            </w:r>
          </w:p>
        </w:tc>
        <w:tc>
          <w:tcPr>
            <w:tcW w:type="dxa" w:w="1587"/>
          </w:tcPr>
          <w:p>
            <w:r/>
            <w:r>
              <w:rPr>
                <w:sz w:val="19"/>
              </w:rPr>
              <w:t>26 Oct 2028</w:t>
            </w:r>
          </w:p>
        </w:tc>
        <w:tc>
          <w:tcPr>
            <w:tcW w:type="dxa" w:w="1587"/>
          </w:tcPr>
          <w:p>
            <w:r/>
            <w:r>
              <w:rPr>
                <w:sz w:val="19"/>
              </w:rPr>
              <w:t>15 Nov 2028</w:t>
            </w:r>
          </w:p>
        </w:tc>
        <w:tc>
          <w:tcPr>
            <w:tcW w:type="dxa" w:w="1134"/>
          </w:tcPr>
          <w:p>
            <w:r/>
            <w:r>
              <w:rPr>
                <w:sz w:val="19"/>
              </w:rPr>
              <w:t>27</w:t>
            </w:r>
          </w:p>
        </w:tc>
      </w:tr>
      <w:tr>
        <w:tc>
          <w:tcPr>
            <w:tcW w:type="dxa" w:w="1701"/>
          </w:tcPr>
          <w:p>
            <w:r/>
            <w:r>
              <w:rPr>
                <w:sz w:val="19"/>
              </w:rPr>
              <w:t>NQR-E1090</w:t>
            </w:r>
          </w:p>
        </w:tc>
        <w:tc>
          <w:tcPr>
            <w:tcW w:type="dxa" w:w="4252"/>
          </w:tcPr>
          <w:p>
            <w:r/>
            <w:r>
              <w:rPr>
                <w:sz w:val="19"/>
              </w:rPr>
              <w:t>IFC and shop drawings: submittal - Al Qurayyat</w:t>
            </w:r>
          </w:p>
        </w:tc>
        <w:tc>
          <w:tcPr>
            <w:tcW w:type="dxa" w:w="1587"/>
          </w:tcPr>
          <w:p>
            <w:r/>
            <w:r>
              <w:rPr>
                <w:sz w:val="19"/>
              </w:rPr>
              <w:t>26 Oct 2028</w:t>
            </w:r>
          </w:p>
        </w:tc>
        <w:tc>
          <w:tcPr>
            <w:tcW w:type="dxa" w:w="1587"/>
          </w:tcPr>
          <w:p>
            <w:r/>
            <w:r>
              <w:rPr>
                <w:sz w:val="19"/>
              </w:rPr>
              <w:t>01 Nov 2028</w:t>
            </w:r>
          </w:p>
        </w:tc>
        <w:tc>
          <w:tcPr>
            <w:tcW w:type="dxa" w:w="1134"/>
          </w:tcPr>
          <w:p>
            <w:r/>
            <w:r>
              <w:rPr>
                <w:sz w:val="19"/>
              </w:rPr>
              <w:t>22</w:t>
            </w:r>
          </w:p>
        </w:tc>
      </w:tr>
      <w:tr>
        <w:tc>
          <w:tcPr>
            <w:tcW w:type="dxa" w:w="1701"/>
          </w:tcPr>
          <w:p>
            <w:r/>
            <w:r>
              <w:rPr>
                <w:sz w:val="19"/>
              </w:rPr>
              <w:t>NQR-E1100</w:t>
            </w:r>
          </w:p>
        </w:tc>
        <w:tc>
          <w:tcPr>
            <w:tcW w:type="dxa" w:w="4252"/>
          </w:tcPr>
          <w:p>
            <w:r/>
            <w:r>
              <w:rPr>
                <w:sz w:val="19"/>
              </w:rPr>
              <w:t>IFC and shop drawings: SAR approval and release - Al Qurayyat</w:t>
            </w:r>
          </w:p>
        </w:tc>
        <w:tc>
          <w:tcPr>
            <w:tcW w:type="dxa" w:w="1587"/>
          </w:tcPr>
          <w:p>
            <w:r/>
            <w:r>
              <w:rPr>
                <w:sz w:val="19"/>
              </w:rPr>
              <w:t>02 Nov 2028</w:t>
            </w:r>
          </w:p>
        </w:tc>
        <w:tc>
          <w:tcPr>
            <w:tcW w:type="dxa" w:w="1587"/>
          </w:tcPr>
          <w:p>
            <w:r/>
            <w:r>
              <w:rPr>
                <w:sz w:val="19"/>
              </w:rPr>
              <w:t>22 Nov 2028</w:t>
            </w:r>
          </w:p>
        </w:tc>
        <w:tc>
          <w:tcPr>
            <w:tcW w:type="dxa" w:w="1134"/>
          </w:tcPr>
          <w:p>
            <w:r/>
            <w:r>
              <w:rPr>
                <w:sz w:val="19"/>
              </w:rPr>
              <w:t>22</w:t>
            </w:r>
          </w:p>
        </w:tc>
      </w:tr>
      <w:tr>
        <w:tc>
          <w:tcPr>
            <w:tcW w:type="dxa" w:w="1701"/>
          </w:tcPr>
          <w:p>
            <w:r/>
            <w:r>
              <w:rPr>
                <w:sz w:val="19"/>
              </w:rPr>
              <w:t>NQR-E1120</w:t>
            </w:r>
          </w:p>
        </w:tc>
        <w:tc>
          <w:tcPr>
            <w:tcW w:type="dxa" w:w="4252"/>
          </w:tcPr>
          <w:p>
            <w:r/>
            <w:r>
              <w:rPr>
                <w:sz w:val="19"/>
              </w:rPr>
              <w:t>HCIS Stage 3 and 4 documents: SAR final review and HCIS submission - Al Qurayyat</w:t>
            </w:r>
          </w:p>
        </w:tc>
        <w:tc>
          <w:tcPr>
            <w:tcW w:type="dxa" w:w="1587"/>
          </w:tcPr>
          <w:p>
            <w:r/>
            <w:r>
              <w:rPr>
                <w:sz w:val="19"/>
              </w:rPr>
              <w:t>02 Nov 2028</w:t>
            </w:r>
          </w:p>
        </w:tc>
        <w:tc>
          <w:tcPr>
            <w:tcW w:type="dxa" w:w="1587"/>
          </w:tcPr>
          <w:p>
            <w:r/>
            <w:r>
              <w:rPr>
                <w:sz w:val="19"/>
              </w:rPr>
              <w:t>22 Nov 2028</w:t>
            </w:r>
          </w:p>
        </w:tc>
        <w:tc>
          <w:tcPr>
            <w:tcW w:type="dxa" w:w="1134"/>
          </w:tcPr>
          <w:p>
            <w:r/>
            <w:r>
              <w:rPr>
                <w:sz w:val="19"/>
              </w:rPr>
              <w:t>22</w:t>
            </w:r>
          </w:p>
        </w:tc>
      </w:tr>
      <w:tr>
        <w:tc>
          <w:tcPr>
            <w:tcW w:type="dxa" w:w="1701"/>
          </w:tcPr>
          <w:p>
            <w:r/>
            <w:r>
              <w:rPr>
                <w:sz w:val="19"/>
              </w:rPr>
              <w:t>NQR-P1010</w:t>
            </w:r>
          </w:p>
        </w:tc>
        <w:tc>
          <w:tcPr>
            <w:tcW w:type="dxa" w:w="4252"/>
          </w:tcPr>
          <w:p>
            <w:r/>
            <w:r>
              <w:rPr>
                <w:sz w:val="19"/>
              </w:rPr>
              <w:t>Manufacture CCTV cameras and analytics - Al Qurayyat</w:t>
            </w:r>
          </w:p>
        </w:tc>
        <w:tc>
          <w:tcPr>
            <w:tcW w:type="dxa" w:w="1587"/>
          </w:tcPr>
          <w:p>
            <w:r/>
            <w:r>
              <w:rPr>
                <w:sz w:val="19"/>
              </w:rPr>
              <w:t>23 Nov 2028</w:t>
            </w:r>
          </w:p>
        </w:tc>
        <w:tc>
          <w:tcPr>
            <w:tcW w:type="dxa" w:w="1587"/>
          </w:tcPr>
          <w:p>
            <w:r/>
            <w:r>
              <w:rPr>
                <w:sz w:val="19"/>
              </w:rPr>
              <w:t>08 Mar 2029</w:t>
            </w:r>
          </w:p>
        </w:tc>
        <w:tc>
          <w:tcPr>
            <w:tcW w:type="dxa" w:w="1134"/>
          </w:tcPr>
          <w:p>
            <w:r/>
            <w:r>
              <w:rPr>
                <w:sz w:val="19"/>
              </w:rPr>
              <w:t>22</w:t>
            </w:r>
          </w:p>
        </w:tc>
      </w:tr>
      <w:tr>
        <w:tc>
          <w:tcPr>
            <w:tcW w:type="dxa" w:w="1701"/>
          </w:tcPr>
          <w:p>
            <w:r/>
            <w:r>
              <w:rPr>
                <w:sz w:val="19"/>
              </w:rPr>
              <w:t>NQR-P1020</w:t>
            </w:r>
          </w:p>
        </w:tc>
        <w:tc>
          <w:tcPr>
            <w:tcW w:type="dxa" w:w="4252"/>
          </w:tcPr>
          <w:p>
            <w:r/>
            <w:r>
              <w:rPr>
                <w:sz w:val="19"/>
              </w:rPr>
              <w:t>Manufacture video management servers, storage and video wall - Al Qurayyat</w:t>
            </w:r>
          </w:p>
        </w:tc>
        <w:tc>
          <w:tcPr>
            <w:tcW w:type="dxa" w:w="1587"/>
          </w:tcPr>
          <w:p>
            <w:r/>
            <w:r>
              <w:rPr>
                <w:sz w:val="19"/>
              </w:rPr>
              <w:t>23 Nov 2028</w:t>
            </w:r>
          </w:p>
        </w:tc>
        <w:tc>
          <w:tcPr>
            <w:tcW w:type="dxa" w:w="1587"/>
          </w:tcPr>
          <w:p>
            <w:r/>
            <w:r>
              <w:rPr>
                <w:sz w:val="19"/>
              </w:rPr>
              <w:t>08 Mar 2029</w:t>
            </w:r>
          </w:p>
        </w:tc>
        <w:tc>
          <w:tcPr>
            <w:tcW w:type="dxa" w:w="1134"/>
          </w:tcPr>
          <w:p>
            <w:r/>
            <w:r>
              <w:rPr>
                <w:sz w:val="19"/>
              </w:rPr>
              <w:t>22</w:t>
            </w:r>
          </w:p>
        </w:tc>
      </w:tr>
      <w:tr>
        <w:tc>
          <w:tcPr>
            <w:tcW w:type="dxa" w:w="1701"/>
          </w:tcPr>
          <w:p>
            <w:r/>
            <w:r>
              <w:rPr>
                <w:sz w:val="19"/>
              </w:rPr>
              <w:t>NQR-P1030</w:t>
            </w:r>
          </w:p>
        </w:tc>
        <w:tc>
          <w:tcPr>
            <w:tcW w:type="dxa" w:w="4252"/>
          </w:tcPr>
          <w:p>
            <w:r/>
            <w:r>
              <w:rPr>
                <w:sz w:val="19"/>
              </w:rPr>
              <w:t>Manufacture access control and intercom equipment - Al Qurayyat</w:t>
            </w:r>
          </w:p>
        </w:tc>
        <w:tc>
          <w:tcPr>
            <w:tcW w:type="dxa" w:w="1587"/>
          </w:tcPr>
          <w:p>
            <w:r/>
            <w:r>
              <w:rPr>
                <w:sz w:val="19"/>
              </w:rPr>
              <w:t>23 Nov 2028</w:t>
            </w:r>
          </w:p>
        </w:tc>
        <w:tc>
          <w:tcPr>
            <w:tcW w:type="dxa" w:w="1587"/>
          </w:tcPr>
          <w:p>
            <w:r/>
            <w:r>
              <w:rPr>
                <w:sz w:val="19"/>
              </w:rPr>
              <w:t>08 Mar 2029</w:t>
            </w:r>
          </w:p>
        </w:tc>
        <w:tc>
          <w:tcPr>
            <w:tcW w:type="dxa" w:w="1134"/>
          </w:tcPr>
          <w:p>
            <w:r/>
            <w:r>
              <w:rPr>
                <w:sz w:val="19"/>
              </w:rPr>
              <w:t>22</w:t>
            </w:r>
          </w:p>
        </w:tc>
      </w:tr>
      <w:tr>
        <w:tc>
          <w:tcPr>
            <w:tcW w:type="dxa" w:w="1701"/>
          </w:tcPr>
          <w:p>
            <w:r/>
            <w:r>
              <w:rPr>
                <w:sz w:val="19"/>
              </w:rPr>
              <w:t>NQR-P1040</w:t>
            </w:r>
          </w:p>
        </w:tc>
        <w:tc>
          <w:tcPr>
            <w:tcW w:type="dxa" w:w="4252"/>
          </w:tcPr>
          <w:p>
            <w:r/>
            <w:r>
              <w:rPr>
                <w:sz w:val="19"/>
              </w:rPr>
              <w:t>Manufacture UPS, network switches and field cabinets - Al Qurayyat</w:t>
            </w:r>
          </w:p>
        </w:tc>
        <w:tc>
          <w:tcPr>
            <w:tcW w:type="dxa" w:w="1587"/>
          </w:tcPr>
          <w:p>
            <w:r/>
            <w:r>
              <w:rPr>
                <w:sz w:val="19"/>
              </w:rPr>
              <w:t>23 Nov 2028</w:t>
            </w:r>
          </w:p>
        </w:tc>
        <w:tc>
          <w:tcPr>
            <w:tcW w:type="dxa" w:w="1587"/>
          </w:tcPr>
          <w:p>
            <w:r/>
            <w:r>
              <w:rPr>
                <w:sz w:val="19"/>
              </w:rPr>
              <w:t>08 Mar 2029</w:t>
            </w:r>
          </w:p>
        </w:tc>
        <w:tc>
          <w:tcPr>
            <w:tcW w:type="dxa" w:w="1134"/>
          </w:tcPr>
          <w:p>
            <w:r/>
            <w:r>
              <w:rPr>
                <w:sz w:val="19"/>
              </w:rPr>
              <w:t>22</w:t>
            </w:r>
          </w:p>
        </w:tc>
      </w:tr>
      <w:tr>
        <w:tc>
          <w:tcPr>
            <w:tcW w:type="dxa" w:w="1701"/>
          </w:tcPr>
          <w:p>
            <w:r/>
            <w:r>
              <w:rPr>
                <w:sz w:val="19"/>
              </w:rPr>
              <w:t>NQR-P1050</w:t>
            </w:r>
          </w:p>
        </w:tc>
        <w:tc>
          <w:tcPr>
            <w:tcW w:type="dxa" w:w="4252"/>
          </w:tcPr>
          <w:p>
            <w:r/>
            <w:r>
              <w:rPr>
                <w:sz w:val="19"/>
              </w:rPr>
              <w:t>Factory acceptance test at vendor premises - Al Qurayyat</w:t>
            </w:r>
          </w:p>
        </w:tc>
        <w:tc>
          <w:tcPr>
            <w:tcW w:type="dxa" w:w="1587"/>
          </w:tcPr>
          <w:p>
            <w:r/>
            <w:r>
              <w:rPr>
                <w:sz w:val="19"/>
              </w:rPr>
              <w:t>11 Mar 2029</w:t>
            </w:r>
          </w:p>
        </w:tc>
        <w:tc>
          <w:tcPr>
            <w:tcW w:type="dxa" w:w="1587"/>
          </w:tcPr>
          <w:p>
            <w:r/>
            <w:r>
              <w:rPr>
                <w:sz w:val="19"/>
              </w:rPr>
              <w:t>22 Mar 2029</w:t>
            </w:r>
          </w:p>
        </w:tc>
        <w:tc>
          <w:tcPr>
            <w:tcW w:type="dxa" w:w="1134"/>
          </w:tcPr>
          <w:p>
            <w:r/>
            <w:r>
              <w:rPr>
                <w:sz w:val="19"/>
              </w:rPr>
              <w:t>22</w:t>
            </w:r>
          </w:p>
        </w:tc>
      </w:tr>
      <w:tr>
        <w:tc>
          <w:tcPr>
            <w:tcW w:type="dxa" w:w="1701"/>
          </w:tcPr>
          <w:p>
            <w:r/>
            <w:r>
              <w:rPr>
                <w:sz w:val="19"/>
              </w:rPr>
              <w:t>NQR-P1060</w:t>
            </w:r>
          </w:p>
        </w:tc>
        <w:tc>
          <w:tcPr>
            <w:tcW w:type="dxa" w:w="4252"/>
          </w:tcPr>
          <w:p>
            <w:r/>
            <w:r>
              <w:rPr>
                <w:sz w:val="19"/>
              </w:rPr>
              <w:t>Shipping and customs clearance - Al Qurayyat</w:t>
            </w:r>
          </w:p>
        </w:tc>
        <w:tc>
          <w:tcPr>
            <w:tcW w:type="dxa" w:w="1587"/>
          </w:tcPr>
          <w:p>
            <w:r/>
            <w:r>
              <w:rPr>
                <w:sz w:val="19"/>
              </w:rPr>
              <w:t>25 Mar 2029</w:t>
            </w:r>
          </w:p>
        </w:tc>
        <w:tc>
          <w:tcPr>
            <w:tcW w:type="dxa" w:w="1587"/>
          </w:tcPr>
          <w:p>
            <w:r/>
            <w:r>
              <w:rPr>
                <w:sz w:val="19"/>
              </w:rPr>
              <w:t>03 May 2029</w:t>
            </w:r>
          </w:p>
        </w:tc>
        <w:tc>
          <w:tcPr>
            <w:tcW w:type="dxa" w:w="1134"/>
          </w:tcPr>
          <w:p>
            <w:r/>
            <w:r>
              <w:rPr>
                <w:sz w:val="19"/>
              </w:rPr>
              <w:t>22</w:t>
            </w:r>
          </w:p>
        </w:tc>
      </w:tr>
    </w:tbl>
    <w:p/>
    <w:p>
      <w:pPr>
        <w:pStyle w:val="Heading1"/>
      </w:pPr>
      <w:r>
        <w:t>9. Resources and cost loading</w:t>
      </w:r>
    </w:p>
    <w:p>
      <w:r>
        <w:rPr>
          <w:b w:val="0"/>
        </w:rPr>
        <w:t>Every task carries two resources. Milestones carry none.</w:t>
      </w:r>
    </w:p>
    <w:tbl>
      <w:tblPr>
        <w:tblStyle w:val="TableGrid"/>
        <w:tblW w:type="auto" w:w="0"/>
        <w:tblLook w:firstColumn="1" w:firstRow="1" w:lastColumn="0" w:lastRow="0" w:noHBand="0" w:noVBand="1" w:val="04A0"/>
      </w:tblPr>
      <w:tblGrid>
        <w:gridCol w:w="3249"/>
        <w:gridCol w:w="3249"/>
        <w:gridCol w:w="3249"/>
      </w:tblGrid>
      <w:tr>
        <w:tc>
          <w:tcPr>
            <w:tcW w:type="dxa" w:w="1701"/>
            <w:shd w:val="clear" w:fill="00778B"/>
          </w:tcPr>
          <w:p>
            <w:r/>
            <w:r>
              <w:rPr>
                <w:b/>
                <w:color w:val="FFFFFF"/>
                <w:sz w:val="19"/>
              </w:rPr>
              <w:t>Resource</w:t>
            </w:r>
          </w:p>
        </w:tc>
        <w:tc>
          <w:tcPr>
            <w:tcW w:type="dxa" w:w="1701"/>
            <w:shd w:val="clear" w:fill="00778B"/>
          </w:tcPr>
          <w:p>
            <w:r/>
            <w:r>
              <w:rPr>
                <w:b/>
                <w:color w:val="FFFFFF"/>
                <w:sz w:val="19"/>
              </w:rPr>
              <w:t>Type</w:t>
            </w:r>
          </w:p>
        </w:tc>
        <w:tc>
          <w:tcPr>
            <w:tcW w:type="dxa" w:w="5669"/>
            <w:shd w:val="clear" w:fill="00778B"/>
          </w:tcPr>
          <w:p>
            <w:r/>
            <w:r>
              <w:rPr>
                <w:b/>
                <w:color w:val="FFFFFF"/>
                <w:sz w:val="19"/>
              </w:rPr>
              <w:t>Use</w:t>
            </w:r>
          </w:p>
        </w:tc>
      </w:tr>
      <w:tr>
        <w:tc>
          <w:tcPr>
            <w:tcW w:type="dxa" w:w="1701"/>
          </w:tcPr>
          <w:p>
            <w:r/>
            <w:r>
              <w:rPr>
                <w:sz w:val="19"/>
              </w:rPr>
              <w:t>COST-SAR</w:t>
            </w:r>
          </w:p>
        </w:tc>
        <w:tc>
          <w:tcPr>
            <w:tcW w:type="dxa" w:w="1701"/>
          </w:tcPr>
          <w:p>
            <w:r/>
            <w:r>
              <w:rPr>
                <w:sz w:val="19"/>
              </w:rPr>
              <w:t>Material</w:t>
            </w:r>
          </w:p>
        </w:tc>
        <w:tc>
          <w:tcPr>
            <w:tcW w:type="dxa" w:w="5669"/>
          </w:tcPr>
          <w:p>
            <w:r/>
            <w:r>
              <w:rPr>
                <w:sz w:val="19"/>
              </w:rPr>
              <w:t>Contract cost quantity in SAR. Price 0. Total 62,000,000 SAR.</w:t>
            </w:r>
          </w:p>
        </w:tc>
      </w:tr>
      <w:tr>
        <w:tc>
          <w:tcPr>
            <w:tcW w:type="dxa" w:w="1701"/>
          </w:tcPr>
          <w:p>
            <w:r/>
            <w:r>
              <w:rPr>
                <w:sz w:val="19"/>
              </w:rPr>
              <w:t>PROG-WT</w:t>
            </w:r>
          </w:p>
        </w:tc>
        <w:tc>
          <w:tcPr>
            <w:tcW w:type="dxa" w:w="1701"/>
          </w:tcPr>
          <w:p>
            <w:r/>
            <w:r>
              <w:rPr>
                <w:sz w:val="19"/>
              </w:rPr>
              <w:t>Non-labor</w:t>
            </w:r>
          </w:p>
        </w:tc>
        <w:tc>
          <w:tcPr>
            <w:tcW w:type="dxa" w:w="5669"/>
          </w:tcPr>
          <w:p>
            <w:r/>
            <w:r>
              <w:rPr>
                <w:sz w:val="19"/>
              </w:rPr>
              <w:t>Progress value in SAR (progress share x 62,000,000). Price 1, so it carries the budget cost. All activities use Physical % complete.</w:t>
            </w:r>
          </w:p>
        </w:tc>
      </w:tr>
    </w:tbl>
    <w:p/>
    <w:p>
      <w:r>
        <w:rPr>
          <w:b w:val="0"/>
        </w:rPr>
        <w:t>Because PROG-WT has price 1 and COST-SAR has price 0, the P6 budget, earned value, CPI and SPI are all in SAR on the fair EPC progress distribution. To view the contract payment-condition cost instead, swap the two prices (COST-SAR 1, PROG-WT 0).</w:t>
      </w:r>
    </w:p>
    <w:p>
      <w:r>
        <w:rPr>
          <w:b w:val="0"/>
        </w:rPr>
        <w:t>Cost comes from the contract: the Annex 3 station price multiplied by the clause 15 payment milestone, spread to activities by distribution keys. Mobilization (MS1, 20% of the total price) sits at project level. The activity-by-activity mapping is in SAR_BOQ_Cost_Mapping.xlsx. Progress is a fair EPC distribution (Engineering 12, Procurement 40, Construction 33, Commissioning and handover 15 per station), weighted by each station's price share, plus 4% for project-level activities.</w:t>
      </w:r>
    </w:p>
    <w:tbl>
      <w:tblPr>
        <w:tblStyle w:val="TableGrid"/>
        <w:tblW w:type="auto" w:w="0"/>
        <w:tblLook w:firstColumn="1" w:firstRow="1" w:lastColumn="0" w:lastRow="0" w:noHBand="0" w:noVBand="1" w:val="04A0"/>
      </w:tblPr>
      <w:tblGrid>
        <w:gridCol w:w="3249"/>
        <w:gridCol w:w="3249"/>
        <w:gridCol w:w="3249"/>
      </w:tblGrid>
      <w:tr>
        <w:tc>
          <w:tcPr>
            <w:tcW w:type="dxa" w:w="1701"/>
            <w:shd w:val="clear" w:fill="00778B"/>
          </w:tcPr>
          <w:p>
            <w:r/>
            <w:r>
              <w:rPr>
                <w:b/>
                <w:color w:val="FFFFFF"/>
                <w:sz w:val="19"/>
              </w:rPr>
              <w:t>Milestone</w:t>
            </w:r>
          </w:p>
        </w:tc>
        <w:tc>
          <w:tcPr>
            <w:tcW w:type="dxa" w:w="5102"/>
            <w:shd w:val="clear" w:fill="00778B"/>
          </w:tcPr>
          <w:p>
            <w:r/>
            <w:r>
              <w:rPr>
                <w:b/>
                <w:color w:val="FFFFFF"/>
                <w:sz w:val="19"/>
              </w:rPr>
              <w:t>Description</w:t>
            </w:r>
          </w:p>
        </w:tc>
        <w:tc>
          <w:tcPr>
            <w:tcW w:type="dxa" w:w="1701"/>
            <w:shd w:val="clear" w:fill="00778B"/>
          </w:tcPr>
          <w:p>
            <w:r/>
            <w:r>
              <w:rPr>
                <w:b/>
                <w:color w:val="FFFFFF"/>
                <w:sz w:val="19"/>
              </w:rPr>
              <w:t>Share of price</w:t>
            </w:r>
          </w:p>
        </w:tc>
      </w:tr>
      <w:tr>
        <w:tc>
          <w:tcPr>
            <w:tcW w:type="dxa" w:w="1701"/>
          </w:tcPr>
          <w:p>
            <w:r/>
            <w:r>
              <w:rPr>
                <w:sz w:val="19"/>
              </w:rPr>
              <w:t>MS1</w:t>
            </w:r>
          </w:p>
        </w:tc>
        <w:tc>
          <w:tcPr>
            <w:tcW w:type="dxa" w:w="5102"/>
          </w:tcPr>
          <w:p>
            <w:r/>
            <w:r>
              <w:rPr>
                <w:sz w:val="19"/>
              </w:rPr>
              <w:t>Mobilization</w:t>
            </w:r>
          </w:p>
        </w:tc>
        <w:tc>
          <w:tcPr>
            <w:tcW w:type="dxa" w:w="1701"/>
          </w:tcPr>
          <w:p>
            <w:r/>
            <w:r>
              <w:rPr>
                <w:sz w:val="19"/>
              </w:rPr>
              <w:t>20%</w:t>
            </w:r>
          </w:p>
        </w:tc>
      </w:tr>
      <w:tr>
        <w:tc>
          <w:tcPr>
            <w:tcW w:type="dxa" w:w="1701"/>
          </w:tcPr>
          <w:p>
            <w:r/>
            <w:r>
              <w:rPr>
                <w:sz w:val="19"/>
              </w:rPr>
              <w:t>MS2</w:t>
            </w:r>
          </w:p>
        </w:tc>
        <w:tc>
          <w:tcPr>
            <w:tcW w:type="dxa" w:w="5102"/>
          </w:tcPr>
          <w:p>
            <w:r/>
            <w:r>
              <w:rPr>
                <w:sz w:val="19"/>
              </w:rPr>
              <w:t>Engineering submittal</w:t>
            </w:r>
          </w:p>
        </w:tc>
        <w:tc>
          <w:tcPr>
            <w:tcW w:type="dxa" w:w="1701"/>
          </w:tcPr>
          <w:p>
            <w:r/>
            <w:r>
              <w:rPr>
                <w:sz w:val="19"/>
              </w:rPr>
              <w:t>10%</w:t>
            </w:r>
          </w:p>
        </w:tc>
      </w:tr>
      <w:tr>
        <w:tc>
          <w:tcPr>
            <w:tcW w:type="dxa" w:w="1701"/>
          </w:tcPr>
          <w:p>
            <w:r/>
            <w:r>
              <w:rPr>
                <w:sz w:val="19"/>
              </w:rPr>
              <w:t>MS3</w:t>
            </w:r>
          </w:p>
        </w:tc>
        <w:tc>
          <w:tcPr>
            <w:tcW w:type="dxa" w:w="5102"/>
          </w:tcPr>
          <w:p>
            <w:r/>
            <w:r>
              <w:rPr>
                <w:sz w:val="19"/>
              </w:rPr>
              <w:t>SAR approval of engineering</w:t>
            </w:r>
          </w:p>
        </w:tc>
        <w:tc>
          <w:tcPr>
            <w:tcW w:type="dxa" w:w="1701"/>
          </w:tcPr>
          <w:p>
            <w:r/>
            <w:r>
              <w:rPr>
                <w:sz w:val="19"/>
              </w:rPr>
              <w:t>10%</w:t>
            </w:r>
          </w:p>
        </w:tc>
      </w:tr>
      <w:tr>
        <w:tc>
          <w:tcPr>
            <w:tcW w:type="dxa" w:w="1701"/>
          </w:tcPr>
          <w:p>
            <w:r/>
            <w:r>
              <w:rPr>
                <w:sz w:val="19"/>
              </w:rPr>
              <w:t>MS4</w:t>
            </w:r>
          </w:p>
        </w:tc>
        <w:tc>
          <w:tcPr>
            <w:tcW w:type="dxa" w:w="5102"/>
          </w:tcPr>
          <w:p>
            <w:r/>
            <w:r>
              <w:rPr>
                <w:sz w:val="19"/>
              </w:rPr>
              <w:t>Material delivery</w:t>
            </w:r>
          </w:p>
        </w:tc>
        <w:tc>
          <w:tcPr>
            <w:tcW w:type="dxa" w:w="1701"/>
          </w:tcPr>
          <w:p>
            <w:r/>
            <w:r>
              <w:rPr>
                <w:sz w:val="19"/>
              </w:rPr>
              <w:t>20%</w:t>
            </w:r>
          </w:p>
        </w:tc>
      </w:tr>
      <w:tr>
        <w:tc>
          <w:tcPr>
            <w:tcW w:type="dxa" w:w="1701"/>
          </w:tcPr>
          <w:p>
            <w:r/>
            <w:r>
              <w:rPr>
                <w:sz w:val="19"/>
              </w:rPr>
              <w:t>MS5</w:t>
            </w:r>
          </w:p>
        </w:tc>
        <w:tc>
          <w:tcPr>
            <w:tcW w:type="dxa" w:w="5102"/>
          </w:tcPr>
          <w:p>
            <w:r/>
            <w:r>
              <w:rPr>
                <w:sz w:val="19"/>
              </w:rPr>
              <w:t>Installation</w:t>
            </w:r>
          </w:p>
        </w:tc>
        <w:tc>
          <w:tcPr>
            <w:tcW w:type="dxa" w:w="1701"/>
          </w:tcPr>
          <w:p>
            <w:r/>
            <w:r>
              <w:rPr>
                <w:sz w:val="19"/>
              </w:rPr>
              <w:t>20%</w:t>
            </w:r>
          </w:p>
        </w:tc>
      </w:tr>
      <w:tr>
        <w:tc>
          <w:tcPr>
            <w:tcW w:type="dxa" w:w="1701"/>
          </w:tcPr>
          <w:p>
            <w:r/>
            <w:r>
              <w:rPr>
                <w:sz w:val="19"/>
              </w:rPr>
              <w:t>MS6</w:t>
            </w:r>
          </w:p>
        </w:tc>
        <w:tc>
          <w:tcPr>
            <w:tcW w:type="dxa" w:w="5102"/>
          </w:tcPr>
          <w:p>
            <w:r/>
            <w:r>
              <w:rPr>
                <w:sz w:val="19"/>
              </w:rPr>
              <w:t>Testing and commissioning (SAT)</w:t>
            </w:r>
          </w:p>
        </w:tc>
        <w:tc>
          <w:tcPr>
            <w:tcW w:type="dxa" w:w="1701"/>
          </w:tcPr>
          <w:p>
            <w:r/>
            <w:r>
              <w:rPr>
                <w:sz w:val="19"/>
              </w:rPr>
              <w:t>10%</w:t>
            </w:r>
          </w:p>
        </w:tc>
      </w:tr>
      <w:tr>
        <w:tc>
          <w:tcPr>
            <w:tcW w:type="dxa" w:w="1701"/>
          </w:tcPr>
          <w:p>
            <w:r/>
            <w:r>
              <w:rPr>
                <w:sz w:val="19"/>
              </w:rPr>
              <w:t>MS7</w:t>
            </w:r>
          </w:p>
        </w:tc>
        <w:tc>
          <w:tcPr>
            <w:tcW w:type="dxa" w:w="5102"/>
          </w:tcPr>
          <w:p>
            <w:r/>
            <w:r>
              <w:rPr>
                <w:sz w:val="19"/>
              </w:rPr>
              <w:t>Final acceptance and handover</w:t>
            </w:r>
          </w:p>
        </w:tc>
        <w:tc>
          <w:tcPr>
            <w:tcW w:type="dxa" w:w="1701"/>
          </w:tcPr>
          <w:p>
            <w:r/>
            <w:r>
              <w:rPr>
                <w:sz w:val="19"/>
              </w:rPr>
              <w:t>10%</w:t>
            </w:r>
          </w:p>
        </w:tc>
      </w:tr>
    </w:tbl>
    <w:p/>
    <w:p>
      <w:pPr>
        <w:pStyle w:val="Heading1"/>
      </w:pPr>
      <w:r>
        <w:t>10. S-curve</w:t>
      </w:r>
    </w:p>
    <w:p>
      <w:r>
        <w:drawing>
          <wp:inline xmlns:a="http://schemas.openxmlformats.org/drawingml/2006/main" xmlns:pic="http://schemas.openxmlformats.org/drawingml/2006/picture">
            <wp:extent cx="5580000" cy="2678400"/>
            <wp:docPr id="2" name="Picture 2"/>
            <wp:cNvGraphicFramePr>
              <a:graphicFrameLocks noChangeAspect="1"/>
            </wp:cNvGraphicFramePr>
            <a:graphic>
              <a:graphicData uri="http://schemas.openxmlformats.org/drawingml/2006/picture">
                <pic:pic>
                  <pic:nvPicPr>
                    <pic:cNvPr id="0" name="scurve.png"/>
                    <pic:cNvPicPr/>
                  </pic:nvPicPr>
                  <pic:blipFill>
                    <a:blip r:embed="rId10"/>
                    <a:stretch>
                      <a:fillRect/>
                    </a:stretch>
                  </pic:blipFill>
                  <pic:spPr>
                    <a:xfrm>
                      <a:off x="0" y="0"/>
                      <a:ext cx="5580000" cy="2678400"/>
                    </a:xfrm>
                    <a:prstGeom prst="rect"/>
                  </pic:spPr>
                </pic:pic>
              </a:graphicData>
            </a:graphic>
          </wp:inline>
        </w:drawing>
      </w:r>
    </w:p>
    <w:p>
      <w:r>
        <w:rPr>
          <w:b w:val="0"/>
        </w:rPr>
        <w:t>Cost follows the contract payment milestones. Progress is smoother because it is distributed by effort. The two curves differ on purpose: cost is a payment profile, progress is physical.</w:t>
      </w:r>
    </w:p>
    <w:p>
      <w:pPr>
        <w:pStyle w:val="Heading1"/>
      </w:pPr>
      <w:r>
        <w:t>11. Activity codes</w:t>
      </w:r>
    </w:p>
    <w:p>
      <w:r>
        <w:rPr>
          <w:b w:val="0"/>
        </w:rPr>
        <w:t>Ten global activity code types are loaded and every activity carries all of them: EPC phase, Area, Station, Railway, Discipline, Responsibility, Payment milestone, Design stage, Submittal or approval, and Priority. The values are listed on the Activity_Codes sheet of the BOQ workbook.</w:t>
      </w:r>
    </w:p>
    <w:p>
      <w:pPr>
        <w:pStyle w:val="Heading1"/>
      </w:pPr>
      <w:r>
        <w:t>12. Changing the start date</w:t>
      </w:r>
    </w:p>
    <w:p>
      <w:r>
        <w:rPr>
          <w:b w:val="0"/>
        </w:rPr>
        <w:t>NTP is a start milestone with no constraint. To move the project, change the project Planned Start (Project &gt; Details &gt; Dates), then schedule with F9 using Retained Logic. All dates, including contract completion, move together. The holidays are fixed dates, so after a change review the calendar for the holidays that the new window crosses.</w:t>
      </w:r>
    </w:p>
    <w:p>
      <w:pPr>
        <w:pStyle w:val="Heading1"/>
      </w:pPr>
      <w:r>
        <w:t>13. Assumptions and exclusions</w:t>
      </w:r>
    </w:p>
    <w:p>
      <w:pPr>
        <w:pStyle w:val="ListBullet"/>
      </w:pPr>
      <w:r>
        <w:t>Durations and station order are Contractor planning assumptions.</w:t>
      </w:r>
    </w:p>
    <w:p>
      <w:pPr>
        <w:pStyle w:val="ListBullet"/>
      </w:pPr>
      <w:r>
        <w:t>Eid dates are estimates.</w:t>
      </w:r>
    </w:p>
    <w:p>
      <w:pPr>
        <w:pStyle w:val="ListBullet"/>
      </w:pPr>
      <w:r>
        <w:t>The SAR review period is taken as 21 days; longer approval is an extension of time matter under the contract.</w:t>
      </w:r>
    </w:p>
    <w:p>
      <w:pPr>
        <w:pStyle w:val="ListBullet"/>
      </w:pPr>
      <w:r>
        <w:t>Site access, permits and railway possessions are assumed available. No possession restrictions are modelled.</w:t>
      </w:r>
    </w:p>
    <w:p>
      <w:pPr>
        <w:pStyle w:val="ListBullet"/>
      </w:pPr>
      <w:r>
        <w:t>The defects liability period and post-acceptance support are not in the programme.</w:t>
      </w:r>
    </w:p>
    <w:p>
      <w:pPr>
        <w:pStyle w:val="ListBullet"/>
      </w:pPr>
      <w:r>
        <w:t>Cost is a payment profile at BOQ value, excluding VAT.</w:t>
      </w:r>
    </w:p>
    <w:p>
      <w:pPr>
        <w:pStyle w:val="ListBullet"/>
      </w:pPr>
      <w:r>
        <w:t>The file was checked structurally and with an independent forward pass. The author has not opened it in P6 (see the read-me).</w:t>
      </w:r>
    </w:p>
    <w:p>
      <w:pPr>
        <w:pStyle w:val="Heading1"/>
      </w:pPr>
      <w:r>
        <w:t>14. Risks to the programme</w:t>
      </w:r>
    </w:p>
    <w:tbl>
      <w:tblPr>
        <w:tblStyle w:val="TableGrid"/>
        <w:tblW w:type="auto" w:w="0"/>
        <w:tblLook w:firstColumn="1" w:firstRow="1" w:lastColumn="0" w:lastRow="0" w:noHBand="0" w:noVBand="1" w:val="04A0"/>
      </w:tblPr>
      <w:tblGrid>
        <w:gridCol w:w="4873"/>
        <w:gridCol w:w="4873"/>
      </w:tblGrid>
      <w:tr>
        <w:tc>
          <w:tcPr>
            <w:tcW w:type="dxa" w:w="4535"/>
            <w:shd w:val="clear" w:fill="00778B"/>
          </w:tcPr>
          <w:p>
            <w:r/>
            <w:r>
              <w:rPr>
                <w:b/>
                <w:color w:val="FFFFFF"/>
                <w:sz w:val="19"/>
              </w:rPr>
              <w:t>Risk</w:t>
            </w:r>
          </w:p>
        </w:tc>
        <w:tc>
          <w:tcPr>
            <w:tcW w:type="dxa" w:w="4535"/>
            <w:shd w:val="clear" w:fill="00778B"/>
          </w:tcPr>
          <w:p>
            <w:r/>
            <w:r>
              <w:rPr>
                <w:b/>
                <w:color w:val="FFFFFF"/>
                <w:sz w:val="19"/>
              </w:rPr>
              <w:t>Mitigation</w:t>
            </w:r>
          </w:p>
        </w:tc>
      </w:tr>
      <w:tr>
        <w:tc>
          <w:tcPr>
            <w:tcW w:type="dxa" w:w="4535"/>
          </w:tcPr>
          <w:p>
            <w:r/>
            <w:r>
              <w:rPr>
                <w:sz w:val="19"/>
              </w:rPr>
              <w:t>Eid dates differ from the estimate</w:t>
            </w:r>
          </w:p>
        </w:tc>
        <w:tc>
          <w:tcPr>
            <w:tcW w:type="dxa" w:w="4535"/>
          </w:tcPr>
          <w:p>
            <w:r/>
            <w:r>
              <w:rPr>
                <w:sz w:val="19"/>
              </w:rPr>
              <w:t>Confirm before submission and reschedule</w:t>
            </w:r>
          </w:p>
        </w:tc>
      </w:tr>
      <w:tr>
        <w:tc>
          <w:tcPr>
            <w:tcW w:type="dxa" w:w="4535"/>
          </w:tcPr>
          <w:p>
            <w:r/>
            <w:r>
              <w:rPr>
                <w:sz w:val="19"/>
              </w:rPr>
              <w:t>Long-lead equipment at Haramain stations (largest value)</w:t>
            </w:r>
          </w:p>
        </w:tc>
        <w:tc>
          <w:tcPr>
            <w:tcW w:type="dxa" w:w="4535"/>
          </w:tcPr>
          <w:p>
            <w:r/>
            <w:r>
              <w:rPr>
                <w:sz w:val="19"/>
              </w:rPr>
              <w:t>Early procurement approval and FAT planning</w:t>
            </w:r>
          </w:p>
        </w:tc>
      </w:tr>
      <w:tr>
        <w:tc>
          <w:tcPr>
            <w:tcW w:type="dxa" w:w="4535"/>
          </w:tcPr>
          <w:p>
            <w:r/>
            <w:r>
              <w:rPr>
                <w:sz w:val="19"/>
              </w:rPr>
              <w:t>SAR approval time above the review period</w:t>
            </w:r>
          </w:p>
        </w:tc>
        <w:tc>
          <w:tcPr>
            <w:tcW w:type="dxa" w:w="4535"/>
          </w:tcPr>
          <w:p>
            <w:r/>
            <w:r>
              <w:rPr>
                <w:sz w:val="19"/>
              </w:rPr>
              <w:t>Early submission and an approval log</w:t>
            </w:r>
          </w:p>
        </w:tc>
      </w:tr>
      <w:tr>
        <w:tc>
          <w:tcPr>
            <w:tcW w:type="dxa" w:w="4535"/>
          </w:tcPr>
          <w:p>
            <w:r/>
            <w:r>
              <w:rPr>
                <w:sz w:val="19"/>
              </w:rPr>
              <w:t>Station access and railway possession</w:t>
            </w:r>
          </w:p>
        </w:tc>
        <w:tc>
          <w:tcPr>
            <w:tcW w:type="dxa" w:w="4535"/>
          </w:tcPr>
          <w:p>
            <w:r/>
            <w:r>
              <w:rPr>
                <w:sz w:val="19"/>
              </w:rPr>
              <w:t>Coordinate during mobilization</w:t>
            </w:r>
          </w:p>
        </w:tc>
      </w:tr>
      <w:tr>
        <w:tc>
          <w:tcPr>
            <w:tcW w:type="dxa" w:w="4535"/>
          </w:tcPr>
          <w:p>
            <w:r/>
            <w:r>
              <w:rPr>
                <w:sz w:val="19"/>
              </w:rPr>
              <w:t>Conflict between Annex 4 item 33 (fast-track) and Annex 5 on HCIS</w:t>
            </w:r>
          </w:p>
        </w:tc>
        <w:tc>
          <w:tcPr>
            <w:tcW w:type="dxa" w:w="4535"/>
          </w:tcPr>
          <w:p>
            <w:r/>
            <w:r>
              <w:rPr>
                <w:sz w:val="19"/>
              </w:rPr>
              <w:t>Clarify with SAR before design submittals</w:t>
            </w:r>
          </w:p>
        </w:tc>
      </w:tr>
    </w:tbl>
    <w:p/>
    <w:p>
      <w:pPr>
        <w:pStyle w:val="Heading1"/>
      </w:pPr>
      <w:r>
        <w:t>15. Submission checklist</w:t>
      </w:r>
    </w:p>
    <w:p>
      <w:pPr>
        <w:pStyle w:val="ListBullet"/>
      </w:pPr>
      <w:r>
        <w:t>Confirm the Eid dates and update the calendar.</w:t>
      </w:r>
    </w:p>
    <w:p>
      <w:pPr>
        <w:pStyle w:val="ListBullet"/>
      </w:pPr>
      <w:r>
        <w:t>Open the XER in P6 24, schedule it, and compare dates with this narrative.</w:t>
      </w:r>
    </w:p>
    <w:p>
      <w:pPr>
        <w:pStyle w:val="ListBullet"/>
      </w:pPr>
      <w:r>
        <w:t>Confirm the station order with SAR.</w:t>
      </w:r>
    </w:p>
    <w:p>
      <w:pPr>
        <w:pStyle w:val="ListBullet"/>
      </w:pPr>
      <w:r>
        <w:t>Check the cost mapping against the Annex 3 price table.</w:t>
      </w:r>
    </w:p>
    <w:p>
      <w:pPr>
        <w:pStyle w:val="ListBullet"/>
      </w:pPr>
      <w:r>
        <w:t>Submit the XER, narrative, BOQ mapping and read-me together.</w:t>
      </w:r>
    </w:p>
    <w:sectPr w:rsidR="00FC693F" w:rsidRPr="0006063C" w:rsidSect="00034616">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778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778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