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0580-Security Technology Salutation after eliminating Passenger Checking Roles</w:t>
        <w:br/>
        <w:t>Contract with ETECHS</w:t>
      </w:r>
    </w:p>
    <w:p>
      <w:pPr>
        <w:jc w:val="center"/>
      </w:pPr>
      <w:r>
        <w:rPr>
          <w:sz w:val="30"/>
        </w:rPr>
        <w:br/>
        <w:t>Baseline Programme Narrative</w:t>
        <w:br/>
        <w:t>For SAR review and approval</w:t>
      </w:r>
    </w:p>
    <w:p>
      <w:pPr>
        <w:jc w:val="center"/>
      </w:pPr>
      <w:r>
        <w:rPr>
          <w:sz w:val="20"/>
        </w:rPr>
        <w:br/>
        <w:br/>
        <w:t>Project 0580  |  Rev 1  |  Data date and NTP: 01 November 2026  |  P6 file: 0580_Schedule_Baseline_Rev1.xer</w:t>
      </w:r>
    </w:p>
    <w:p>
      <w:r>
        <w:br w:type="page"/>
      </w:r>
    </w:p>
    <w:p>
      <w:pPr>
        <w:pStyle w:val="Heading1"/>
      </w:pPr>
      <w:r>
        <w:t>1. Purpose and basis of the programme</w:t>
      </w:r>
    </w:p>
    <w:p>
      <w:r>
        <w:rPr>
          <w:b w:val="0"/>
        </w:rPr>
        <w:t>This narrative describes the baseline programme (Rev 1) of project 0580-Security Technology Salutation after eliminating Passenger Checking Roles, covering 14 stations on three railways (North South Railway, East West Railway and Haramain High Speed Rail). It is delivered as a Primavera P6 24 XER file with 598 activities (507 tasks and 91 milestones) and 913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plus the planning instructions of the Contractor in this revision. Durations, logic and station sequence are Contractor planning assumptions offered for SAR approval. They are not contract-stated, except the 36 month term, the payment milestones and the 21 day review period.</w:t>
      </w:r>
    </w:p>
    <w:p>
      <w:pPr>
        <w:pStyle w:val="Heading1"/>
      </w:pPr>
      <w:r>
        <w:t>2. Changes in this revision</w:t>
      </w:r>
    </w:p>
    <w:tbl>
      <w:tblPr>
        <w:tblStyle w:val="TableGrid"/>
        <w:tblW w:type="auto" w:w="0"/>
        <w:tblLayout w:type="fixed"/>
        <w:tblLook w:firstColumn="1" w:firstRow="1" w:lastColumn="0" w:lastRow="0" w:noHBand="0" w:noVBand="1" w:val="04A0"/>
      </w:tblPr>
      <w:tblGrid>
        <w:gridCol w:w="1984"/>
        <w:gridCol w:w="7087"/>
      </w:tblGrid>
      <w:tr>
        <w:tc>
          <w:tcPr>
            <w:tcW w:type="dxa" w:w="1984"/>
            <w:shd w:val="clear" w:fill="00778B"/>
          </w:tcPr>
          <w:p>
            <w:r/>
            <w:r>
              <w:rPr>
                <w:b/>
                <w:color w:val="FFFFFF"/>
                <w:sz w:val="19"/>
              </w:rPr>
              <w:t>Item</w:t>
            </w:r>
          </w:p>
        </w:tc>
        <w:tc>
          <w:tcPr>
            <w:tcW w:type="dxa" w:w="7087"/>
            <w:shd w:val="clear" w:fill="00778B"/>
          </w:tcPr>
          <w:p>
            <w:r/>
            <w:r>
              <w:rPr>
                <w:b/>
                <w:color w:val="FFFFFF"/>
                <w:sz w:val="19"/>
              </w:rPr>
              <w:t>Change</w:t>
            </w:r>
          </w:p>
        </w:tc>
      </w:tr>
      <w:tr>
        <w:tc>
          <w:tcPr>
            <w:tcW w:type="dxa" w:w="1984"/>
          </w:tcPr>
          <w:p>
            <w:r/>
            <w:r>
              <w:rPr>
                <w:sz w:val="19"/>
              </w:rPr>
              <w:t>First six months</w:t>
            </w:r>
          </w:p>
        </w:tc>
        <w:tc>
          <w:tcPr>
            <w:tcW w:type="dxa" w:w="7087"/>
          </w:tcPr>
          <w:p>
            <w:r/>
            <w:r>
              <w:rPr>
                <w:sz w:val="19"/>
              </w:rPr>
              <w:t>Months 1-2 mobilization and site survey; months 3-6 design (four months). Milestones: mobilization and survey complete, design complete.</w:t>
            </w:r>
          </w:p>
        </w:tc>
      </w:tr>
      <w:tr>
        <w:tc>
          <w:tcPr>
            <w:tcW w:type="dxa" w:w="1984"/>
          </w:tcPr>
          <w:p>
            <w:r/>
            <w:r>
              <w:rPr>
                <w:sz w:val="19"/>
              </w:rPr>
              <w:t>Overlap</w:t>
            </w:r>
          </w:p>
        </w:tc>
        <w:tc>
          <w:tcPr>
            <w:tcW w:type="dxa" w:w="7087"/>
          </w:tcPr>
          <w:p>
            <w:r/>
            <w:r>
              <w:rPr>
                <w:sz w:val="19"/>
              </w:rPr>
              <w:t>Enabling works for the priority stations start at the beginning of month 5, the last two months of design.</w:t>
            </w:r>
          </w:p>
        </w:tc>
      </w:tr>
      <w:tr>
        <w:tc>
          <w:tcPr>
            <w:tcW w:type="dxa" w:w="1984"/>
          </w:tcPr>
          <w:p>
            <w:r/>
            <w:r>
              <w:rPr>
                <w:sz w:val="19"/>
              </w:rPr>
              <w:t>Priority</w:t>
            </w:r>
          </w:p>
        </w:tc>
        <w:tc>
          <w:tcPr>
            <w:tcW w:type="dxa" w:w="7087"/>
          </w:tcPr>
          <w:p>
            <w:r/>
            <w:r>
              <w:rPr>
                <w:sz w:val="19"/>
              </w:rPr>
              <w:t>Makkah and Riyadh (Thumamah) are Priority 1 and run works in parallel with design. Riyadh (Malaz) is Priority 2.</w:t>
            </w:r>
          </w:p>
        </w:tc>
      </w:tr>
      <w:tr>
        <w:tc>
          <w:tcPr>
            <w:tcW w:type="dxa" w:w="1984"/>
          </w:tcPr>
          <w:p>
            <w:r/>
            <w:r>
              <w:rPr>
                <w:sz w:val="19"/>
              </w:rPr>
              <w:t>Proof of concept</w:t>
            </w:r>
          </w:p>
        </w:tc>
        <w:tc>
          <w:tcPr>
            <w:tcW w:type="dxa" w:w="7087"/>
          </w:tcPr>
          <w:p>
            <w:r/>
            <w:r>
              <w:rPr>
                <w:sz w:val="19"/>
              </w:rPr>
              <w:t>POC at Riyadh (Thumamah) for CCTV, inspection and access control, and network, with one month for consultant inspection and approval.</w:t>
            </w:r>
          </w:p>
        </w:tc>
      </w:tr>
      <w:tr>
        <w:tc>
          <w:tcPr>
            <w:tcW w:type="dxa" w:w="1984"/>
          </w:tcPr>
          <w:p>
            <w:r/>
            <w:r>
              <w:rPr>
                <w:sz w:val="19"/>
              </w:rPr>
              <w:t>Review period</w:t>
            </w:r>
          </w:p>
        </w:tc>
        <w:tc>
          <w:tcPr>
            <w:tcW w:type="dxa" w:w="7087"/>
          </w:tcPr>
          <w:p>
            <w:r/>
            <w:r>
              <w:rPr>
                <w:sz w:val="19"/>
              </w:rPr>
              <w:t>Every SAR review of a submission is 21 days (15 working days). Survey approval was 5 days and is now 21 days.</w:t>
            </w:r>
          </w:p>
        </w:tc>
      </w:tr>
      <w:tr>
        <w:tc>
          <w:tcPr>
            <w:tcW w:type="dxa" w:w="1984"/>
          </w:tcPr>
          <w:p>
            <w:r/>
            <w:r>
              <w:rPr>
                <w:sz w:val="19"/>
              </w:rPr>
              <w:t>WBS</w:t>
            </w:r>
          </w:p>
        </w:tc>
        <w:tc>
          <w:tcPr>
            <w:tcW w:type="dxa" w:w="7087"/>
          </w:tcPr>
          <w:p>
            <w:r/>
            <w:r>
              <w:rPr>
                <w:sz w:val="19"/>
              </w:rPr>
              <w:t>Stations are now level 3 of the WBS (project, EPC phase, station). Priority and railway are activity codes.</w:t>
            </w:r>
          </w:p>
        </w:tc>
      </w:tr>
      <w:tr>
        <w:tc>
          <w:tcPr>
            <w:tcW w:type="dxa" w:w="1984"/>
          </w:tcPr>
          <w:p>
            <w:r/>
            <w:r>
              <w:rPr>
                <w:sz w:val="19"/>
              </w:rPr>
              <w:t>Identity</w:t>
            </w:r>
          </w:p>
        </w:tc>
        <w:tc>
          <w:tcPr>
            <w:tcW w:type="dxa" w:w="7087"/>
          </w:tcPr>
          <w:p>
            <w:r/>
            <w:r>
              <w:rPr>
                <w:sz w:val="19"/>
              </w:rPr>
              <w:t>Project number 0580 and the official name on every output. Programme phase added as an activity code.</w:t>
            </w:r>
          </w:p>
        </w:tc>
      </w:tr>
    </w:tbl>
    <w:p/>
    <w:p>
      <w:pPr>
        <w:pStyle w:val="Heading1"/>
      </w:pPr>
      <w:r>
        <w:t>3. Key dates and milestones</w:t>
      </w:r>
    </w:p>
    <w:tbl>
      <w:tblPr>
        <w:tblStyle w:val="TableGrid"/>
        <w:tblW w:type="auto" w:w="0"/>
        <w:tblLayout w:type="fixed"/>
        <w:tblLook w:firstColumn="1" w:firstRow="1" w:lastColumn="0" w:lastRow="0" w:noHBand="0" w:noVBand="1" w:val="04A0"/>
      </w:tblPr>
      <w:tblGrid>
        <w:gridCol w:w="1701"/>
        <w:gridCol w:w="5669"/>
        <w:gridCol w:w="1984"/>
      </w:tblGrid>
      <w:tr>
        <w:tc>
          <w:tcPr>
            <w:tcW w:type="dxa" w:w="1701"/>
            <w:shd w:val="clear" w:fill="00778B"/>
          </w:tcPr>
          <w:p>
            <w:r/>
            <w:r>
              <w:rPr>
                <w:b/>
                <w:color w:val="FFFFFF"/>
                <w:sz w:val="19"/>
              </w:rPr>
              <w:t>ID</w:t>
            </w:r>
          </w:p>
        </w:tc>
        <w:tc>
          <w:tcPr>
            <w:tcW w:type="dxa" w:w="5669"/>
            <w:shd w:val="clear" w:fill="00778B"/>
          </w:tcPr>
          <w:p>
            <w:r/>
            <w:r>
              <w:rPr>
                <w:b/>
                <w:color w:val="FFFFFF"/>
                <w:sz w:val="19"/>
              </w:rPr>
              <w:t>Milestone</w:t>
            </w:r>
          </w:p>
        </w:tc>
        <w:tc>
          <w:tcPr>
            <w:tcW w:type="dxa" w:w="1984"/>
            <w:shd w:val="clear" w:fill="00778B"/>
          </w:tcPr>
          <w:p>
            <w:r/>
            <w:r>
              <w:rPr>
                <w:b/>
                <w:color w:val="FFFFFF"/>
                <w:sz w:val="19"/>
              </w:rPr>
              <w:t>Date</w:t>
            </w:r>
          </w:p>
        </w:tc>
      </w:tr>
      <w:tr>
        <w:tc>
          <w:tcPr>
            <w:tcW w:type="dxa" w:w="1701"/>
          </w:tcPr>
          <w:p>
            <w:r/>
            <w:r>
              <w:rPr>
                <w:sz w:val="19"/>
              </w:rPr>
              <w:t>PRJ-M0000</w:t>
            </w:r>
          </w:p>
        </w:tc>
        <w:tc>
          <w:tcPr>
            <w:tcW w:type="dxa" w:w="5669"/>
          </w:tcPr>
          <w:p>
            <w:r/>
            <w:r>
              <w:rPr>
                <w:sz w:val="19"/>
              </w:rPr>
              <w:t>Notice to Proceed - project start (1 Nov 2026, editable)</w:t>
            </w:r>
          </w:p>
        </w:tc>
        <w:tc>
          <w:tcPr>
            <w:tcW w:type="dxa" w:w="1984"/>
          </w:tcPr>
          <w:p>
            <w:r/>
            <w:r>
              <w:rPr>
                <w:sz w:val="19"/>
              </w:rPr>
              <w:t>01 Nov 2026</w:t>
            </w:r>
          </w:p>
        </w:tc>
      </w:tr>
      <w:tr>
        <w:tc>
          <w:tcPr>
            <w:tcW w:type="dxa" w:w="1701"/>
          </w:tcPr>
          <w:p>
            <w:r/>
            <w:r>
              <w:rPr>
                <w:sz w:val="19"/>
              </w:rPr>
              <w:t>PRJ-M1100</w:t>
            </w:r>
          </w:p>
        </w:tc>
        <w:tc>
          <w:tcPr>
            <w:tcW w:type="dxa" w:w="5669"/>
          </w:tcPr>
          <w:p>
            <w:r/>
            <w:r>
              <w:rPr>
                <w:sz w:val="19"/>
              </w:rPr>
              <w:t>MS1 Mobilization complete (payment milestone 20%)</w:t>
            </w:r>
          </w:p>
        </w:tc>
        <w:tc>
          <w:tcPr>
            <w:tcW w:type="dxa" w:w="1984"/>
          </w:tcPr>
          <w:p>
            <w:r/>
            <w:r>
              <w:rPr>
                <w:sz w:val="19"/>
              </w:rPr>
              <w:t>10 Dec 2026</w:t>
            </w:r>
          </w:p>
        </w:tc>
      </w:tr>
      <w:tr>
        <w:tc>
          <w:tcPr>
            <w:tcW w:type="dxa" w:w="1701"/>
          </w:tcPr>
          <w:p>
            <w:r/>
            <w:r>
              <w:rPr>
                <w:sz w:val="19"/>
              </w:rPr>
              <w:t>PRJ-M1150</w:t>
            </w:r>
          </w:p>
        </w:tc>
        <w:tc>
          <w:tcPr>
            <w:tcW w:type="dxa" w:w="5669"/>
          </w:tcPr>
          <w:p>
            <w:r/>
            <w:r>
              <w:rPr>
                <w:sz w:val="19"/>
              </w:rPr>
              <w:t>Mobilization and site survey complete (end of month 2)</w:t>
            </w:r>
          </w:p>
        </w:tc>
        <w:tc>
          <w:tcPr>
            <w:tcW w:type="dxa" w:w="1984"/>
          </w:tcPr>
          <w:p>
            <w:r/>
            <w:r>
              <w:rPr>
                <w:sz w:val="19"/>
              </w:rPr>
              <w:t>31 Dec 2026</w:t>
            </w:r>
          </w:p>
        </w:tc>
      </w:tr>
      <w:tr>
        <w:tc>
          <w:tcPr>
            <w:tcW w:type="dxa" w:w="1701"/>
          </w:tcPr>
          <w:p>
            <w:r/>
            <w:r>
              <w:rPr>
                <w:sz w:val="19"/>
              </w:rPr>
              <w:t>PRJ-M2100</w:t>
            </w:r>
          </w:p>
        </w:tc>
        <w:tc>
          <w:tcPr>
            <w:tcW w:type="dxa" w:w="5669"/>
          </w:tcPr>
          <w:p>
            <w:r/>
            <w:r>
              <w:rPr>
                <w:sz w:val="19"/>
              </w:rPr>
              <w:t>Detailed baseline programme approved</w:t>
            </w:r>
          </w:p>
        </w:tc>
        <w:tc>
          <w:tcPr>
            <w:tcW w:type="dxa" w:w="1984"/>
          </w:tcPr>
          <w:p>
            <w:r/>
            <w:r>
              <w:rPr>
                <w:sz w:val="19"/>
              </w:rPr>
              <w:t>14 Jan 2027</w:t>
            </w:r>
          </w:p>
        </w:tc>
      </w:tr>
      <w:tr>
        <w:tc>
          <w:tcPr>
            <w:tcW w:type="dxa" w:w="1701"/>
          </w:tcPr>
          <w:p>
            <w:r/>
            <w:r>
              <w:rPr>
                <w:sz w:val="19"/>
              </w:rPr>
              <w:t>PRJ-M1250</w:t>
            </w:r>
          </w:p>
        </w:tc>
        <w:tc>
          <w:tcPr>
            <w:tcW w:type="dxa" w:w="5669"/>
          </w:tcPr>
          <w:p>
            <w:r/>
            <w:r>
              <w:rPr>
                <w:sz w:val="19"/>
              </w:rPr>
              <w:t>Design complete - priority stations (end of month 6)</w:t>
            </w:r>
          </w:p>
        </w:tc>
        <w:tc>
          <w:tcPr>
            <w:tcW w:type="dxa" w:w="1984"/>
          </w:tcPr>
          <w:p>
            <w:r/>
            <w:r>
              <w:rPr>
                <w:sz w:val="19"/>
              </w:rPr>
              <w:t>29 Apr 2027</w:t>
            </w:r>
          </w:p>
        </w:tc>
      </w:tr>
      <w:tr>
        <w:tc>
          <w:tcPr>
            <w:tcW w:type="dxa" w:w="1701"/>
          </w:tcPr>
          <w:p>
            <w:r/>
            <w:r>
              <w:rPr>
                <w:sz w:val="19"/>
              </w:rPr>
              <w:t>PRJ-MX99</w:t>
            </w:r>
          </w:p>
        </w:tc>
        <w:tc>
          <w:tcPr>
            <w:tcW w:type="dxa" w:w="5669"/>
          </w:tcPr>
          <w:p>
            <w:r/>
            <w:r>
              <w:rPr>
                <w:sz w:val="19"/>
              </w:rPr>
              <w:t>Contract completion - end of 36-month term</w:t>
            </w:r>
          </w:p>
        </w:tc>
        <w:tc>
          <w:tcPr>
            <w:tcW w:type="dxa" w:w="1984"/>
          </w:tcPr>
          <w:p>
            <w:r/>
            <w:r>
              <w:rPr>
                <w:sz w:val="19"/>
              </w:rPr>
              <w:t>31 Oct 2029</w:t>
            </w:r>
          </w:p>
        </w:tc>
      </w:tr>
    </w:tbl>
    <w:p/>
    <w:p>
      <w:r>
        <w:rPr>
          <w:b w:val="0"/>
        </w:rPr>
        <w:t>Contract completion is driven by logic: it is linked from NTP with a lag equal to the 36 month term and carries no date constraint. If the NTP date changes, every date moves with it.</w:t>
      </w:r>
    </w:p>
    <w:p>
      <w:pPr>
        <w:pStyle w:val="Heading1"/>
      </w:pPr>
      <w:r>
        <w:t>4. The first six months</w:t>
      </w:r>
    </w:p>
    <w:p>
      <w:r>
        <w:drawing>
          <wp:inline xmlns:a="http://schemas.openxmlformats.org/drawingml/2006/main" xmlns:pic="http://schemas.openxmlformats.org/drawingml/2006/picture">
            <wp:extent cx="5760000" cy="2545116"/>
            <wp:docPr id="1" name="Picture 1"/>
            <wp:cNvGraphicFramePr>
              <a:graphicFrameLocks noChangeAspect="1"/>
            </wp:cNvGraphicFramePr>
            <a:graphic>
              <a:graphicData uri="http://schemas.openxmlformats.org/drawingml/2006/picture">
                <pic:pic>
                  <pic:nvPicPr>
                    <pic:cNvPr id="0" name="gantt6.png"/>
                    <pic:cNvPicPr/>
                  </pic:nvPicPr>
                  <pic:blipFill>
                    <a:blip r:embed="rId10"/>
                    <a:stretch>
                      <a:fillRect/>
                    </a:stretch>
                  </pic:blipFill>
                  <pic:spPr>
                    <a:xfrm>
                      <a:off x="0" y="0"/>
                      <a:ext cx="5760000" cy="2545116"/>
                    </a:xfrm>
                    <a:prstGeom prst="rect"/>
                  </pic:spPr>
                </pic:pic>
              </a:graphicData>
            </a:graphic>
          </wp:inline>
        </w:drawing>
      </w:r>
    </w:p>
    <w:tbl>
      <w:tblPr>
        <w:tblStyle w:val="TableGrid"/>
        <w:tblW w:type="auto" w:w="0"/>
        <w:tblLayout w:type="fixed"/>
        <w:tblLook w:firstColumn="1" w:firstRow="1" w:lastColumn="0" w:lastRow="0" w:noHBand="0" w:noVBand="1" w:val="04A0"/>
      </w:tblPr>
      <w:tblGrid>
        <w:gridCol w:w="2551"/>
        <w:gridCol w:w="1474"/>
        <w:gridCol w:w="1474"/>
        <w:gridCol w:w="3572"/>
      </w:tblGrid>
      <w:tr>
        <w:tc>
          <w:tcPr>
            <w:tcW w:type="dxa" w:w="2551"/>
            <w:shd w:val="clear" w:fill="00778B"/>
          </w:tcPr>
          <w:p>
            <w:r/>
            <w:r>
              <w:rPr>
                <w:b/>
                <w:color w:val="FFFFFF"/>
                <w:sz w:val="19"/>
              </w:rPr>
              <w:t>Phase</w:t>
            </w:r>
          </w:p>
        </w:tc>
        <w:tc>
          <w:tcPr>
            <w:tcW w:type="dxa" w:w="1474"/>
            <w:shd w:val="clear" w:fill="00778B"/>
          </w:tcPr>
          <w:p>
            <w:r/>
            <w:r>
              <w:rPr>
                <w:b/>
                <w:color w:val="FFFFFF"/>
                <w:sz w:val="19"/>
              </w:rPr>
              <w:t>Start</w:t>
            </w:r>
          </w:p>
        </w:tc>
        <w:tc>
          <w:tcPr>
            <w:tcW w:type="dxa" w:w="1474"/>
            <w:shd w:val="clear" w:fill="00778B"/>
          </w:tcPr>
          <w:p>
            <w:r/>
            <w:r>
              <w:rPr>
                <w:b/>
                <w:color w:val="FFFFFF"/>
                <w:sz w:val="19"/>
              </w:rPr>
              <w:t>Finish</w:t>
            </w:r>
          </w:p>
        </w:tc>
        <w:tc>
          <w:tcPr>
            <w:tcW w:type="dxa" w:w="3572"/>
            <w:shd w:val="clear" w:fill="00778B"/>
          </w:tcPr>
          <w:p>
            <w:r/>
            <w:r>
              <w:rPr>
                <w:b/>
                <w:color w:val="FFFFFF"/>
                <w:sz w:val="19"/>
              </w:rPr>
              <w:t>Content</w:t>
            </w:r>
          </w:p>
        </w:tc>
      </w:tr>
      <w:tr>
        <w:tc>
          <w:tcPr>
            <w:tcW w:type="dxa" w:w="2551"/>
          </w:tcPr>
          <w:p>
            <w:r/>
            <w:r>
              <w:rPr>
                <w:sz w:val="19"/>
              </w:rPr>
              <w:t>Mobilization and site survey (months 1-2)</w:t>
            </w:r>
          </w:p>
        </w:tc>
        <w:tc>
          <w:tcPr>
            <w:tcW w:type="dxa" w:w="1474"/>
          </w:tcPr>
          <w:p>
            <w:r/>
            <w:r>
              <w:rPr>
                <w:sz w:val="19"/>
              </w:rPr>
              <w:t>01 Nov 2026</w:t>
            </w:r>
          </w:p>
        </w:tc>
        <w:tc>
          <w:tcPr>
            <w:tcW w:type="dxa" w:w="1474"/>
          </w:tcPr>
          <w:p>
            <w:r/>
            <w:r>
              <w:rPr>
                <w:sz w:val="19"/>
              </w:rPr>
              <w:t>24 Dec 2026</w:t>
            </w:r>
          </w:p>
        </w:tc>
        <w:tc>
          <w:tcPr>
            <w:tcW w:type="dxa" w:w="3572"/>
          </w:tcPr>
          <w:p>
            <w:r/>
            <w:r>
              <w:rPr>
                <w:sz w:val="19"/>
              </w:rPr>
              <w:t>Mobilization, initial baseline, survey submittal and 21 day approval at Riyadh (Thumamah), Makkah and Riyadh (Malaz)</w:t>
            </w:r>
          </w:p>
        </w:tc>
      </w:tr>
      <w:tr>
        <w:tc>
          <w:tcPr>
            <w:tcW w:type="dxa" w:w="2551"/>
          </w:tcPr>
          <w:p>
            <w:r/>
            <w:r>
              <w:rPr>
                <w:sz w:val="19"/>
              </w:rPr>
              <w:t>Design (months 3-6)</w:t>
            </w:r>
          </w:p>
        </w:tc>
        <w:tc>
          <w:tcPr>
            <w:tcW w:type="dxa" w:w="1474"/>
          </w:tcPr>
          <w:p>
            <w:r/>
            <w:r>
              <w:rPr>
                <w:sz w:val="19"/>
              </w:rPr>
              <w:t>03 Jan 2027</w:t>
            </w:r>
          </w:p>
        </w:tc>
        <w:tc>
          <w:tcPr>
            <w:tcW w:type="dxa" w:w="1474"/>
          </w:tcPr>
          <w:p>
            <w:r/>
            <w:r>
              <w:rPr>
                <w:sz w:val="19"/>
              </w:rPr>
              <w:t>29 Apr 2027</w:t>
            </w:r>
          </w:p>
        </w:tc>
        <w:tc>
          <w:tcPr>
            <w:tcW w:type="dxa" w:w="3572"/>
          </w:tcPr>
          <w:p>
            <w:r/>
            <w:r>
              <w:rPr>
                <w:sz w:val="19"/>
              </w:rPr>
              <w:t>Concept, preliminary, detailed and IFC design with HCIS documents; each stage submitted and approved in 21 days</w:t>
            </w:r>
          </w:p>
        </w:tc>
      </w:tr>
      <w:tr>
        <w:tc>
          <w:tcPr>
            <w:tcW w:type="dxa" w:w="2551"/>
          </w:tcPr>
          <w:p>
            <w:r/>
            <w:r>
              <w:rPr>
                <w:sz w:val="19"/>
              </w:rPr>
              <w:t>Enabling works start (month 5)</w:t>
            </w:r>
          </w:p>
        </w:tc>
        <w:tc>
          <w:tcPr>
            <w:tcW w:type="dxa" w:w="1474"/>
          </w:tcPr>
          <w:p>
            <w:r/>
            <w:r>
              <w:rPr>
                <w:sz w:val="19"/>
              </w:rPr>
              <w:t>01 Mar 2027</w:t>
            </w:r>
          </w:p>
        </w:tc>
        <w:tc>
          <w:tcPr>
            <w:tcW w:type="dxa" w:w="1474"/>
          </w:tcPr>
          <w:p>
            <w:r/>
            <w:r>
              <w:rPr>
                <w:sz w:val="19"/>
              </w:rPr>
              <w:t>11 Apr 2027</w:t>
            </w:r>
          </w:p>
        </w:tc>
        <w:tc>
          <w:tcPr>
            <w:tcW w:type="dxa" w:w="3572"/>
          </w:tcPr>
          <w:p>
            <w:r/>
            <w:r>
              <w:rPr>
                <w:sz w:val="19"/>
              </w:rPr>
              <w:t>Site preparation, setting out, temporary works, cable routes, duct banks and plinths, in parallel with the last two months of design</w:t>
            </w:r>
          </w:p>
        </w:tc>
      </w:tr>
    </w:tbl>
    <w:p/>
    <w:p>
      <w:r>
        <w:rPr>
          <w:b w:val="0"/>
        </w:rPr>
        <w:t>The two month window for mobilization and survey is held by a logic link from NTP (milestone PRJ-M1150), and design starts after that milestone and the survey approval. Enabling works for the priority stations start from the same milestone with a lag that places them at the start of month 5. No date constraint is used.</w:t>
      </w:r>
    </w:p>
    <w:p>
      <w:pPr>
        <w:pStyle w:val="Heading1"/>
      </w:pPr>
      <w:r>
        <w:t>5. Priority stations</w:t>
      </w:r>
    </w:p>
    <w:p>
      <w:r>
        <w:rPr>
          <w:b w:val="0"/>
        </w:rPr>
        <w:t>Priority 1: Makkah (Haramain) and Riyadh (Thumamah, North South Railway). Their surveys start first, they carry the four month design window, and their enabling works and civil works run in parallel with design. Manufacture is released only after SAR approval of the engineering (milestone MS3), so no equipment is ordered before approval. Priority 2: Riyadh (Malaz, East West Railway), surveyed in the same two months, with a shorter design. The remaining stations follow in waves after the detailed baseline is approved.</w:t>
      </w:r>
    </w:p>
    <w:tbl>
      <w:tblPr>
        <w:tblStyle w:val="TableGrid"/>
        <w:tblW w:type="auto" w:w="0"/>
        <w:tblLayout w:type="fixed"/>
        <w:tblLook w:firstColumn="1" w:firstRow="1" w:lastColumn="0" w:lastRow="0" w:noHBand="0" w:noVBand="1" w:val="04A0"/>
      </w:tblPr>
      <w:tblGrid>
        <w:gridCol w:w="2835"/>
        <w:gridCol w:w="1134"/>
        <w:gridCol w:w="1417"/>
        <w:gridCol w:w="1814"/>
        <w:gridCol w:w="1814"/>
      </w:tblGrid>
      <w:tr>
        <w:tc>
          <w:tcPr>
            <w:tcW w:type="dxa" w:w="2835"/>
            <w:shd w:val="clear" w:fill="00778B"/>
          </w:tcPr>
          <w:p>
            <w:r/>
            <w:r>
              <w:rPr>
                <w:b/>
                <w:color w:val="FFFFFF"/>
                <w:sz w:val="19"/>
              </w:rPr>
              <w:t>Station</w:t>
            </w:r>
          </w:p>
        </w:tc>
        <w:tc>
          <w:tcPr>
            <w:tcW w:type="dxa" w:w="1134"/>
            <w:shd w:val="clear" w:fill="00778B"/>
          </w:tcPr>
          <w:p>
            <w:r/>
            <w:r>
              <w:rPr>
                <w:b/>
                <w:color w:val="FFFFFF"/>
                <w:sz w:val="19"/>
              </w:rPr>
              <w:t>Railway</w:t>
            </w:r>
          </w:p>
        </w:tc>
        <w:tc>
          <w:tcPr>
            <w:tcW w:type="dxa" w:w="1417"/>
            <w:shd w:val="clear" w:fill="00778B"/>
          </w:tcPr>
          <w:p>
            <w:r/>
            <w:r>
              <w:rPr>
                <w:b/>
                <w:color w:val="FFFFFF"/>
                <w:sz w:val="19"/>
              </w:rPr>
              <w:t>Priority</w:t>
            </w:r>
          </w:p>
        </w:tc>
        <w:tc>
          <w:tcPr>
            <w:tcW w:type="dxa" w:w="1814"/>
            <w:shd w:val="clear" w:fill="00778B"/>
          </w:tcPr>
          <w:p>
            <w:r/>
            <w:r>
              <w:rPr>
                <w:b/>
                <w:color w:val="FFFFFF"/>
                <w:sz w:val="19"/>
              </w:rPr>
              <w:t>Survey start</w:t>
            </w:r>
          </w:p>
        </w:tc>
        <w:tc>
          <w:tcPr>
            <w:tcW w:type="dxa" w:w="1814"/>
            <w:shd w:val="clear" w:fill="00778B"/>
          </w:tcPr>
          <w:p>
            <w:r/>
            <w:r>
              <w:rPr>
                <w:b/>
                <w:color w:val="FFFFFF"/>
                <w:sz w:val="19"/>
              </w:rPr>
              <w:t>Station finish</w:t>
            </w:r>
          </w:p>
        </w:tc>
      </w:tr>
      <w:tr>
        <w:tc>
          <w:tcPr>
            <w:tcW w:type="dxa" w:w="2835"/>
          </w:tcPr>
          <w:p>
            <w:r/>
            <w:r>
              <w:rPr>
                <w:sz w:val="19"/>
              </w:rPr>
              <w:t>Riyadh (Thumamah)</w:t>
            </w:r>
          </w:p>
        </w:tc>
        <w:tc>
          <w:tcPr>
            <w:tcW w:type="dxa" w:w="1134"/>
          </w:tcPr>
          <w:p>
            <w:r/>
            <w:r>
              <w:rPr>
                <w:sz w:val="19"/>
              </w:rPr>
              <w:t>NSR</w:t>
            </w:r>
          </w:p>
        </w:tc>
        <w:tc>
          <w:tcPr>
            <w:tcW w:type="dxa" w:w="1417"/>
          </w:tcPr>
          <w:p>
            <w:r/>
            <w:r>
              <w:rPr>
                <w:sz w:val="19"/>
              </w:rPr>
              <w:t>Priority 1</w:t>
            </w:r>
          </w:p>
        </w:tc>
        <w:tc>
          <w:tcPr>
            <w:tcW w:type="dxa" w:w="1814"/>
          </w:tcPr>
          <w:p>
            <w:r/>
            <w:r>
              <w:rPr>
                <w:sz w:val="19"/>
              </w:rPr>
              <w:t>08 Nov 2026</w:t>
            </w:r>
          </w:p>
        </w:tc>
        <w:tc>
          <w:tcPr>
            <w:tcW w:type="dxa" w:w="1814"/>
          </w:tcPr>
          <w:p>
            <w:r/>
            <w:r>
              <w:rPr>
                <w:sz w:val="19"/>
              </w:rPr>
              <w:t>07 Feb 2028</w:t>
            </w:r>
          </w:p>
        </w:tc>
      </w:tr>
      <w:tr>
        <w:tc>
          <w:tcPr>
            <w:tcW w:type="dxa" w:w="2835"/>
          </w:tcPr>
          <w:p>
            <w:r/>
            <w:r>
              <w:rPr>
                <w:sz w:val="19"/>
              </w:rPr>
              <w:t>Makkah</w:t>
            </w:r>
          </w:p>
        </w:tc>
        <w:tc>
          <w:tcPr>
            <w:tcW w:type="dxa" w:w="1134"/>
          </w:tcPr>
          <w:p>
            <w:r/>
            <w:r>
              <w:rPr>
                <w:sz w:val="19"/>
              </w:rPr>
              <w:t>HHR</w:t>
            </w:r>
          </w:p>
        </w:tc>
        <w:tc>
          <w:tcPr>
            <w:tcW w:type="dxa" w:w="1417"/>
          </w:tcPr>
          <w:p>
            <w:r/>
            <w:r>
              <w:rPr>
                <w:sz w:val="19"/>
              </w:rPr>
              <w:t>Priority 1</w:t>
            </w:r>
          </w:p>
        </w:tc>
        <w:tc>
          <w:tcPr>
            <w:tcW w:type="dxa" w:w="1814"/>
          </w:tcPr>
          <w:p>
            <w:r/>
            <w:r>
              <w:rPr>
                <w:sz w:val="19"/>
              </w:rPr>
              <w:t>08 Nov 2026</w:t>
            </w:r>
          </w:p>
        </w:tc>
        <w:tc>
          <w:tcPr>
            <w:tcW w:type="dxa" w:w="1814"/>
          </w:tcPr>
          <w:p>
            <w:r/>
            <w:r>
              <w:rPr>
                <w:sz w:val="19"/>
              </w:rPr>
              <w:t>07 Aug 2028</w:t>
            </w:r>
          </w:p>
        </w:tc>
      </w:tr>
      <w:tr>
        <w:tc>
          <w:tcPr>
            <w:tcW w:type="dxa" w:w="2835"/>
          </w:tcPr>
          <w:p>
            <w:r/>
            <w:r>
              <w:rPr>
                <w:sz w:val="19"/>
              </w:rPr>
              <w:t>Riyadh (Malaz)</w:t>
            </w:r>
          </w:p>
        </w:tc>
        <w:tc>
          <w:tcPr>
            <w:tcW w:type="dxa" w:w="1134"/>
          </w:tcPr>
          <w:p>
            <w:r/>
            <w:r>
              <w:rPr>
                <w:sz w:val="19"/>
              </w:rPr>
              <w:t>EWR</w:t>
            </w:r>
          </w:p>
        </w:tc>
        <w:tc>
          <w:tcPr>
            <w:tcW w:type="dxa" w:w="1417"/>
          </w:tcPr>
          <w:p>
            <w:r/>
            <w:r>
              <w:rPr>
                <w:sz w:val="19"/>
              </w:rPr>
              <w:t>Priority 2</w:t>
            </w:r>
          </w:p>
        </w:tc>
        <w:tc>
          <w:tcPr>
            <w:tcW w:type="dxa" w:w="1814"/>
          </w:tcPr>
          <w:p>
            <w:r/>
            <w:r>
              <w:rPr>
                <w:sz w:val="19"/>
              </w:rPr>
              <w:t>15 Nov 2026</w:t>
            </w:r>
          </w:p>
        </w:tc>
        <w:tc>
          <w:tcPr>
            <w:tcW w:type="dxa" w:w="1814"/>
          </w:tcPr>
          <w:p>
            <w:r/>
            <w:r>
              <w:rPr>
                <w:sz w:val="19"/>
              </w:rPr>
              <w:t>13 Dec 2027</w:t>
            </w:r>
          </w:p>
        </w:tc>
      </w:tr>
      <w:tr>
        <w:tc>
          <w:tcPr>
            <w:tcW w:type="dxa" w:w="2835"/>
          </w:tcPr>
          <w:p>
            <w:r/>
            <w:r>
              <w:rPr>
                <w:sz w:val="19"/>
              </w:rPr>
              <w:t>Jeddah</w:t>
            </w:r>
          </w:p>
        </w:tc>
        <w:tc>
          <w:tcPr>
            <w:tcW w:type="dxa" w:w="1134"/>
          </w:tcPr>
          <w:p>
            <w:r/>
            <w:r>
              <w:rPr>
                <w:sz w:val="19"/>
              </w:rPr>
              <w:t>HHR</w:t>
            </w:r>
          </w:p>
        </w:tc>
        <w:tc>
          <w:tcPr>
            <w:tcW w:type="dxa" w:w="1417"/>
          </w:tcPr>
          <w:p>
            <w:r/>
            <w:r>
              <w:rPr>
                <w:sz w:val="19"/>
              </w:rPr>
              <w:t>Standard</w:t>
            </w:r>
          </w:p>
        </w:tc>
        <w:tc>
          <w:tcPr>
            <w:tcW w:type="dxa" w:w="1814"/>
          </w:tcPr>
          <w:p>
            <w:r/>
            <w:r>
              <w:rPr>
                <w:sz w:val="19"/>
              </w:rPr>
              <w:t>03 Mar 2027</w:t>
            </w:r>
          </w:p>
        </w:tc>
        <w:tc>
          <w:tcPr>
            <w:tcW w:type="dxa" w:w="1814"/>
          </w:tcPr>
          <w:p>
            <w:r/>
            <w:r>
              <w:rPr>
                <w:sz w:val="19"/>
              </w:rPr>
              <w:t>20 Sep 2028</w:t>
            </w:r>
          </w:p>
        </w:tc>
      </w:tr>
      <w:tr>
        <w:tc>
          <w:tcPr>
            <w:tcW w:type="dxa" w:w="2835"/>
          </w:tcPr>
          <w:p>
            <w:r/>
            <w:r>
              <w:rPr>
                <w:sz w:val="19"/>
              </w:rPr>
              <w:t>Dammam</w:t>
            </w:r>
          </w:p>
        </w:tc>
        <w:tc>
          <w:tcPr>
            <w:tcW w:type="dxa" w:w="1134"/>
          </w:tcPr>
          <w:p>
            <w:r/>
            <w:r>
              <w:rPr>
                <w:sz w:val="19"/>
              </w:rPr>
              <w:t>EWR</w:t>
            </w:r>
          </w:p>
        </w:tc>
        <w:tc>
          <w:tcPr>
            <w:tcW w:type="dxa" w:w="1417"/>
          </w:tcPr>
          <w:p>
            <w:r/>
            <w:r>
              <w:rPr>
                <w:sz w:val="19"/>
              </w:rPr>
              <w:t>Standard</w:t>
            </w:r>
          </w:p>
        </w:tc>
        <w:tc>
          <w:tcPr>
            <w:tcW w:type="dxa" w:w="1814"/>
          </w:tcPr>
          <w:p>
            <w:r/>
            <w:r>
              <w:rPr>
                <w:sz w:val="19"/>
              </w:rPr>
              <w:t>23 Jun 2027</w:t>
            </w:r>
          </w:p>
        </w:tc>
        <w:tc>
          <w:tcPr>
            <w:tcW w:type="dxa" w:w="1814"/>
          </w:tcPr>
          <w:p>
            <w:r/>
            <w:r>
              <w:rPr>
                <w:sz w:val="19"/>
              </w:rPr>
              <w:t>28 Jun 2028</w:t>
            </w:r>
          </w:p>
        </w:tc>
      </w:tr>
      <w:tr>
        <w:tc>
          <w:tcPr>
            <w:tcW w:type="dxa" w:w="2835"/>
          </w:tcPr>
          <w:p>
            <w:r/>
            <w:r>
              <w:rPr>
                <w:sz w:val="19"/>
              </w:rPr>
              <w:t>Al Qassim</w:t>
            </w:r>
          </w:p>
        </w:tc>
        <w:tc>
          <w:tcPr>
            <w:tcW w:type="dxa" w:w="1134"/>
          </w:tcPr>
          <w:p>
            <w:r/>
            <w:r>
              <w:rPr>
                <w:sz w:val="19"/>
              </w:rPr>
              <w:t>NSR</w:t>
            </w:r>
          </w:p>
        </w:tc>
        <w:tc>
          <w:tcPr>
            <w:tcW w:type="dxa" w:w="1417"/>
          </w:tcPr>
          <w:p>
            <w:r/>
            <w:r>
              <w:rPr>
                <w:sz w:val="19"/>
              </w:rPr>
              <w:t>Standard</w:t>
            </w:r>
          </w:p>
        </w:tc>
        <w:tc>
          <w:tcPr>
            <w:tcW w:type="dxa" w:w="1814"/>
          </w:tcPr>
          <w:p>
            <w:r/>
            <w:r>
              <w:rPr>
                <w:sz w:val="19"/>
              </w:rPr>
              <w:t>17 Aug 2027</w:t>
            </w:r>
          </w:p>
        </w:tc>
        <w:tc>
          <w:tcPr>
            <w:tcW w:type="dxa" w:w="1814"/>
          </w:tcPr>
          <w:p>
            <w:r/>
            <w:r>
              <w:rPr>
                <w:sz w:val="19"/>
              </w:rPr>
              <w:t>30 Aug 2028</w:t>
            </w:r>
          </w:p>
        </w:tc>
      </w:tr>
      <w:tr>
        <w:tc>
          <w:tcPr>
            <w:tcW w:type="dxa" w:w="2835"/>
          </w:tcPr>
          <w:p>
            <w:r/>
            <w:r>
              <w:rPr>
                <w:sz w:val="19"/>
              </w:rPr>
              <w:t>Hufuf</w:t>
            </w:r>
          </w:p>
        </w:tc>
        <w:tc>
          <w:tcPr>
            <w:tcW w:type="dxa" w:w="1134"/>
          </w:tcPr>
          <w:p>
            <w:r/>
            <w:r>
              <w:rPr>
                <w:sz w:val="19"/>
              </w:rPr>
              <w:t>EWR</w:t>
            </w:r>
          </w:p>
        </w:tc>
        <w:tc>
          <w:tcPr>
            <w:tcW w:type="dxa" w:w="1417"/>
          </w:tcPr>
          <w:p>
            <w:r/>
            <w:r>
              <w:rPr>
                <w:sz w:val="19"/>
              </w:rPr>
              <w:t>Standard</w:t>
            </w:r>
          </w:p>
        </w:tc>
        <w:tc>
          <w:tcPr>
            <w:tcW w:type="dxa" w:w="1814"/>
          </w:tcPr>
          <w:p>
            <w:r/>
            <w:r>
              <w:rPr>
                <w:sz w:val="19"/>
              </w:rPr>
              <w:t>17 Aug 2027</w:t>
            </w:r>
          </w:p>
        </w:tc>
        <w:tc>
          <w:tcPr>
            <w:tcW w:type="dxa" w:w="1814"/>
          </w:tcPr>
          <w:p>
            <w:r/>
            <w:r>
              <w:rPr>
                <w:sz w:val="19"/>
              </w:rPr>
              <w:t>22 Aug 2028</w:t>
            </w:r>
          </w:p>
        </w:tc>
      </w:tr>
      <w:tr>
        <w:tc>
          <w:tcPr>
            <w:tcW w:type="dxa" w:w="2835"/>
          </w:tcPr>
          <w:p>
            <w:r/>
            <w:r>
              <w:rPr>
                <w:sz w:val="19"/>
              </w:rPr>
              <w:t>Al Majma'ah</w:t>
            </w:r>
          </w:p>
        </w:tc>
        <w:tc>
          <w:tcPr>
            <w:tcW w:type="dxa" w:w="1134"/>
          </w:tcPr>
          <w:p>
            <w:r/>
            <w:r>
              <w:rPr>
                <w:sz w:val="19"/>
              </w:rPr>
              <w:t>NSR</w:t>
            </w:r>
          </w:p>
        </w:tc>
        <w:tc>
          <w:tcPr>
            <w:tcW w:type="dxa" w:w="1417"/>
          </w:tcPr>
          <w:p>
            <w:r/>
            <w:r>
              <w:rPr>
                <w:sz w:val="19"/>
              </w:rPr>
              <w:t>Standard</w:t>
            </w:r>
          </w:p>
        </w:tc>
        <w:tc>
          <w:tcPr>
            <w:tcW w:type="dxa" w:w="1814"/>
          </w:tcPr>
          <w:p>
            <w:r/>
            <w:r>
              <w:rPr>
                <w:sz w:val="19"/>
              </w:rPr>
              <w:t>06 Oct 2027</w:t>
            </w:r>
          </w:p>
        </w:tc>
        <w:tc>
          <w:tcPr>
            <w:tcW w:type="dxa" w:w="1814"/>
          </w:tcPr>
          <w:p>
            <w:r/>
            <w:r>
              <w:rPr>
                <w:sz w:val="19"/>
              </w:rPr>
              <w:t>18 Oct 2028</w:t>
            </w:r>
          </w:p>
        </w:tc>
      </w:tr>
      <w:tr>
        <w:tc>
          <w:tcPr>
            <w:tcW w:type="dxa" w:w="2835"/>
          </w:tcPr>
          <w:p>
            <w:r/>
            <w:r>
              <w:rPr>
                <w:sz w:val="19"/>
              </w:rPr>
              <w:t>KAEC</w:t>
            </w:r>
          </w:p>
        </w:tc>
        <w:tc>
          <w:tcPr>
            <w:tcW w:type="dxa" w:w="1134"/>
          </w:tcPr>
          <w:p>
            <w:r/>
            <w:r>
              <w:rPr>
                <w:sz w:val="19"/>
              </w:rPr>
              <w:t>HHR</w:t>
            </w:r>
          </w:p>
        </w:tc>
        <w:tc>
          <w:tcPr>
            <w:tcW w:type="dxa" w:w="1417"/>
          </w:tcPr>
          <w:p>
            <w:r/>
            <w:r>
              <w:rPr>
                <w:sz w:val="19"/>
              </w:rPr>
              <w:t>Standard</w:t>
            </w:r>
          </w:p>
        </w:tc>
        <w:tc>
          <w:tcPr>
            <w:tcW w:type="dxa" w:w="1814"/>
          </w:tcPr>
          <w:p>
            <w:r/>
            <w:r>
              <w:rPr>
                <w:sz w:val="19"/>
              </w:rPr>
              <w:t>06 Feb 2028</w:t>
            </w:r>
          </w:p>
        </w:tc>
        <w:tc>
          <w:tcPr>
            <w:tcW w:type="dxa" w:w="1814"/>
          </w:tcPr>
          <w:p>
            <w:r/>
            <w:r>
              <w:rPr>
                <w:sz w:val="19"/>
              </w:rPr>
              <w:t>23 Jul 2029</w:t>
            </w:r>
          </w:p>
        </w:tc>
      </w:tr>
      <w:tr>
        <w:tc>
          <w:tcPr>
            <w:tcW w:type="dxa" w:w="2835"/>
          </w:tcPr>
          <w:p>
            <w:r/>
            <w:r>
              <w:rPr>
                <w:sz w:val="19"/>
              </w:rPr>
              <w:t>Madinah</w:t>
            </w:r>
          </w:p>
        </w:tc>
        <w:tc>
          <w:tcPr>
            <w:tcW w:type="dxa" w:w="1134"/>
          </w:tcPr>
          <w:p>
            <w:r/>
            <w:r>
              <w:rPr>
                <w:sz w:val="19"/>
              </w:rPr>
              <w:t>HHR</w:t>
            </w:r>
          </w:p>
        </w:tc>
        <w:tc>
          <w:tcPr>
            <w:tcW w:type="dxa" w:w="1417"/>
          </w:tcPr>
          <w:p>
            <w:r/>
            <w:r>
              <w:rPr>
                <w:sz w:val="19"/>
              </w:rPr>
              <w:t>Standard</w:t>
            </w:r>
          </w:p>
        </w:tc>
        <w:tc>
          <w:tcPr>
            <w:tcW w:type="dxa" w:w="1814"/>
          </w:tcPr>
          <w:p>
            <w:r/>
            <w:r>
              <w:rPr>
                <w:sz w:val="19"/>
              </w:rPr>
              <w:t>06 Feb 2028</w:t>
            </w:r>
          </w:p>
        </w:tc>
        <w:tc>
          <w:tcPr>
            <w:tcW w:type="dxa" w:w="1814"/>
          </w:tcPr>
          <w:p>
            <w:r/>
            <w:r>
              <w:rPr>
                <w:sz w:val="19"/>
              </w:rPr>
              <w:t>29 Jul 2029</w:t>
            </w:r>
          </w:p>
        </w:tc>
      </w:tr>
      <w:tr>
        <w:tc>
          <w:tcPr>
            <w:tcW w:type="dxa" w:w="2835"/>
          </w:tcPr>
          <w:p>
            <w:r/>
            <w:r>
              <w:rPr>
                <w:sz w:val="19"/>
              </w:rPr>
              <w:t>Abqaiq</w:t>
            </w:r>
          </w:p>
        </w:tc>
        <w:tc>
          <w:tcPr>
            <w:tcW w:type="dxa" w:w="1134"/>
          </w:tcPr>
          <w:p>
            <w:r/>
            <w:r>
              <w:rPr>
                <w:sz w:val="19"/>
              </w:rPr>
              <w:t>EWR</w:t>
            </w:r>
          </w:p>
        </w:tc>
        <w:tc>
          <w:tcPr>
            <w:tcW w:type="dxa" w:w="1417"/>
          </w:tcPr>
          <w:p>
            <w:r/>
            <w:r>
              <w:rPr>
                <w:sz w:val="19"/>
              </w:rPr>
              <w:t>Standard</w:t>
            </w:r>
          </w:p>
        </w:tc>
        <w:tc>
          <w:tcPr>
            <w:tcW w:type="dxa" w:w="1814"/>
          </w:tcPr>
          <w:p>
            <w:r/>
            <w:r>
              <w:rPr>
                <w:sz w:val="19"/>
              </w:rPr>
              <w:t>30 Mar 2028</w:t>
            </w:r>
          </w:p>
        </w:tc>
        <w:tc>
          <w:tcPr>
            <w:tcW w:type="dxa" w:w="1814"/>
          </w:tcPr>
          <w:p>
            <w:r/>
            <w:r>
              <w:rPr>
                <w:sz w:val="19"/>
              </w:rPr>
              <w:t>01 Apr 2029</w:t>
            </w:r>
          </w:p>
        </w:tc>
      </w:tr>
      <w:tr>
        <w:tc>
          <w:tcPr>
            <w:tcW w:type="dxa" w:w="2835"/>
          </w:tcPr>
          <w:p>
            <w:r/>
            <w:r>
              <w:rPr>
                <w:sz w:val="19"/>
              </w:rPr>
              <w:t>Hail</w:t>
            </w:r>
          </w:p>
        </w:tc>
        <w:tc>
          <w:tcPr>
            <w:tcW w:type="dxa" w:w="1134"/>
          </w:tcPr>
          <w:p>
            <w:r/>
            <w:r>
              <w:rPr>
                <w:sz w:val="19"/>
              </w:rPr>
              <w:t>NSR</w:t>
            </w:r>
          </w:p>
        </w:tc>
        <w:tc>
          <w:tcPr>
            <w:tcW w:type="dxa" w:w="1417"/>
          </w:tcPr>
          <w:p>
            <w:r/>
            <w:r>
              <w:rPr>
                <w:sz w:val="19"/>
              </w:rPr>
              <w:t>Standard</w:t>
            </w:r>
          </w:p>
        </w:tc>
        <w:tc>
          <w:tcPr>
            <w:tcW w:type="dxa" w:w="1814"/>
          </w:tcPr>
          <w:p>
            <w:r/>
            <w:r>
              <w:rPr>
                <w:sz w:val="19"/>
              </w:rPr>
              <w:t>25 Apr 2028</w:t>
            </w:r>
          </w:p>
        </w:tc>
        <w:tc>
          <w:tcPr>
            <w:tcW w:type="dxa" w:w="1814"/>
          </w:tcPr>
          <w:p>
            <w:r/>
            <w:r>
              <w:rPr>
                <w:sz w:val="19"/>
              </w:rPr>
              <w:t>16 May 2029</w:t>
            </w:r>
          </w:p>
        </w:tc>
      </w:tr>
      <w:tr>
        <w:tc>
          <w:tcPr>
            <w:tcW w:type="dxa" w:w="2835"/>
          </w:tcPr>
          <w:p>
            <w:r/>
            <w:r>
              <w:rPr>
                <w:sz w:val="19"/>
              </w:rPr>
              <w:t>Al Jouf</w:t>
            </w:r>
          </w:p>
        </w:tc>
        <w:tc>
          <w:tcPr>
            <w:tcW w:type="dxa" w:w="1134"/>
          </w:tcPr>
          <w:p>
            <w:r/>
            <w:r>
              <w:rPr>
                <w:sz w:val="19"/>
              </w:rPr>
              <w:t>NSR</w:t>
            </w:r>
          </w:p>
        </w:tc>
        <w:tc>
          <w:tcPr>
            <w:tcW w:type="dxa" w:w="1417"/>
          </w:tcPr>
          <w:p>
            <w:r/>
            <w:r>
              <w:rPr>
                <w:sz w:val="19"/>
              </w:rPr>
              <w:t>Standard</w:t>
            </w:r>
          </w:p>
        </w:tc>
        <w:tc>
          <w:tcPr>
            <w:tcW w:type="dxa" w:w="1814"/>
          </w:tcPr>
          <w:p>
            <w:r/>
            <w:r>
              <w:rPr>
                <w:sz w:val="19"/>
              </w:rPr>
              <w:t>13 Jul 2028</w:t>
            </w:r>
          </w:p>
        </w:tc>
        <w:tc>
          <w:tcPr>
            <w:tcW w:type="dxa" w:w="1814"/>
          </w:tcPr>
          <w:p>
            <w:r/>
            <w:r>
              <w:rPr>
                <w:sz w:val="19"/>
              </w:rPr>
              <w:t>29 Jul 2029</w:t>
            </w:r>
          </w:p>
        </w:tc>
      </w:tr>
      <w:tr>
        <w:tc>
          <w:tcPr>
            <w:tcW w:type="dxa" w:w="2835"/>
          </w:tcPr>
          <w:p>
            <w:r/>
            <w:r>
              <w:rPr>
                <w:sz w:val="19"/>
              </w:rPr>
              <w:t>Al Qurayyat</w:t>
            </w:r>
          </w:p>
        </w:tc>
        <w:tc>
          <w:tcPr>
            <w:tcW w:type="dxa" w:w="1134"/>
          </w:tcPr>
          <w:p>
            <w:r/>
            <w:r>
              <w:rPr>
                <w:sz w:val="19"/>
              </w:rPr>
              <w:t>NSR</w:t>
            </w:r>
          </w:p>
        </w:tc>
        <w:tc>
          <w:tcPr>
            <w:tcW w:type="dxa" w:w="1417"/>
          </w:tcPr>
          <w:p>
            <w:r/>
            <w:r>
              <w:rPr>
                <w:sz w:val="19"/>
              </w:rPr>
              <w:t>Standard</w:t>
            </w:r>
          </w:p>
        </w:tc>
        <w:tc>
          <w:tcPr>
            <w:tcW w:type="dxa" w:w="1814"/>
          </w:tcPr>
          <w:p>
            <w:r/>
            <w:r>
              <w:rPr>
                <w:sz w:val="19"/>
              </w:rPr>
              <w:t>31 Aug 2028</w:t>
            </w:r>
          </w:p>
        </w:tc>
        <w:tc>
          <w:tcPr>
            <w:tcW w:type="dxa" w:w="1814"/>
          </w:tcPr>
          <w:p>
            <w:r/>
            <w:r>
              <w:rPr>
                <w:sz w:val="19"/>
              </w:rPr>
              <w:t>16 Sep 2029</w:t>
            </w:r>
          </w:p>
        </w:tc>
      </w:tr>
    </w:tbl>
    <w:p/>
    <w:p>
      <w:pPr>
        <w:pStyle w:val="Heading1"/>
      </w:pPr>
      <w:r>
        <w:t>6. Proof of concept at Riyadh (Thumamah)</w:t>
      </w:r>
    </w:p>
    <w:p>
      <w:r>
        <w:rPr>
          <w:b w:val="0"/>
        </w:rPr>
        <w:t>The POC covers three systems: CCTV, inspection and access control (Annex 3 section A3), and the network. It sits inside engineering because it validates the design before manufacture. SAR and the consultant approve the POC plan within 21 days, the Contractor builds and tests the POC, and the consultant then inspects and approves it within one month (22 working days: 10 for site inspection and 12 for approval). POC approval is a predecessor of the engineering approval milestone MS3 at this station, so manufacture of its equipment waits for it.</w:t>
      </w:r>
    </w:p>
    <w:tbl>
      <w:tblPr>
        <w:tblStyle w:val="TableGrid"/>
        <w:tblW w:type="auto" w:w="0"/>
        <w:tblLayout w:type="fixed"/>
        <w:tblLook w:firstColumn="1" w:firstRow="1" w:lastColumn="0" w:lastRow="0" w:noHBand="0" w:noVBand="1" w:val="04A0"/>
      </w:tblPr>
      <w:tblGrid>
        <w:gridCol w:w="1587"/>
        <w:gridCol w:w="4649"/>
        <w:gridCol w:w="1304"/>
        <w:gridCol w:w="1304"/>
        <w:gridCol w:w="680"/>
      </w:tblGrid>
      <w:tr>
        <w:tc>
          <w:tcPr>
            <w:tcW w:type="dxa" w:w="1587"/>
            <w:shd w:val="clear" w:fill="00778B"/>
          </w:tcPr>
          <w:p>
            <w:r/>
            <w:r>
              <w:rPr>
                <w:b/>
                <w:color w:val="FFFFFF"/>
                <w:sz w:val="19"/>
              </w:rPr>
              <w:t>ID</w:t>
            </w:r>
          </w:p>
        </w:tc>
        <w:tc>
          <w:tcPr>
            <w:tcW w:type="dxa" w:w="4649"/>
            <w:shd w:val="clear" w:fill="00778B"/>
          </w:tcPr>
          <w:p>
            <w:r/>
            <w:r>
              <w:rPr>
                <w:b/>
                <w:color w:val="FFFFFF"/>
                <w:sz w:val="19"/>
              </w:rPr>
              <w:t>Activity</w:t>
            </w:r>
          </w:p>
        </w:tc>
        <w:tc>
          <w:tcPr>
            <w:tcW w:type="dxa" w:w="1304"/>
            <w:shd w:val="clear" w:fill="00778B"/>
          </w:tcPr>
          <w:p>
            <w:r/>
            <w:r>
              <w:rPr>
                <w:b/>
                <w:color w:val="FFFFFF"/>
                <w:sz w:val="19"/>
              </w:rPr>
              <w:t>Start</w:t>
            </w:r>
          </w:p>
        </w:tc>
        <w:tc>
          <w:tcPr>
            <w:tcW w:type="dxa" w:w="1304"/>
            <w:shd w:val="clear" w:fill="00778B"/>
          </w:tcPr>
          <w:p>
            <w:r/>
            <w:r>
              <w:rPr>
                <w:b/>
                <w:color w:val="FFFFFF"/>
                <w:sz w:val="19"/>
              </w:rPr>
              <w:t>Finish</w:t>
            </w:r>
          </w:p>
        </w:tc>
        <w:tc>
          <w:tcPr>
            <w:tcW w:type="dxa" w:w="680"/>
            <w:shd w:val="clear" w:fill="00778B"/>
          </w:tcPr>
          <w:p>
            <w:r/>
            <w:r>
              <w:rPr>
                <w:b/>
                <w:color w:val="FFFFFF"/>
                <w:sz w:val="19"/>
              </w:rPr>
              <w:t>Days</w:t>
            </w:r>
          </w:p>
        </w:tc>
      </w:tr>
      <w:tr>
        <w:tc>
          <w:tcPr>
            <w:tcW w:type="dxa" w:w="1587"/>
          </w:tcPr>
          <w:p>
            <w:r/>
            <w:r>
              <w:rPr>
                <w:sz w:val="19"/>
              </w:rPr>
              <w:t>NRY-POC1010</w:t>
            </w:r>
          </w:p>
        </w:tc>
        <w:tc>
          <w:tcPr>
            <w:tcW w:type="dxa" w:w="4649"/>
          </w:tcPr>
          <w:p>
            <w:r/>
            <w:r>
              <w:rPr>
                <w:sz w:val="19"/>
              </w:rPr>
              <w:t>POC plan and test procedure: submittal - Riyadh (Thumamah)</w:t>
            </w:r>
          </w:p>
        </w:tc>
        <w:tc>
          <w:tcPr>
            <w:tcW w:type="dxa" w:w="1304"/>
          </w:tcPr>
          <w:p>
            <w:r/>
            <w:r>
              <w:rPr>
                <w:sz w:val="19"/>
              </w:rPr>
              <w:t>22 Nov 2026</w:t>
            </w:r>
          </w:p>
        </w:tc>
        <w:tc>
          <w:tcPr>
            <w:tcW w:type="dxa" w:w="1304"/>
          </w:tcPr>
          <w:p>
            <w:r/>
            <w:r>
              <w:rPr>
                <w:sz w:val="19"/>
              </w:rPr>
              <w:t>30 Nov 2026</w:t>
            </w:r>
          </w:p>
        </w:tc>
        <w:tc>
          <w:tcPr>
            <w:tcW w:type="dxa" w:w="680"/>
          </w:tcPr>
          <w:p>
            <w:r/>
            <w:r>
              <w:rPr>
                <w:sz w:val="19"/>
              </w:rPr>
              <w:t>7</w:t>
            </w:r>
          </w:p>
        </w:tc>
      </w:tr>
      <w:tr>
        <w:tc>
          <w:tcPr>
            <w:tcW w:type="dxa" w:w="1587"/>
          </w:tcPr>
          <w:p>
            <w:r/>
            <w:r>
              <w:rPr>
                <w:sz w:val="19"/>
              </w:rPr>
              <w:t>NRY-POC1020</w:t>
            </w:r>
          </w:p>
        </w:tc>
        <w:tc>
          <w:tcPr>
            <w:tcW w:type="dxa" w:w="4649"/>
          </w:tcPr>
          <w:p>
            <w:r/>
            <w:r>
              <w:rPr>
                <w:sz w:val="19"/>
              </w:rPr>
              <w:t>POC plan: SAR and consultant review and approval (21 days) - Riyadh (Thumamah)</w:t>
            </w:r>
          </w:p>
        </w:tc>
        <w:tc>
          <w:tcPr>
            <w:tcW w:type="dxa" w:w="1304"/>
          </w:tcPr>
          <w:p>
            <w:r/>
            <w:r>
              <w:rPr>
                <w:sz w:val="19"/>
              </w:rPr>
              <w:t>01 Dec 2026</w:t>
            </w:r>
          </w:p>
        </w:tc>
        <w:tc>
          <w:tcPr>
            <w:tcW w:type="dxa" w:w="1304"/>
          </w:tcPr>
          <w:p>
            <w:r/>
            <w:r>
              <w:rPr>
                <w:sz w:val="19"/>
              </w:rPr>
              <w:t>21 Dec 2026</w:t>
            </w:r>
          </w:p>
        </w:tc>
        <w:tc>
          <w:tcPr>
            <w:tcW w:type="dxa" w:w="680"/>
          </w:tcPr>
          <w:p>
            <w:r/>
            <w:r>
              <w:rPr>
                <w:sz w:val="19"/>
              </w:rPr>
              <w:t>15</w:t>
            </w:r>
          </w:p>
        </w:tc>
      </w:tr>
      <w:tr>
        <w:tc>
          <w:tcPr>
            <w:tcW w:type="dxa" w:w="1587"/>
          </w:tcPr>
          <w:p>
            <w:r/>
            <w:r>
              <w:rPr>
                <w:sz w:val="19"/>
              </w:rPr>
              <w:t>NRY-POC2010</w:t>
            </w:r>
          </w:p>
        </w:tc>
        <w:tc>
          <w:tcPr>
            <w:tcW w:type="dxa" w:w="4649"/>
          </w:tcPr>
          <w:p>
            <w:r/>
            <w:r>
              <w:rPr>
                <w:sz w:val="19"/>
              </w:rPr>
              <w:t>POC network: install test bed and fibre/IP backbone - Riyadh (Thumamah)</w:t>
            </w:r>
          </w:p>
        </w:tc>
        <w:tc>
          <w:tcPr>
            <w:tcW w:type="dxa" w:w="1304"/>
          </w:tcPr>
          <w:p>
            <w:r/>
            <w:r>
              <w:rPr>
                <w:sz w:val="19"/>
              </w:rPr>
              <w:t>22 Dec 2026</w:t>
            </w:r>
          </w:p>
        </w:tc>
        <w:tc>
          <w:tcPr>
            <w:tcW w:type="dxa" w:w="1304"/>
          </w:tcPr>
          <w:p>
            <w:r/>
            <w:r>
              <w:rPr>
                <w:sz w:val="19"/>
              </w:rPr>
              <w:t>04 Jan 2027</w:t>
            </w:r>
          </w:p>
        </w:tc>
        <w:tc>
          <w:tcPr>
            <w:tcW w:type="dxa" w:w="680"/>
          </w:tcPr>
          <w:p>
            <w:r/>
            <w:r>
              <w:rPr>
                <w:sz w:val="19"/>
              </w:rPr>
              <w:t>10</w:t>
            </w:r>
          </w:p>
        </w:tc>
      </w:tr>
      <w:tr>
        <w:tc>
          <w:tcPr>
            <w:tcW w:type="dxa" w:w="1587"/>
          </w:tcPr>
          <w:p>
            <w:r/>
            <w:r>
              <w:rPr>
                <w:sz w:val="19"/>
              </w:rPr>
              <w:t>NRY-POC2020</w:t>
            </w:r>
          </w:p>
        </w:tc>
        <w:tc>
          <w:tcPr>
            <w:tcW w:type="dxa" w:w="4649"/>
          </w:tcPr>
          <w:p>
            <w:r/>
            <w:r>
              <w:rPr>
                <w:sz w:val="19"/>
              </w:rPr>
              <w:t>POC CCTV: install and configure demonstration cameras and analytics - Riyadh (Thumamah)</w:t>
            </w:r>
          </w:p>
        </w:tc>
        <w:tc>
          <w:tcPr>
            <w:tcW w:type="dxa" w:w="1304"/>
          </w:tcPr>
          <w:p>
            <w:r/>
            <w:r>
              <w:rPr>
                <w:sz w:val="19"/>
              </w:rPr>
              <w:t>05 Jan 2027</w:t>
            </w:r>
          </w:p>
        </w:tc>
        <w:tc>
          <w:tcPr>
            <w:tcW w:type="dxa" w:w="1304"/>
          </w:tcPr>
          <w:p>
            <w:r/>
            <w:r>
              <w:rPr>
                <w:sz w:val="19"/>
              </w:rPr>
              <w:t>25 Jan 2027</w:t>
            </w:r>
          </w:p>
        </w:tc>
        <w:tc>
          <w:tcPr>
            <w:tcW w:type="dxa" w:w="680"/>
          </w:tcPr>
          <w:p>
            <w:r/>
            <w:r>
              <w:rPr>
                <w:sz w:val="19"/>
              </w:rPr>
              <w:t>15</w:t>
            </w:r>
          </w:p>
        </w:tc>
      </w:tr>
      <w:tr>
        <w:tc>
          <w:tcPr>
            <w:tcW w:type="dxa" w:w="1587"/>
          </w:tcPr>
          <w:p>
            <w:r/>
            <w:r>
              <w:rPr>
                <w:sz w:val="19"/>
              </w:rPr>
              <w:t>NRY-POC2030</w:t>
            </w:r>
          </w:p>
        </w:tc>
        <w:tc>
          <w:tcPr>
            <w:tcW w:type="dxa" w:w="4649"/>
          </w:tcPr>
          <w:p>
            <w:r/>
            <w:r>
              <w:rPr>
                <w:sz w:val="19"/>
              </w:rPr>
              <w:t>POC inspection and access control: install and configure demonstration points - Riyadh (Thumamah)</w:t>
            </w:r>
          </w:p>
        </w:tc>
        <w:tc>
          <w:tcPr>
            <w:tcW w:type="dxa" w:w="1304"/>
          </w:tcPr>
          <w:p>
            <w:r/>
            <w:r>
              <w:rPr>
                <w:sz w:val="19"/>
              </w:rPr>
              <w:t>05 Jan 2027</w:t>
            </w:r>
          </w:p>
        </w:tc>
        <w:tc>
          <w:tcPr>
            <w:tcW w:type="dxa" w:w="1304"/>
          </w:tcPr>
          <w:p>
            <w:r/>
            <w:r>
              <w:rPr>
                <w:sz w:val="19"/>
              </w:rPr>
              <w:t>25 Jan 2027</w:t>
            </w:r>
          </w:p>
        </w:tc>
        <w:tc>
          <w:tcPr>
            <w:tcW w:type="dxa" w:w="680"/>
          </w:tcPr>
          <w:p>
            <w:r/>
            <w:r>
              <w:rPr>
                <w:sz w:val="19"/>
              </w:rPr>
              <w:t>15</w:t>
            </w:r>
          </w:p>
        </w:tc>
      </w:tr>
      <w:tr>
        <w:tc>
          <w:tcPr>
            <w:tcW w:type="dxa" w:w="1587"/>
          </w:tcPr>
          <w:p>
            <w:r/>
            <w:r>
              <w:rPr>
                <w:sz w:val="19"/>
              </w:rPr>
              <w:t>NRY-POC3010</w:t>
            </w:r>
          </w:p>
        </w:tc>
        <w:tc>
          <w:tcPr>
            <w:tcW w:type="dxa" w:w="4649"/>
          </w:tcPr>
          <w:p>
            <w:r/>
            <w:r>
              <w:rPr>
                <w:sz w:val="19"/>
              </w:rPr>
              <w:t>POC integrated testing and demonstration (cameras, inspection, network) - Riyadh (Thumamah)</w:t>
            </w:r>
          </w:p>
        </w:tc>
        <w:tc>
          <w:tcPr>
            <w:tcW w:type="dxa" w:w="1304"/>
          </w:tcPr>
          <w:p>
            <w:r/>
            <w:r>
              <w:rPr>
                <w:sz w:val="19"/>
              </w:rPr>
              <w:t>26 Jan 2027</w:t>
            </w:r>
          </w:p>
        </w:tc>
        <w:tc>
          <w:tcPr>
            <w:tcW w:type="dxa" w:w="1304"/>
          </w:tcPr>
          <w:p>
            <w:r/>
            <w:r>
              <w:rPr>
                <w:sz w:val="19"/>
              </w:rPr>
              <w:t>08 Feb 2027</w:t>
            </w:r>
          </w:p>
        </w:tc>
        <w:tc>
          <w:tcPr>
            <w:tcW w:type="dxa" w:w="680"/>
          </w:tcPr>
          <w:p>
            <w:r/>
            <w:r>
              <w:rPr>
                <w:sz w:val="19"/>
              </w:rPr>
              <w:t>10</w:t>
            </w:r>
          </w:p>
        </w:tc>
      </w:tr>
      <w:tr>
        <w:tc>
          <w:tcPr>
            <w:tcW w:type="dxa" w:w="1587"/>
          </w:tcPr>
          <w:p>
            <w:r/>
            <w:r>
              <w:rPr>
                <w:sz w:val="19"/>
              </w:rPr>
              <w:t>NRY-POC3020</w:t>
            </w:r>
          </w:p>
        </w:tc>
        <w:tc>
          <w:tcPr>
            <w:tcW w:type="dxa" w:w="4649"/>
          </w:tcPr>
          <w:p>
            <w:r/>
            <w:r>
              <w:rPr>
                <w:sz w:val="19"/>
              </w:rPr>
              <w:t>POC test report: submittal - Riyadh (Thumamah)</w:t>
            </w:r>
          </w:p>
        </w:tc>
        <w:tc>
          <w:tcPr>
            <w:tcW w:type="dxa" w:w="1304"/>
          </w:tcPr>
          <w:p>
            <w:r/>
            <w:r>
              <w:rPr>
                <w:sz w:val="19"/>
              </w:rPr>
              <w:t>09 Feb 2027</w:t>
            </w:r>
          </w:p>
        </w:tc>
        <w:tc>
          <w:tcPr>
            <w:tcW w:type="dxa" w:w="1304"/>
          </w:tcPr>
          <w:p>
            <w:r/>
            <w:r>
              <w:rPr>
                <w:sz w:val="19"/>
              </w:rPr>
              <w:t>15 Feb 2027</w:t>
            </w:r>
          </w:p>
        </w:tc>
        <w:tc>
          <w:tcPr>
            <w:tcW w:type="dxa" w:w="680"/>
          </w:tcPr>
          <w:p>
            <w:r/>
            <w:r>
              <w:rPr>
                <w:sz w:val="19"/>
              </w:rPr>
              <w:t>5</w:t>
            </w:r>
          </w:p>
        </w:tc>
      </w:tr>
      <w:tr>
        <w:tc>
          <w:tcPr>
            <w:tcW w:type="dxa" w:w="1587"/>
          </w:tcPr>
          <w:p>
            <w:r/>
            <w:r>
              <w:rPr>
                <w:sz w:val="19"/>
              </w:rPr>
              <w:t>NRY-POC4010</w:t>
            </w:r>
          </w:p>
        </w:tc>
        <w:tc>
          <w:tcPr>
            <w:tcW w:type="dxa" w:w="4649"/>
          </w:tcPr>
          <w:p>
            <w:r/>
            <w:r>
              <w:rPr>
                <w:sz w:val="19"/>
              </w:rPr>
              <w:t>POC site inspection and witnessing with consultant - Riyadh (Thumamah)</w:t>
            </w:r>
          </w:p>
        </w:tc>
        <w:tc>
          <w:tcPr>
            <w:tcW w:type="dxa" w:w="1304"/>
          </w:tcPr>
          <w:p>
            <w:r/>
            <w:r>
              <w:rPr>
                <w:sz w:val="19"/>
              </w:rPr>
              <w:t>16 Feb 2027</w:t>
            </w:r>
          </w:p>
        </w:tc>
        <w:tc>
          <w:tcPr>
            <w:tcW w:type="dxa" w:w="1304"/>
          </w:tcPr>
          <w:p>
            <w:r/>
            <w:r>
              <w:rPr>
                <w:sz w:val="19"/>
              </w:rPr>
              <w:t>02 Mar 2027</w:t>
            </w:r>
          </w:p>
        </w:tc>
        <w:tc>
          <w:tcPr>
            <w:tcW w:type="dxa" w:w="680"/>
          </w:tcPr>
          <w:p>
            <w:r/>
            <w:r>
              <w:rPr>
                <w:sz w:val="19"/>
              </w:rPr>
              <w:t>10</w:t>
            </w:r>
          </w:p>
        </w:tc>
      </w:tr>
      <w:tr>
        <w:tc>
          <w:tcPr>
            <w:tcW w:type="dxa" w:w="1587"/>
          </w:tcPr>
          <w:p>
            <w:r/>
            <w:r>
              <w:rPr>
                <w:sz w:val="19"/>
              </w:rPr>
              <w:t>NRY-POC4020</w:t>
            </w:r>
          </w:p>
        </w:tc>
        <w:tc>
          <w:tcPr>
            <w:tcW w:type="dxa" w:w="4649"/>
          </w:tcPr>
          <w:p>
            <w:r/>
            <w:r>
              <w:rPr>
                <w:sz w:val="19"/>
              </w:rPr>
              <w:t>POC approval by SAR and consultant (inspection and approval within one month) - Riyadh (Thumamah)</w:t>
            </w:r>
          </w:p>
        </w:tc>
        <w:tc>
          <w:tcPr>
            <w:tcW w:type="dxa" w:w="1304"/>
          </w:tcPr>
          <w:p>
            <w:r/>
            <w:r>
              <w:rPr>
                <w:sz w:val="19"/>
              </w:rPr>
              <w:t>03 Mar 2027</w:t>
            </w:r>
          </w:p>
        </w:tc>
        <w:tc>
          <w:tcPr>
            <w:tcW w:type="dxa" w:w="1304"/>
          </w:tcPr>
          <w:p>
            <w:r/>
            <w:r>
              <w:rPr>
                <w:sz w:val="19"/>
              </w:rPr>
              <w:t>25 Mar 2027</w:t>
            </w:r>
          </w:p>
        </w:tc>
        <w:tc>
          <w:tcPr>
            <w:tcW w:type="dxa" w:w="680"/>
          </w:tcPr>
          <w:p>
            <w:r/>
            <w:r>
              <w:rPr>
                <w:sz w:val="19"/>
              </w:rPr>
              <w:t>12</w:t>
            </w:r>
          </w:p>
        </w:tc>
      </w:tr>
      <w:tr>
        <w:tc>
          <w:tcPr>
            <w:tcW w:type="dxa" w:w="1587"/>
          </w:tcPr>
          <w:p>
            <w:r/>
            <w:r>
              <w:rPr>
                <w:sz w:val="19"/>
              </w:rPr>
              <w:t>NRY-POC4100</w:t>
            </w:r>
          </w:p>
        </w:tc>
        <w:tc>
          <w:tcPr>
            <w:tcW w:type="dxa" w:w="4649"/>
          </w:tcPr>
          <w:p>
            <w:r/>
            <w:r>
              <w:rPr>
                <w:sz w:val="19"/>
              </w:rPr>
              <w:t>POC approved - Riyadh (Thumamah)</w:t>
            </w:r>
          </w:p>
        </w:tc>
        <w:tc>
          <w:tcPr>
            <w:tcW w:type="dxa" w:w="1304"/>
          </w:tcPr>
          <w:p>
            <w:r/>
            <w:r>
              <w:rPr>
                <w:sz w:val="19"/>
              </w:rPr>
              <w:t>28 Mar 2027</w:t>
            </w:r>
          </w:p>
        </w:tc>
        <w:tc>
          <w:tcPr>
            <w:tcW w:type="dxa" w:w="1304"/>
          </w:tcPr>
          <w:p>
            <w:r/>
            <w:r>
              <w:rPr>
                <w:sz w:val="19"/>
              </w:rPr>
              <w:t>25 Mar 2027</w:t>
            </w:r>
          </w:p>
        </w:tc>
        <w:tc>
          <w:tcPr>
            <w:tcW w:type="dxa" w:w="680"/>
          </w:tcPr>
          <w:p>
            <w:r/>
            <w:r>
              <w:rPr>
                <w:sz w:val="19"/>
              </w:rPr>
              <w:t>0</w:t>
            </w:r>
          </w:p>
        </w:tc>
      </w:tr>
    </w:tbl>
    <w:p/>
    <w:p>
      <w:r>
        <w:rPr>
          <w:b w:val="0"/>
        </w:rPr>
        <w:t>Cost note: Annex 3 has no separate POC item. The POC activities are funded from 15% of the Riyadh (Thumamah) design and engineering milestones (MS2 and MS3) until SAR confirms otherwise.</w:t>
      </w:r>
    </w:p>
    <w:p>
      <w:pPr>
        <w:pStyle w:val="Heading1"/>
      </w:pPr>
      <w:r>
        <w:t>7. Review and approval periods</w:t>
      </w:r>
    </w:p>
    <w:p>
      <w:r>
        <w:rPr>
          <w:b w:val="0"/>
        </w:rPr>
        <w:t>All SAR reviews and approvals of submissions are 21 days. In a Sunday to Thursday calendar that is three working weeks, so each approval activity is 15 working days. This applies to the initial and detailed baseline programme, the survey, every design stage, HCIS documents, POC plan, as-built documents and the taking-over application. The POC inspection and approval is a separate one month period as instructed.</w:t>
      </w:r>
    </w:p>
    <w:p>
      <w:r>
        <w:rPr>
          <w:b w:val="0"/>
        </w:rPr>
        <w:t>103 approval activities are loaded. Their durations: 10 days x 1, 12 days x 1, 15 days x 101 (working days).</w:t>
      </w:r>
    </w:p>
    <w:p>
      <w:pPr>
        <w:pStyle w:val="Heading1"/>
      </w:pPr>
      <w:r>
        <w:t>8.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ayout w:type="fixed"/>
        <w:tblLook w:firstColumn="1" w:firstRow="1" w:lastColumn="0" w:lastRow="0" w:noHBand="0" w:noVBand="1" w:val="04A0"/>
      </w:tblPr>
      <w:tblGrid>
        <w:gridCol w:w="2268"/>
        <w:gridCol w:w="2268"/>
        <w:gridCol w:w="4535"/>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9. Work breakdown structure</w:t>
      </w:r>
    </w:p>
    <w:p>
      <w:r>
        <w:rPr>
          <w:b w:val="0"/>
        </w:rPr>
        <w:t>The WBS follows EPC. Level 1 is the project (0580), level 2 the EPC phase (Engineering, Procurement, Construction, Commissioning and handover, plus Project management), level 3 the station, level 4 the design stage or work package (enabling works, civil, installation, POC), and level 5 the submittal, approval or area. There are 519 nodes. Levels 6 to 8 are not used because the contract gives no zone-level data; they can be added when it does.</w:t>
      </w:r>
    </w:p>
    <w:tbl>
      <w:tblPr>
        <w:tblStyle w:val="TableGrid"/>
        <w:tblW w:type="auto" w:w="0"/>
        <w:tblLayout w:type="fixed"/>
        <w:tblLook w:firstColumn="1" w:firstRow="1" w:lastColumn="0" w:lastRow="0" w:noHBand="0" w:noVBand="1" w:val="04A0"/>
      </w:tblPr>
      <w:tblGrid>
        <w:gridCol w:w="2268"/>
        <w:gridCol w:w="2268"/>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59</w:t>
            </w:r>
          </w:p>
        </w:tc>
      </w:tr>
      <w:tr>
        <w:tc>
          <w:tcPr>
            <w:tcW w:type="dxa" w:w="2268"/>
          </w:tcPr>
          <w:p>
            <w:r/>
            <w:r>
              <w:rPr>
                <w:sz w:val="19"/>
              </w:rPr>
              <w:t>4</w:t>
            </w:r>
          </w:p>
        </w:tc>
        <w:tc>
          <w:tcPr>
            <w:tcW w:type="dxa" w:w="2268"/>
          </w:tcPr>
          <w:p>
            <w:r/>
            <w:r>
              <w:rPr>
                <w:sz w:val="19"/>
              </w:rPr>
              <w:t>253</w:t>
            </w:r>
          </w:p>
        </w:tc>
      </w:tr>
      <w:tr>
        <w:tc>
          <w:tcPr>
            <w:tcW w:type="dxa" w:w="2268"/>
          </w:tcPr>
          <w:p>
            <w:r/>
            <w:r>
              <w:rPr>
                <w:sz w:val="19"/>
              </w:rPr>
              <w:t>5</w:t>
            </w:r>
          </w:p>
        </w:tc>
        <w:tc>
          <w:tcPr>
            <w:tcW w:type="dxa" w:w="2268"/>
          </w:tcPr>
          <w:p>
            <w:r/>
            <w:r>
              <w:rPr>
                <w:sz w:val="19"/>
              </w:rPr>
              <w:t>201</w:t>
            </w:r>
          </w:p>
        </w:tc>
      </w:tr>
    </w:tbl>
    <w:p/>
    <w:p>
      <w:pPr>
        <w:pStyle w:val="Heading1"/>
      </w:pPr>
      <w:r>
        <w:t>10. Engineering stages</w:t>
      </w:r>
    </w:p>
    <w:p>
      <w:r>
        <w:rPr>
          <w:b w:val="0"/>
        </w:rPr>
        <w:t>Engineering is divided by recognised design stage: site survey, concept design, preliminary design, detailed design, issued for construction, HCIS submission and as-built. Within each stage there is a submittal and a 21 day SAR approval. Procurement is released after the engineering approval milestone (MS3).</w:t>
      </w:r>
    </w:p>
    <w:p>
      <w:pPr>
        <w:pStyle w:val="Heading1"/>
      </w:pPr>
      <w:r>
        <w:t>11. Logic and sequencing</w:t>
      </w:r>
    </w:p>
    <w:p>
      <w:r>
        <w:rPr>
          <w:b w:val="0"/>
        </w:rPr>
        <w:t>Relationships are mainly finish to start, with a few start to start and finish to finish links. There are no date constraints. Priority stations start first; the other stations follow in waves calibrated so the last station completes inside the 36 month term. The only activity without a predecessor is NTP, and the only activity without a successor is contract completion.</w:t>
      </w:r>
    </w:p>
    <w:p>
      <w:pPr>
        <w:pStyle w:val="Heading1"/>
      </w:pPr>
      <w:r>
        <w:t>12. Station finish dates</w:t>
      </w:r>
    </w:p>
    <w:p>
      <w:r>
        <w:drawing>
          <wp:inline xmlns:a="http://schemas.openxmlformats.org/drawingml/2006/main" xmlns:pic="http://schemas.openxmlformats.org/drawingml/2006/picture">
            <wp:extent cx="5580000" cy="2976000"/>
            <wp:docPr id="2" name="Picture 2"/>
            <wp:cNvGraphicFramePr>
              <a:graphicFrameLocks noChangeAspect="1"/>
            </wp:cNvGraphicFramePr>
            <a:graphic>
              <a:graphicData uri="http://schemas.openxmlformats.org/drawingml/2006/picture">
                <pic:pic>
                  <pic:nvPicPr>
                    <pic:cNvPr id="0" name="fin.png"/>
                    <pic:cNvPicPr/>
                  </pic:nvPicPr>
                  <pic:blipFill>
                    <a:blip r:embed="rId11"/>
                    <a:stretch>
                      <a:fillRect/>
                    </a:stretch>
                  </pic:blipFill>
                  <pic:spPr>
                    <a:xfrm>
                      <a:off x="0" y="0"/>
                      <a:ext cx="5580000" cy="2976000"/>
                    </a:xfrm>
                    <a:prstGeom prst="rect"/>
                  </pic:spPr>
                </pic:pic>
              </a:graphicData>
            </a:graphic>
          </wp:inline>
        </w:drawing>
      </w:r>
    </w:p>
    <w:p>
      <w:pPr>
        <w:pStyle w:val="Heading1"/>
      </w:pPr>
      <w:r>
        <w:t>13. Longest path and near-critical activities</w:t>
      </w:r>
    </w:p>
    <w:p>
      <w:r>
        <w:rPr>
          <w:b w:val="0"/>
        </w:rPr>
        <w:t>The contract completion milestone is held by the 36 month term, so no activity has zero float against it. The longest physical path finishes 22 working days before the contract end date, and that margin is the project float. 28 tasks sit on this longest path and 7 more are within 20 working days of it. The first 25 in date order are listed below.</w:t>
      </w:r>
    </w:p>
    <w:tbl>
      <w:tblPr>
        <w:tblStyle w:val="TableGrid"/>
        <w:tblW w:type="auto" w:w="0"/>
        <w:tblLayout w:type="fixed"/>
        <w:tblLook w:firstColumn="1" w:firstRow="1" w:lastColumn="0" w:lastRow="0" w:noHBand="0" w:noVBand="1" w:val="04A0"/>
      </w:tblPr>
      <w:tblGrid>
        <w:gridCol w:w="1701"/>
        <w:gridCol w:w="4252"/>
        <w:gridCol w:w="1587"/>
        <w:gridCol w:w="1587"/>
        <w:gridCol w:w="1134"/>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NRY-E1010</w:t>
            </w:r>
          </w:p>
        </w:tc>
        <w:tc>
          <w:tcPr>
            <w:tcW w:type="dxa" w:w="4252"/>
          </w:tcPr>
          <w:p>
            <w:r/>
            <w:r>
              <w:rPr>
                <w:sz w:val="19"/>
              </w:rPr>
              <w:t>Survey: submittal of site survey and as-found report - Riyadh (Thumamah)</w:t>
            </w:r>
          </w:p>
        </w:tc>
        <w:tc>
          <w:tcPr>
            <w:tcW w:type="dxa" w:w="1587"/>
          </w:tcPr>
          <w:p>
            <w:r/>
            <w:r>
              <w:rPr>
                <w:sz w:val="19"/>
              </w:rPr>
              <w:t>08 Nov 2026</w:t>
            </w:r>
          </w:p>
        </w:tc>
        <w:tc>
          <w:tcPr>
            <w:tcW w:type="dxa" w:w="1587"/>
          </w:tcPr>
          <w:p>
            <w:r/>
            <w:r>
              <w:rPr>
                <w:sz w:val="19"/>
              </w:rPr>
              <w:t>19 Nov 2026</w:t>
            </w:r>
          </w:p>
        </w:tc>
        <w:tc>
          <w:tcPr>
            <w:tcW w:type="dxa" w:w="1134"/>
          </w:tcPr>
          <w:p>
            <w:r/>
            <w:r>
              <w:rPr>
                <w:sz w:val="19"/>
              </w:rPr>
              <w:t>32</w:t>
            </w:r>
          </w:p>
        </w:tc>
      </w:tr>
      <w:tr>
        <w:tc>
          <w:tcPr>
            <w:tcW w:type="dxa" w:w="1701"/>
          </w:tcPr>
          <w:p>
            <w:r/>
            <w:r>
              <w:rPr>
                <w:sz w:val="19"/>
              </w:rPr>
              <w:t>HMK-E1010</w:t>
            </w:r>
          </w:p>
        </w:tc>
        <w:tc>
          <w:tcPr>
            <w:tcW w:type="dxa" w:w="4252"/>
          </w:tcPr>
          <w:p>
            <w:r/>
            <w:r>
              <w:rPr>
                <w:sz w:val="19"/>
              </w:rPr>
              <w:t>Survey: submittal of site survey and as-found report - Makkah</w:t>
            </w:r>
          </w:p>
        </w:tc>
        <w:tc>
          <w:tcPr>
            <w:tcW w:type="dxa" w:w="1587"/>
          </w:tcPr>
          <w:p>
            <w:r/>
            <w:r>
              <w:rPr>
                <w:sz w:val="19"/>
              </w:rPr>
              <w:t>08 Nov 2026</w:t>
            </w:r>
          </w:p>
        </w:tc>
        <w:tc>
          <w:tcPr>
            <w:tcW w:type="dxa" w:w="1587"/>
          </w:tcPr>
          <w:p>
            <w:r/>
            <w:r>
              <w:rPr>
                <w:sz w:val="19"/>
              </w:rPr>
              <w:t>03 Dec 2026</w:t>
            </w:r>
          </w:p>
        </w:tc>
        <w:tc>
          <w:tcPr>
            <w:tcW w:type="dxa" w:w="1134"/>
          </w:tcPr>
          <w:p>
            <w:r/>
            <w:r>
              <w:rPr>
                <w:sz w:val="19"/>
              </w:rPr>
              <w:t>22</w:t>
            </w:r>
          </w:p>
        </w:tc>
      </w:tr>
      <w:tr>
        <w:tc>
          <w:tcPr>
            <w:tcW w:type="dxa" w:w="1701"/>
          </w:tcPr>
          <w:p>
            <w:r/>
            <w:r>
              <w:rPr>
                <w:sz w:val="19"/>
              </w:rPr>
              <w:t>ERY-E1010</w:t>
            </w:r>
          </w:p>
        </w:tc>
        <w:tc>
          <w:tcPr>
            <w:tcW w:type="dxa" w:w="4252"/>
          </w:tcPr>
          <w:p>
            <w:r/>
            <w:r>
              <w:rPr>
                <w:sz w:val="19"/>
              </w:rPr>
              <w:t>Survey: submittal of site survey and as-found report - Riyadh (Malaz)</w:t>
            </w:r>
          </w:p>
        </w:tc>
        <w:tc>
          <w:tcPr>
            <w:tcW w:type="dxa" w:w="1587"/>
          </w:tcPr>
          <w:p>
            <w:r/>
            <w:r>
              <w:rPr>
                <w:sz w:val="19"/>
              </w:rPr>
              <w:t>15 Nov 2026</w:t>
            </w:r>
          </w:p>
        </w:tc>
        <w:tc>
          <w:tcPr>
            <w:tcW w:type="dxa" w:w="1587"/>
          </w:tcPr>
          <w:p>
            <w:r/>
            <w:r>
              <w:rPr>
                <w:sz w:val="19"/>
              </w:rPr>
              <w:t>26 Nov 2026</w:t>
            </w:r>
          </w:p>
        </w:tc>
        <w:tc>
          <w:tcPr>
            <w:tcW w:type="dxa" w:w="1134"/>
          </w:tcPr>
          <w:p>
            <w:r/>
            <w:r>
              <w:rPr>
                <w:sz w:val="19"/>
              </w:rPr>
              <w:t>27</w:t>
            </w:r>
          </w:p>
        </w:tc>
      </w:tr>
      <w:tr>
        <w:tc>
          <w:tcPr>
            <w:tcW w:type="dxa" w:w="1701"/>
          </w:tcPr>
          <w:p>
            <w:r/>
            <w:r>
              <w:rPr>
                <w:sz w:val="19"/>
              </w:rPr>
              <w:t>PRJ-A2010</w:t>
            </w:r>
          </w:p>
        </w:tc>
        <w:tc>
          <w:tcPr>
            <w:tcW w:type="dxa" w:w="4252"/>
          </w:tcPr>
          <w:p>
            <w:r/>
            <w:r>
              <w:rPr>
                <w:sz w:val="19"/>
              </w:rPr>
              <w:t>Detailed baseline programme (within 21 days after survey)</w:t>
            </w:r>
          </w:p>
        </w:tc>
        <w:tc>
          <w:tcPr>
            <w:tcW w:type="dxa" w:w="1587"/>
          </w:tcPr>
          <w:p>
            <w:r/>
            <w:r>
              <w:rPr>
                <w:sz w:val="19"/>
              </w:rPr>
              <w:t>06 Dec 2026</w:t>
            </w:r>
          </w:p>
        </w:tc>
        <w:tc>
          <w:tcPr>
            <w:tcW w:type="dxa" w:w="1587"/>
          </w:tcPr>
          <w:p>
            <w:r/>
            <w:r>
              <w:rPr>
                <w:sz w:val="19"/>
              </w:rPr>
              <w:t>24 Dec 2026</w:t>
            </w:r>
          </w:p>
        </w:tc>
        <w:tc>
          <w:tcPr>
            <w:tcW w:type="dxa" w:w="1134"/>
          </w:tcPr>
          <w:p>
            <w:r/>
            <w:r>
              <w:rPr>
                <w:sz w:val="19"/>
              </w:rPr>
              <w:t>22</w:t>
            </w:r>
          </w:p>
        </w:tc>
      </w:tr>
      <w:tr>
        <w:tc>
          <w:tcPr>
            <w:tcW w:type="dxa" w:w="1701"/>
          </w:tcPr>
          <w:p>
            <w:r/>
            <w:r>
              <w:rPr>
                <w:sz w:val="19"/>
              </w:rPr>
              <w:t>PRJ-A2020</w:t>
            </w:r>
          </w:p>
        </w:tc>
        <w:tc>
          <w:tcPr>
            <w:tcW w:type="dxa" w:w="4252"/>
          </w:tcPr>
          <w:p>
            <w:r/>
            <w:r>
              <w:rPr>
                <w:sz w:val="19"/>
              </w:rPr>
              <w:t>SAR review and approval of detailed baseline</w:t>
            </w:r>
          </w:p>
        </w:tc>
        <w:tc>
          <w:tcPr>
            <w:tcW w:type="dxa" w:w="1587"/>
          </w:tcPr>
          <w:p>
            <w:r/>
            <w:r>
              <w:rPr>
                <w:sz w:val="19"/>
              </w:rPr>
              <w:t>27 Dec 2026</w:t>
            </w:r>
          </w:p>
        </w:tc>
        <w:tc>
          <w:tcPr>
            <w:tcW w:type="dxa" w:w="1587"/>
          </w:tcPr>
          <w:p>
            <w:r/>
            <w:r>
              <w:rPr>
                <w:sz w:val="19"/>
              </w:rPr>
              <w:t>14 Jan 2027</w:t>
            </w:r>
          </w:p>
        </w:tc>
        <w:tc>
          <w:tcPr>
            <w:tcW w:type="dxa" w:w="1134"/>
          </w:tcPr>
          <w:p>
            <w:r/>
            <w:r>
              <w:rPr>
                <w:sz w:val="19"/>
              </w:rPr>
              <w:t>22</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31 Aug 2028</w:t>
            </w:r>
          </w:p>
        </w:tc>
        <w:tc>
          <w:tcPr>
            <w:tcW w:type="dxa" w:w="1587"/>
          </w:tcPr>
          <w:p>
            <w:r/>
            <w:r>
              <w:rPr>
                <w:sz w:val="19"/>
              </w:rPr>
              <w:t>13 Sep 2028</w:t>
            </w:r>
          </w:p>
        </w:tc>
        <w:tc>
          <w:tcPr>
            <w:tcW w:type="dxa" w:w="1134"/>
          </w:tcPr>
          <w:p>
            <w:r/>
            <w:r>
              <w:rPr>
                <w:sz w:val="19"/>
              </w:rPr>
              <w:t>22</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14 Sep 2028</w:t>
            </w:r>
          </w:p>
        </w:tc>
        <w:tc>
          <w:tcPr>
            <w:tcW w:type="dxa" w:w="1587"/>
          </w:tcPr>
          <w:p>
            <w:r/>
            <w:r>
              <w:rPr>
                <w:sz w:val="19"/>
              </w:rPr>
              <w:t>20 Sep 2028</w:t>
            </w:r>
          </w:p>
        </w:tc>
        <w:tc>
          <w:tcPr>
            <w:tcW w:type="dxa" w:w="1134"/>
          </w:tcPr>
          <w:p>
            <w:r/>
            <w:r>
              <w:rPr>
                <w:sz w:val="19"/>
              </w:rPr>
              <w:t>22</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21 Sep 2028</w:t>
            </w:r>
          </w:p>
        </w:tc>
        <w:tc>
          <w:tcPr>
            <w:tcW w:type="dxa" w:w="1587"/>
          </w:tcPr>
          <w:p>
            <w:r/>
            <w:r>
              <w:rPr>
                <w:sz w:val="19"/>
              </w:rPr>
              <w:t>02 Oct 2028</w:t>
            </w:r>
          </w:p>
        </w:tc>
        <w:tc>
          <w:tcPr>
            <w:tcW w:type="dxa" w:w="1134"/>
          </w:tcPr>
          <w:p>
            <w:r/>
            <w:r>
              <w:rPr>
                <w:sz w:val="19"/>
              </w:rPr>
              <w:t>22</w:t>
            </w:r>
          </w:p>
        </w:tc>
      </w:tr>
      <w:tr>
        <w:tc>
          <w:tcPr>
            <w:tcW w:type="dxa" w:w="1701"/>
          </w:tcPr>
          <w:p>
            <w:r/>
            <w:r>
              <w:rPr>
                <w:sz w:val="19"/>
              </w:rPr>
              <w:t>NQR-E1060</w:t>
            </w:r>
          </w:p>
        </w:tc>
        <w:tc>
          <w:tcPr>
            <w:tcW w:type="dxa" w:w="4252"/>
          </w:tcPr>
          <w:p>
            <w:r/>
            <w:r>
              <w:rPr>
                <w:sz w:val="19"/>
              </w:rPr>
              <w:t>Preliminary design: SAR review and approval - Al Qurayyat</w:t>
            </w:r>
          </w:p>
        </w:tc>
        <w:tc>
          <w:tcPr>
            <w:tcW w:type="dxa" w:w="1587"/>
          </w:tcPr>
          <w:p>
            <w:r/>
            <w:r>
              <w:rPr>
                <w:sz w:val="19"/>
              </w:rPr>
              <w:t>03 Oct 2028</w:t>
            </w:r>
          </w:p>
        </w:tc>
        <w:tc>
          <w:tcPr>
            <w:tcW w:type="dxa" w:w="1587"/>
          </w:tcPr>
          <w:p>
            <w:r/>
            <w:r>
              <w:rPr>
                <w:sz w:val="19"/>
              </w:rPr>
              <w:t>23 Oct 2028</w:t>
            </w:r>
          </w:p>
        </w:tc>
        <w:tc>
          <w:tcPr>
            <w:tcW w:type="dxa" w:w="1134"/>
          </w:tcPr>
          <w:p>
            <w:r/>
            <w:r>
              <w:rPr>
                <w:sz w:val="19"/>
              </w:rPr>
              <w:t>39</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03 Oct 2028</w:t>
            </w:r>
          </w:p>
        </w:tc>
        <w:tc>
          <w:tcPr>
            <w:tcW w:type="dxa" w:w="1587"/>
          </w:tcPr>
          <w:p>
            <w:r/>
            <w:r>
              <w:rPr>
                <w:sz w:val="19"/>
              </w:rPr>
              <w:t>18 Oct 2028</w:t>
            </w:r>
          </w:p>
        </w:tc>
        <w:tc>
          <w:tcPr>
            <w:tcW w:type="dxa" w:w="1134"/>
          </w:tcPr>
          <w:p>
            <w:r/>
            <w:r>
              <w:rPr>
                <w:sz w:val="19"/>
              </w:rPr>
              <w:t>22</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10 Oct 2028</w:t>
            </w:r>
          </w:p>
        </w:tc>
        <w:tc>
          <w:tcPr>
            <w:tcW w:type="dxa" w:w="1587"/>
          </w:tcPr>
          <w:p>
            <w:r/>
            <w:r>
              <w:rPr>
                <w:sz w:val="19"/>
              </w:rPr>
              <w:t>25 Oct 2028</w:t>
            </w:r>
          </w:p>
        </w:tc>
        <w:tc>
          <w:tcPr>
            <w:tcW w:type="dxa" w:w="1134"/>
          </w:tcPr>
          <w:p>
            <w:r/>
            <w:r>
              <w:rPr>
                <w:sz w:val="19"/>
              </w:rPr>
              <w:t>22</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19 Oct 2028</w:t>
            </w:r>
          </w:p>
        </w:tc>
        <w:tc>
          <w:tcPr>
            <w:tcW w:type="dxa" w:w="1587"/>
          </w:tcPr>
          <w:p>
            <w:r/>
            <w:r>
              <w:rPr>
                <w:sz w:val="19"/>
              </w:rPr>
              <w:t>08 Nov 2028</w:t>
            </w:r>
          </w:p>
        </w:tc>
        <w:tc>
          <w:tcPr>
            <w:tcW w:type="dxa" w:w="1134"/>
          </w:tcPr>
          <w:p>
            <w:r/>
            <w:r>
              <w:rPr>
                <w:sz w:val="19"/>
              </w:rPr>
              <w:t>27</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19 Oct 2028</w:t>
            </w:r>
          </w:p>
        </w:tc>
        <w:tc>
          <w:tcPr>
            <w:tcW w:type="dxa" w:w="1587"/>
          </w:tcPr>
          <w:p>
            <w:r/>
            <w:r>
              <w:rPr>
                <w:sz w:val="19"/>
              </w:rPr>
              <w:t>25 Oct 2028</w:t>
            </w:r>
          </w:p>
        </w:tc>
        <w:tc>
          <w:tcPr>
            <w:tcW w:type="dxa" w:w="1134"/>
          </w:tcPr>
          <w:p>
            <w:r/>
            <w:r>
              <w:rPr>
                <w:sz w:val="19"/>
              </w:rPr>
              <w:t>22</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26 Oct 2028</w:t>
            </w:r>
          </w:p>
        </w:tc>
        <w:tc>
          <w:tcPr>
            <w:tcW w:type="dxa" w:w="1587"/>
          </w:tcPr>
          <w:p>
            <w:r/>
            <w:r>
              <w:rPr>
                <w:sz w:val="19"/>
              </w:rPr>
              <w:t>15 Nov 2028</w:t>
            </w:r>
          </w:p>
        </w:tc>
        <w:tc>
          <w:tcPr>
            <w:tcW w:type="dxa" w:w="1134"/>
          </w:tcPr>
          <w:p>
            <w:r/>
            <w:r>
              <w:rPr>
                <w:sz w:val="19"/>
              </w:rPr>
              <w:t>22</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26 Oct 2028</w:t>
            </w:r>
          </w:p>
        </w:tc>
        <w:tc>
          <w:tcPr>
            <w:tcW w:type="dxa" w:w="1587"/>
          </w:tcPr>
          <w:p>
            <w:r/>
            <w:r>
              <w:rPr>
                <w:sz w:val="19"/>
              </w:rPr>
              <w:t>15 Nov 2028</w:t>
            </w:r>
          </w:p>
        </w:tc>
        <w:tc>
          <w:tcPr>
            <w:tcW w:type="dxa" w:w="1134"/>
          </w:tcPr>
          <w:p>
            <w:r/>
            <w:r>
              <w:rPr>
                <w:sz w:val="19"/>
              </w:rPr>
              <w:t>22</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04 Mar 2029</w:t>
            </w:r>
          </w:p>
        </w:tc>
        <w:tc>
          <w:tcPr>
            <w:tcW w:type="dxa" w:w="1587"/>
          </w:tcPr>
          <w:p>
            <w:r/>
            <w:r>
              <w:rPr>
                <w:sz w:val="19"/>
              </w:rPr>
              <w:t>15 Mar 2029</w:t>
            </w:r>
          </w:p>
        </w:tc>
        <w:tc>
          <w:tcPr>
            <w:tcW w:type="dxa" w:w="1134"/>
          </w:tcPr>
          <w:p>
            <w:r/>
            <w:r>
              <w:rPr>
                <w:sz w:val="19"/>
              </w:rPr>
              <w:t>22</w:t>
            </w:r>
          </w:p>
        </w:tc>
      </w:tr>
      <w:tr>
        <w:tc>
          <w:tcPr>
            <w:tcW w:type="dxa" w:w="1701"/>
          </w:tcPr>
          <w:p>
            <w:r/>
            <w:r>
              <w:rPr>
                <w:sz w:val="19"/>
              </w:rPr>
              <w:t>NQR-P1060</w:t>
            </w:r>
          </w:p>
        </w:tc>
        <w:tc>
          <w:tcPr>
            <w:tcW w:type="dxa" w:w="4252"/>
          </w:tcPr>
          <w:p>
            <w:r/>
            <w:r>
              <w:rPr>
                <w:sz w:val="19"/>
              </w:rPr>
              <w:t>Shipping and customs clearance - Al Qurayyat</w:t>
            </w:r>
          </w:p>
        </w:tc>
        <w:tc>
          <w:tcPr>
            <w:tcW w:type="dxa" w:w="1587"/>
          </w:tcPr>
          <w:p>
            <w:r/>
            <w:r>
              <w:rPr>
                <w:sz w:val="19"/>
              </w:rPr>
              <w:t>18 Mar 2029</w:t>
            </w:r>
          </w:p>
        </w:tc>
        <w:tc>
          <w:tcPr>
            <w:tcW w:type="dxa" w:w="1587"/>
          </w:tcPr>
          <w:p>
            <w:r/>
            <w:r>
              <w:rPr>
                <w:sz w:val="19"/>
              </w:rPr>
              <w:t>19 Apr 2029</w:t>
            </w:r>
          </w:p>
        </w:tc>
        <w:tc>
          <w:tcPr>
            <w:tcW w:type="dxa" w:w="1134"/>
          </w:tcPr>
          <w:p>
            <w:r/>
            <w:r>
              <w:rPr>
                <w:sz w:val="19"/>
              </w:rPr>
              <w:t>22</w:t>
            </w:r>
          </w:p>
        </w:tc>
      </w:tr>
      <w:tr>
        <w:tc>
          <w:tcPr>
            <w:tcW w:type="dxa" w:w="1701"/>
          </w:tcPr>
          <w:p>
            <w:r/>
            <w:r>
              <w:rPr>
                <w:sz w:val="19"/>
              </w:rPr>
              <w:t>NQR-P1070</w:t>
            </w:r>
          </w:p>
        </w:tc>
        <w:tc>
          <w:tcPr>
            <w:tcW w:type="dxa" w:w="4252"/>
          </w:tcPr>
          <w:p>
            <w:r/>
            <w:r>
              <w:rPr>
                <w:sz w:val="19"/>
              </w:rPr>
              <w:t>Delivery to station and receiving inspection - Al Qurayyat</w:t>
            </w:r>
          </w:p>
        </w:tc>
        <w:tc>
          <w:tcPr>
            <w:tcW w:type="dxa" w:w="1587"/>
          </w:tcPr>
          <w:p>
            <w:r/>
            <w:r>
              <w:rPr>
                <w:sz w:val="19"/>
              </w:rPr>
              <w:t>29 Apr 2029</w:t>
            </w:r>
          </w:p>
        </w:tc>
        <w:tc>
          <w:tcPr>
            <w:tcW w:type="dxa" w:w="1587"/>
          </w:tcPr>
          <w:p>
            <w:r/>
            <w:r>
              <w:rPr>
                <w:sz w:val="19"/>
              </w:rPr>
              <w:t>03 May 2029</w:t>
            </w:r>
          </w:p>
        </w:tc>
        <w:tc>
          <w:tcPr>
            <w:tcW w:type="dxa" w:w="1134"/>
          </w:tcPr>
          <w:p>
            <w:r/>
            <w:r>
              <w:rPr>
                <w:sz w:val="19"/>
              </w:rPr>
              <w:t>22</w:t>
            </w:r>
          </w:p>
        </w:tc>
      </w:tr>
      <w:tr>
        <w:tc>
          <w:tcPr>
            <w:tcW w:type="dxa" w:w="1701"/>
          </w:tcPr>
          <w:p>
            <w:r/>
            <w:r>
              <w:rPr>
                <w:sz w:val="19"/>
              </w:rPr>
              <w:t>NQR-C2010</w:t>
            </w:r>
          </w:p>
        </w:tc>
        <w:tc>
          <w:tcPr>
            <w:tcW w:type="dxa" w:w="4252"/>
          </w:tcPr>
          <w:p>
            <w:r/>
            <w:r>
              <w:rPr>
                <w:sz w:val="19"/>
              </w:rPr>
              <w:t>Install UPS, network switches and field cabinets - Al Qurayyat</w:t>
            </w:r>
          </w:p>
        </w:tc>
        <w:tc>
          <w:tcPr>
            <w:tcW w:type="dxa" w:w="1587"/>
          </w:tcPr>
          <w:p>
            <w:r/>
            <w:r>
              <w:rPr>
                <w:sz w:val="19"/>
              </w:rPr>
              <w:t>06 May 2029</w:t>
            </w:r>
          </w:p>
        </w:tc>
        <w:tc>
          <w:tcPr>
            <w:tcW w:type="dxa" w:w="1587"/>
          </w:tcPr>
          <w:p>
            <w:r/>
            <w:r>
              <w:rPr>
                <w:sz w:val="19"/>
              </w:rPr>
              <w:t>20 May 2029</w:t>
            </w:r>
          </w:p>
        </w:tc>
        <w:tc>
          <w:tcPr>
            <w:tcW w:type="dxa" w:w="1134"/>
          </w:tcPr>
          <w:p>
            <w:r/>
            <w:r>
              <w:rPr>
                <w:sz w:val="19"/>
              </w:rPr>
              <w:t>22</w:t>
            </w:r>
          </w:p>
        </w:tc>
      </w:tr>
      <w:tr>
        <w:tc>
          <w:tcPr>
            <w:tcW w:type="dxa" w:w="1701"/>
          </w:tcPr>
          <w:p>
            <w:r/>
            <w:r>
              <w:rPr>
                <w:sz w:val="19"/>
              </w:rPr>
              <w:t>NQR-C2020</w:t>
            </w:r>
          </w:p>
        </w:tc>
        <w:tc>
          <w:tcPr>
            <w:tcW w:type="dxa" w:w="4252"/>
          </w:tcPr>
          <w:p>
            <w:r/>
            <w:r>
              <w:rPr>
                <w:sz w:val="19"/>
              </w:rPr>
              <w:t>Cabling and termination (power, fibre, data) - Al Qurayyat</w:t>
            </w:r>
          </w:p>
        </w:tc>
        <w:tc>
          <w:tcPr>
            <w:tcW w:type="dxa" w:w="1587"/>
          </w:tcPr>
          <w:p>
            <w:r/>
            <w:r>
              <w:rPr>
                <w:sz w:val="19"/>
              </w:rPr>
              <w:t>10 May 2029</w:t>
            </w:r>
          </w:p>
        </w:tc>
        <w:tc>
          <w:tcPr>
            <w:tcW w:type="dxa" w:w="1587"/>
          </w:tcPr>
          <w:p>
            <w:r/>
            <w:r>
              <w:rPr>
                <w:sz w:val="19"/>
              </w:rPr>
              <w:t>04 Jun 2029</w:t>
            </w:r>
          </w:p>
        </w:tc>
        <w:tc>
          <w:tcPr>
            <w:tcW w:type="dxa" w:w="1134"/>
          </w:tcPr>
          <w:p>
            <w:r/>
            <w:r>
              <w:rPr>
                <w:sz w:val="19"/>
              </w:rPr>
              <w:t>22</w:t>
            </w:r>
          </w:p>
        </w:tc>
      </w:tr>
      <w:tr>
        <w:tc>
          <w:tcPr>
            <w:tcW w:type="dxa" w:w="1701"/>
          </w:tcPr>
          <w:p>
            <w:r/>
            <w:r>
              <w:rPr>
                <w:sz w:val="19"/>
              </w:rPr>
              <w:t>NQR-C2040</w:t>
            </w:r>
          </w:p>
        </w:tc>
        <w:tc>
          <w:tcPr>
            <w:tcW w:type="dxa" w:w="4252"/>
          </w:tcPr>
          <w:p>
            <w:r/>
            <w:r>
              <w:rPr>
                <w:sz w:val="19"/>
              </w:rPr>
              <w:t>Install video management, video wall and control-room equipment - Al Qurayyat</w:t>
            </w:r>
          </w:p>
        </w:tc>
        <w:tc>
          <w:tcPr>
            <w:tcW w:type="dxa" w:w="1587"/>
          </w:tcPr>
          <w:p>
            <w:r/>
            <w:r>
              <w:rPr>
                <w:sz w:val="19"/>
              </w:rPr>
              <w:t>21 May 2029</w:t>
            </w:r>
          </w:p>
        </w:tc>
        <w:tc>
          <w:tcPr>
            <w:tcW w:type="dxa" w:w="1587"/>
          </w:tcPr>
          <w:p>
            <w:r/>
            <w:r>
              <w:rPr>
                <w:sz w:val="19"/>
              </w:rPr>
              <w:t>05 Jun 2029</w:t>
            </w:r>
          </w:p>
        </w:tc>
        <w:tc>
          <w:tcPr>
            <w:tcW w:type="dxa" w:w="1134"/>
          </w:tcPr>
          <w:p>
            <w:r/>
            <w:r>
              <w:rPr>
                <w:sz w:val="19"/>
              </w:rPr>
              <w:t>35</w:t>
            </w:r>
          </w:p>
        </w:tc>
      </w:tr>
    </w:tbl>
    <w:p/>
    <w:p>
      <w:pPr>
        <w:pStyle w:val="Heading1"/>
      </w:pPr>
      <w:r>
        <w:t>14. Resources and cost loading</w:t>
      </w:r>
    </w:p>
    <w:p>
      <w:r>
        <w:rPr>
          <w:b w:val="0"/>
        </w:rPr>
        <w:t>Every task carries two resources. Milestones carry none.</w:t>
      </w:r>
    </w:p>
    <w:tbl>
      <w:tblPr>
        <w:tblStyle w:val="TableGrid"/>
        <w:tblW w:type="auto" w:w="0"/>
        <w:tblLayout w:type="fixed"/>
        <w:tblLook w:firstColumn="1" w:firstRow="1" w:lastColumn="0" w:lastRow="0" w:noHBand="0" w:noVBand="1" w:val="04A0"/>
      </w:tblPr>
      <w:tblGrid>
        <w:gridCol w:w="1701"/>
        <w:gridCol w:w="1701"/>
        <w:gridCol w:w="566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Contract cost quantity in SAR. Price 0. Total 62,000,000 SAR.</w:t>
            </w:r>
          </w:p>
        </w:tc>
      </w:tr>
      <w:tr>
        <w:tc>
          <w:tcPr>
            <w:tcW w:type="dxa" w:w="1701"/>
          </w:tcPr>
          <w:p>
            <w:r/>
            <w:r>
              <w:rPr>
                <w:sz w:val="19"/>
              </w:rPr>
              <w:t>PROG-WT</w:t>
            </w:r>
          </w:p>
        </w:tc>
        <w:tc>
          <w:tcPr>
            <w:tcW w:type="dxa" w:w="1701"/>
          </w:tcPr>
          <w:p>
            <w:r/>
            <w:r>
              <w:rPr>
                <w:sz w:val="19"/>
              </w:rPr>
              <w:t>Material</w:t>
            </w:r>
          </w:p>
        </w:tc>
        <w:tc>
          <w:tcPr>
            <w:tcW w:type="dxa" w:w="5669"/>
          </w:tcPr>
          <w:p>
            <w:r/>
            <w:r>
              <w:rPr>
                <w:sz w:val="19"/>
              </w:rPr>
              <w:t>Progress value in SAR (progress share x 62,000,000). Price 1, so it carries the budget cost. All activities use Physical % complete.</w:t>
            </w:r>
          </w:p>
        </w:tc>
      </w:tr>
    </w:tbl>
    <w:p/>
    <w:p>
      <w:r>
        <w:rPr>
          <w:b w:val="0"/>
        </w:rPr>
        <w:t>Because PROG-WT has price 1 and COST-SAR has price 0, the P6 budget, earned value, CPI and SPI are all in SAR on the fair EPC progress distribution. To view the contract payment-condition cost instead, swap the two prices (COST-SAR 1, PROG-WT 0). Never set both to 1.</w:t>
      </w:r>
    </w:p>
    <w:p>
      <w:r>
        <w:rPr>
          <w:b w:val="0"/>
        </w:rPr>
        <w:t>Cost comes from the contract: the Annex 3 station price multiplied by the clause 15 payment milestone, spread to activities by distribution keys. Mobilization (MS1, 20% of the total price) sits at project level. The activity-by-activity mapping and the invoices per month are in 0580_BOQ_Cost_Mapping.xlsx.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ayout w:type="fixed"/>
        <w:tblLook w:firstColumn="1" w:firstRow="1" w:lastColumn="0" w:lastRow="0" w:noHBand="0" w:noVBand="1" w:val="04A0"/>
      </w:tblPr>
      <w:tblGrid>
        <w:gridCol w:w="1701"/>
        <w:gridCol w:w="5102"/>
        <w:gridCol w:w="1701"/>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15. S-curve</w:t>
      </w:r>
    </w:p>
    <w:p>
      <w:r>
        <w:drawing>
          <wp:inline xmlns:a="http://schemas.openxmlformats.org/drawingml/2006/main" xmlns:pic="http://schemas.openxmlformats.org/drawingml/2006/picture">
            <wp:extent cx="5580000" cy="2678400"/>
            <wp:docPr id="3" name="Picture 3"/>
            <wp:cNvGraphicFramePr>
              <a:graphicFrameLocks noChangeAspect="1"/>
            </wp:cNvGraphicFramePr>
            <a:graphic>
              <a:graphicData uri="http://schemas.openxmlformats.org/drawingml/2006/picture">
                <pic:pic>
                  <pic:nvPicPr>
                    <pic:cNvPr id="0" name="scurve.png"/>
                    <pic:cNvPicPr/>
                  </pic:nvPicPr>
                  <pic:blipFill>
                    <a:blip r:embed="rId12"/>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16. Activity codes</w:t>
      </w:r>
    </w:p>
    <w:p>
      <w:r>
        <w:rPr>
          <w:b w:val="0"/>
        </w:rPr>
        <w:t>Eleven global activity code types are loaded and every activity carries all of them: EPC phase, Area, Station, Railway, Discipline, Responsibility, Payment milestone, Design stage, Submittal or approval, Priority and Programme phase. The values are listed on the Activity_Codes sheet of the BOQ workbook.</w:t>
      </w:r>
    </w:p>
    <w:p>
      <w:pPr>
        <w:pStyle w:val="Heading1"/>
      </w:pPr>
      <w:r>
        <w:t>17.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18. Assumptions and exclusions</w:t>
      </w:r>
    </w:p>
    <w:p>
      <w:pPr>
        <w:pStyle w:val="ListBullet"/>
      </w:pPr>
      <w:r>
        <w:t>Durations and station order are Contractor planning assumptions.</w:t>
      </w:r>
    </w:p>
    <w:p>
      <w:pPr>
        <w:pStyle w:val="ListBullet"/>
      </w:pPr>
      <w:r>
        <w:t>Eid dates are estimates.</w:t>
      </w:r>
    </w:p>
    <w:p>
      <w:pPr>
        <w:pStyle w:val="ListBullet"/>
      </w:pPr>
      <w:r>
        <w:t>The 21 day SAR review is read as 21 calendar days, which is 15 working days in the Sunday to Thursday calendar. A longer review is an extension of time matter under the contract.</w:t>
      </w:r>
    </w:p>
    <w:p>
      <w:pPr>
        <w:pStyle w:val="ListBullet"/>
      </w:pPr>
      <w:r>
        <w:t>Priority 1 means Makkah and Riyadh (Thumamah). Riyadh (Malaz) is treated as Priority 2.</w:t>
      </w:r>
    </w:p>
    <w:p>
      <w:pPr>
        <w:pStyle w:val="ListBullet"/>
      </w:pPr>
      <w:r>
        <w:t>POC cost is carved from the design package of Riyadh (Thumamah) because Annex 3 has no POC item. The POC inspection system is mapped to access control and intercom (section A3).</w:t>
      </w:r>
    </w:p>
    <w:p>
      <w:pPr>
        <w:pStyle w:val="ListBullet"/>
      </w:pPr>
      <w:r>
        <w:t>Enabling and civil works at the priority stations start before the engineering approval milestone, at the Contractor risk; equipment is not ordered before approval.</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official project name is used as supplied. Please confirm its spelling before issue.</w:t>
      </w:r>
    </w:p>
    <w:p>
      <w:pPr>
        <w:pStyle w:val="ListBullet"/>
      </w:pPr>
      <w:r>
        <w:t>The file was checked structurally and with an independent forward pass; see the read-me for what was and was not tested in P6.</w:t>
      </w:r>
    </w:p>
    <w:p>
      <w:pPr>
        <w:pStyle w:val="Heading1"/>
      </w:pPr>
      <w:r>
        <w:t>19. Risks to the programme</w:t>
      </w:r>
    </w:p>
    <w:tbl>
      <w:tblPr>
        <w:tblStyle w:val="TableGrid"/>
        <w:tblW w:type="auto" w:w="0"/>
        <w:tblLayout w:type="fixed"/>
        <w:tblLook w:firstColumn="1" w:firstRow="1" w:lastColumn="0" w:lastRow="0" w:noHBand="0" w:noVBand="1" w:val="04A0"/>
      </w:tblPr>
      <w:tblGrid>
        <w:gridCol w:w="4535"/>
        <w:gridCol w:w="4535"/>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21 days</w:t>
            </w:r>
          </w:p>
        </w:tc>
        <w:tc>
          <w:tcPr>
            <w:tcW w:type="dxa" w:w="4535"/>
          </w:tcPr>
          <w:p>
            <w:r/>
            <w:r>
              <w:rPr>
                <w:sz w:val="19"/>
              </w:rPr>
              <w:t>Early submission and an approval log</w:t>
            </w:r>
          </w:p>
        </w:tc>
      </w:tr>
      <w:tr>
        <w:tc>
          <w:tcPr>
            <w:tcW w:type="dxa" w:w="4535"/>
          </w:tcPr>
          <w:p>
            <w:r/>
            <w:r>
              <w:rPr>
                <w:sz w:val="19"/>
              </w:rPr>
              <w:t>POC not approved within one month</w:t>
            </w:r>
          </w:p>
        </w:tc>
        <w:tc>
          <w:tcPr>
            <w:tcW w:type="dxa" w:w="4535"/>
          </w:tcPr>
          <w:p>
            <w:r/>
            <w:r>
              <w:rPr>
                <w:sz w:val="19"/>
              </w:rPr>
              <w:t>Early plan approval; consultant booked in advance</w:t>
            </w:r>
          </w:p>
        </w:tc>
      </w:tr>
      <w:tr>
        <w:tc>
          <w:tcPr>
            <w:tcW w:type="dxa" w:w="4535"/>
          </w:tcPr>
          <w:p>
            <w:r/>
            <w:r>
              <w:rPr>
                <w:sz w:val="19"/>
              </w:rPr>
              <w:t>Enabling works before engineering approval</w:t>
            </w:r>
          </w:p>
        </w:tc>
        <w:tc>
          <w:tcPr>
            <w:tcW w:type="dxa" w:w="4535"/>
          </w:tcPr>
          <w:p>
            <w:r/>
            <w:r>
              <w:rPr>
                <w:sz w:val="19"/>
              </w:rPr>
              <w:t>Limit to non-design-dependent work; confirm layouts at concept approval</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20. Submission checklist</w:t>
      </w:r>
    </w:p>
    <w:p>
      <w:pPr>
        <w:pStyle w:val="ListBullet"/>
      </w:pPr>
      <w:r>
        <w:t>Confirm the project name spelling and the Eid dates.</w:t>
      </w:r>
    </w:p>
    <w:p>
      <w:pPr>
        <w:pStyle w:val="ListBullet"/>
      </w:pPr>
      <w:r>
        <w:t>Open the XER in P6 24, schedule it, and compare dates with this narrative.</w:t>
      </w:r>
    </w:p>
    <w:p>
      <w:pPr>
        <w:pStyle w:val="ListBullet"/>
      </w:pPr>
      <w:r>
        <w:t>Confirm the priority order and the POC scope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head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0580-Security Technology Salutation after eliminating Passenger Checking Roles | Rev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