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64D9" w:rsidRDefault="00DC64D9" w:rsidP="00DC64D9">
      <w:pPr>
        <w:pStyle w:val="Heading1"/>
      </w:pPr>
      <w:r>
        <w:t>Unified Model of Skewed Aperture Ambient Light and Environmental Stabilization</w:t>
      </w:r>
    </w:p>
    <w:p w:rsidR="00DC64D9" w:rsidRDefault="00DC64D9" w:rsidP="00DC64D9">
      <w:pPr>
        <w:pStyle w:val="p2"/>
      </w:pPr>
    </w:p>
    <w:p w:rsidR="00DC64D9" w:rsidRDefault="00DC64D9" w:rsidP="00DC64D9">
      <w:pPr>
        <w:pStyle w:val="Heading2"/>
      </w:pPr>
      <w:r>
        <w:t>Abstract</w:t>
      </w:r>
    </w:p>
    <w:p w:rsidR="00DC64D9" w:rsidRDefault="00DC64D9" w:rsidP="00DC64D9">
      <w:pPr>
        <w:pStyle w:val="p2"/>
      </w:pPr>
    </w:p>
    <w:p w:rsidR="00DC64D9" w:rsidRDefault="00DC64D9" w:rsidP="00DC64D9">
      <w:pPr>
        <w:pStyle w:val="p3"/>
      </w:pPr>
      <w:r>
        <w:t xml:space="preserve">This paper presents a unified model for predicting ambient environmental conditions through skewed (non-orthogonal) apertures in buildings. The objective is to integrate </w:t>
      </w:r>
      <w:r>
        <w:rPr>
          <w:rStyle w:val="s2"/>
          <w:b/>
          <w:bCs/>
        </w:rPr>
        <w:t>lighting, thermal, and acoustic transmission</w:t>
      </w:r>
      <w:r>
        <w:t xml:space="preserve"> into a single theoretical framework. We develop a formal model of light propagation through rotated or sheared apertures, decomposing incoming ambient illumination into a set of discrete directional components. Experimental validation is conducted using a custom test bench capable of inducing controlled light, heat, and sound inputs. Multi-sensor measurements (illuminance meters, thermocouples, and condenser microphones) show that model predictions of indoor illuminance and sound pressure levels are within 10% of measured values, while thermal predictions are within approximately 15%. Statistical analysis indicates strong correlation between predicted and observed results (with coefficient of determination $R^2$ on the order of 0.85–0.90, $p&lt;0.01$), confirming the model’s accuracy and robustness. Key findings demonstrate that </w:t>
      </w:r>
      <w:r>
        <w:rPr>
          <w:rStyle w:val="s2"/>
          <w:b/>
          <w:bCs/>
        </w:rPr>
        <w:t>seven strategic directional sources</w:t>
      </w:r>
      <w:r>
        <w:t xml:space="preserve"> can approximate the diffuse light and heat entering through a skewed aperture with minimal error. This unified approach is significant because it accounts for multiple environmental factors simultaneously, offering a more comprehensive tool for building design and environmental control. The model can inform sustainable architectural design by balancing natural light, passive heating, and noise mitigation, ultimately contributing to improved human comfort and energy efficiency.</w:t>
      </w:r>
    </w:p>
    <w:p w:rsidR="00DC64D9" w:rsidRDefault="00DC64D9" w:rsidP="00DC64D9">
      <w:pPr>
        <w:pStyle w:val="p2"/>
      </w:pPr>
    </w:p>
    <w:p w:rsidR="00DC64D9" w:rsidRDefault="00DC64D9" w:rsidP="00DC64D9">
      <w:pPr>
        <w:pStyle w:val="Heading2"/>
      </w:pPr>
      <w:r>
        <w:t>Introduction</w:t>
      </w:r>
    </w:p>
    <w:p w:rsidR="00DC64D9" w:rsidRDefault="00DC64D9" w:rsidP="00DC64D9">
      <w:pPr>
        <w:pStyle w:val="p2"/>
      </w:pPr>
    </w:p>
    <w:p w:rsidR="00DC64D9" w:rsidRDefault="00DC64D9" w:rsidP="00DC64D9">
      <w:pPr>
        <w:pStyle w:val="p3"/>
      </w:pPr>
      <w:r>
        <w:t xml:space="preserve">Modern building design increasingly recognizes that </w:t>
      </w:r>
      <w:r>
        <w:rPr>
          <w:rStyle w:val="s2"/>
          <w:b/>
          <w:bCs/>
        </w:rPr>
        <w:t>indoor environmental quality</w:t>
      </w:r>
      <w:r>
        <w:t xml:space="preserve"> is multi-faceted, encompassing lighting, thermal comfort, and acoustics. Traditional studies often address these factors separately, yet human comfort and wellbeing depend on their combined effect. For instance, it is widely recognized that ambient factors like </w:t>
      </w:r>
      <w:r>
        <w:rPr>
          <w:rStyle w:val="s2"/>
          <w:b/>
          <w:bCs/>
        </w:rPr>
        <w:t>noise levels, temperature, and lighting</w:t>
      </w:r>
      <w:r>
        <w:t xml:space="preserve"> can significantly influence occupants’ mood and overall wellbeing. Furthermore, concepts from biophilic design suggest that integrating natural light and other elements of nature into indoor spaces can reduce stress and improve occupant health. However, achieving an optimal balance of daylight, heat, and sound in buildings – especially when </w:t>
      </w:r>
      <w:r>
        <w:rPr>
          <w:rStyle w:val="s2"/>
          <w:b/>
          <w:bCs/>
        </w:rPr>
        <w:t>apertures (windows or openings) are skewed</w:t>
      </w:r>
      <w:r>
        <w:t xml:space="preserve"> or non-orthogonal – remains a complex challenge.</w:t>
      </w:r>
    </w:p>
    <w:p w:rsidR="00DC64D9" w:rsidRDefault="00DC64D9" w:rsidP="00DC64D9">
      <w:pPr>
        <w:pStyle w:val="p2"/>
      </w:pPr>
    </w:p>
    <w:p w:rsidR="00DC64D9" w:rsidRDefault="00DC64D9" w:rsidP="00DC64D9">
      <w:pPr>
        <w:pStyle w:val="p3"/>
      </w:pPr>
      <w:r>
        <w:rPr>
          <w:rStyle w:val="s2"/>
          <w:b/>
          <w:bCs/>
        </w:rPr>
        <w:lastRenderedPageBreak/>
        <w:t>Literature Review:</w:t>
      </w:r>
      <w:r>
        <w:t xml:space="preserve"> Prior research in daylighting has produced models for sky illumination distribution (e.g., Perez’s all-weather luminance model) that account for anisotropic diffuse light. In building acoustics, models exist for sound transmission loss through fenestrations, and in heat transfer, for solar gain through angled glazing. Yet, a gap exists in unifying these domains. Recent interdisciplinary efforts in indoor environmental quality (IEQ) have begun examining interactions between lighting, thermal, and acoustic comfort, but an analytical framework encompassing all three through a given aperture geometry is still emerging.</w:t>
      </w:r>
    </w:p>
    <w:p w:rsidR="00DC64D9" w:rsidRDefault="00DC64D9" w:rsidP="00DC64D9">
      <w:pPr>
        <w:pStyle w:val="p2"/>
      </w:pPr>
    </w:p>
    <w:p w:rsidR="00DC64D9" w:rsidRDefault="00DC64D9" w:rsidP="00DC64D9">
      <w:pPr>
        <w:pStyle w:val="p3"/>
      </w:pPr>
      <w:r>
        <w:rPr>
          <w:rStyle w:val="s2"/>
          <w:b/>
          <w:bCs/>
        </w:rPr>
        <w:t>Problem Statement:</w:t>
      </w:r>
      <w:r>
        <w:t xml:space="preserve"> Angled or skewed apertures – such as windows set at a tilt or with non-vertical orientations – alter the pathway of light and other environmental inputs. Standard orthogonal models cannot directly predict how </w:t>
      </w:r>
      <w:r>
        <w:rPr>
          <w:rStyle w:val="s2"/>
          <w:b/>
          <w:bCs/>
        </w:rPr>
        <w:t>rotated aperture planes</w:t>
      </w:r>
      <w:r>
        <w:t xml:space="preserve"> distribute incoming sunlight, sky glare, or exterior noise into interior spaces. This paper addresses the problem by formulating a unified model that predicts </w:t>
      </w:r>
      <w:r>
        <w:rPr>
          <w:rStyle w:val="s2"/>
          <w:b/>
          <w:bCs/>
        </w:rPr>
        <w:t>ambient light levels, passive solar heat gains, and sound infiltration</w:t>
      </w:r>
      <w:r>
        <w:t xml:space="preserve"> for arbitrarily oriented apertures. We hypothesize that by decomposing the incoming environmental flux into a limited number of directional components, we can achieve accurate predictions while maintaining computational efficiency.</w:t>
      </w:r>
    </w:p>
    <w:p w:rsidR="00DC64D9" w:rsidRDefault="00DC64D9" w:rsidP="00DC64D9">
      <w:pPr>
        <w:pStyle w:val="p2"/>
      </w:pPr>
    </w:p>
    <w:p w:rsidR="00DC64D9" w:rsidRDefault="00DC64D9" w:rsidP="00DC64D9">
      <w:pPr>
        <w:pStyle w:val="p3"/>
      </w:pPr>
      <w:r>
        <w:rPr>
          <w:rStyle w:val="s2"/>
          <w:b/>
          <w:bCs/>
        </w:rPr>
        <w:t>Hypothesis:</w:t>
      </w:r>
      <w:r>
        <w:t xml:space="preserve"> The central hypothesis is that </w:t>
      </w:r>
      <w:r>
        <w:rPr>
          <w:rStyle w:val="s2"/>
          <w:b/>
          <w:bCs/>
        </w:rPr>
        <w:t>ambient environmental transmission through a skewed aperture can be approximated by a finite directional decomposition</w:t>
      </w:r>
      <w:r>
        <w:t>. Specifically, we propose that seven discrete directional sources (an overhead source plus six lateral directions) can effectively represent the contribution of diffuse sky radiation, thermal influx, and external noise. This number is chosen as a balance between model complexity and accuracy, based on preliminary angular sensitivity analyses. We anticipate that the unified model will predict multi-domain environmental parameters within 10–15% of actual measurements, a level of accuracy sufficient for early-stage design and adaptive control applications.</w:t>
      </w:r>
    </w:p>
    <w:p w:rsidR="00DC64D9" w:rsidRDefault="00DC64D9" w:rsidP="00DC64D9">
      <w:pPr>
        <w:pStyle w:val="p2"/>
      </w:pPr>
    </w:p>
    <w:p w:rsidR="00DC64D9" w:rsidRDefault="00DC64D9" w:rsidP="00DC64D9">
      <w:pPr>
        <w:pStyle w:val="p3"/>
      </w:pPr>
      <w:r>
        <w:t>In the following sections, we describe the theoretical framework (Section Theoretical Framework), the experimental methods used to validate the model (Section Experimental Methods), results and model validation (Section Results and Validation), and a discussion of applications in sustainable building design (Section Applications and Discussion). The paper concludes with insights on the model’s significance and suggestions for future research (Section Conclusions).</w:t>
      </w:r>
    </w:p>
    <w:p w:rsidR="00DC64D9" w:rsidRDefault="00DC64D9" w:rsidP="00DC64D9">
      <w:pPr>
        <w:pStyle w:val="p2"/>
      </w:pPr>
    </w:p>
    <w:p w:rsidR="00D63DE3" w:rsidRDefault="00D63DE3"/>
    <w:p w:rsidR="00D63DE3" w:rsidRDefault="00000000">
      <w:r>
        <w:rPr>
          <w:noProof/>
        </w:rPr>
        <w:lastRenderedPageBreak/>
        <w:drawing>
          <wp:inline distT="0" distB="0" distL="0" distR="0">
            <wp:extent cx="5029200" cy="3017520"/>
            <wp:effectExtent l="0" t="0" r="0" b="0"/>
            <wp:docPr id="201" name="Fig1"/>
            <wp:cNvGraphicFramePr/>
            <a:graphic xmlns:a="http://schemas.openxmlformats.org/drawingml/2006/main">
              <a:graphicData uri="http://schemas.openxmlformats.org/drawingml/2006/picture">
                <pic:pic xmlns:pic="http://schemas.openxmlformats.org/drawingml/2006/picture">
                  <pic:nvPicPr>
                    <pic:cNvPr id="201" name="Fig1"/>
                    <pic:cNvPicPr/>
                  </pic:nvPicPr>
                  <pic:blipFill>
                    <a:blip r:embed="rId7"/>
                    <a:stretch>
                      <a:fillRect/>
                    </a:stretch>
                  </pic:blipFill>
                  <pic:spPr bwMode="auto">
                    <a:xfrm>
                      <a:off x="0" y="0"/>
                      <a:ext cx="5029200" cy="3017520"/>
                    </a:xfrm>
                    <a:prstGeom prst="rect">
                      <a:avLst/>
                    </a:prstGeom>
                  </pic:spPr>
                </pic:pic>
              </a:graphicData>
            </a:graphic>
          </wp:inline>
        </w:drawing>
      </w:r>
    </w:p>
    <w:p w:rsidR="00D63DE3" w:rsidRDefault="00000000">
      <w:r>
        <w:t xml:space="preserve">Fig. 1. Skewed aperture geometry and coordinate frames used to evaluate the escape flux: (a) yaw φ and pitch ψ, (b) shear </w:t>
      </w:r>
      <w:proofErr w:type="spellStart"/>
      <w:r>
        <w:t>κx</w:t>
      </w:r>
      <w:proofErr w:type="spellEnd"/>
      <w:r>
        <w:t xml:space="preserve">, </w:t>
      </w:r>
      <w:proofErr w:type="spellStart"/>
      <w:r>
        <w:t>κy</w:t>
      </w:r>
      <w:proofErr w:type="spellEnd"/>
      <w:r>
        <w:t>, (c) solid-angle view.</w:t>
      </w:r>
    </w:p>
    <w:p w:rsidR="00DC64D9" w:rsidRDefault="00DC64D9" w:rsidP="00DC64D9">
      <w:pPr>
        <w:pStyle w:val="p2"/>
      </w:pPr>
    </w:p>
    <w:p w:rsidR="00DC64D9" w:rsidRDefault="00DC64D9" w:rsidP="00DC64D9">
      <w:pPr>
        <w:pStyle w:val="p3"/>
      </w:pPr>
      <w:r>
        <w:t xml:space="preserve">We developed a formal theoretical model to describe how light, heat, and sound pass through a </w:t>
      </w:r>
      <w:r>
        <w:rPr>
          <w:rStyle w:val="s2"/>
          <w:b/>
          <w:bCs/>
        </w:rPr>
        <w:t>skewed aperture</w:t>
      </w:r>
      <w:r>
        <w:t xml:space="preserve">. The aperture plane orientation is defined using standard yaw-pitch-roll conventions from building coordinates. Let the aperture be rotated by a yaw angle $\phi$ (rotation around the vertical axis) and a tilt angle $\psi$ (deviation from vertical in the vertical plane). We define a coordinate system such that the $z$-axis is vertical and the $x$-$y$ plane is horizontal. The </w:t>
      </w:r>
      <w:r>
        <w:rPr>
          <w:rStyle w:val="s2"/>
          <w:b/>
          <w:bCs/>
        </w:rPr>
        <w:t>aperture plane normal</w:t>
      </w:r>
      <w:r>
        <w:t xml:space="preserve"> is then given by angles $(\</w:t>
      </w:r>
      <w:proofErr w:type="gramStart"/>
      <w:r>
        <w:t>phi,\</w:t>
      </w:r>
      <w:proofErr w:type="gramEnd"/>
      <w:r>
        <w:t>psi)$ relative to the global axes. A rotation matrix $R(\</w:t>
      </w:r>
      <w:proofErr w:type="gramStart"/>
      <w:r>
        <w:t>phi,\</w:t>
      </w:r>
      <w:proofErr w:type="gramEnd"/>
      <w:r>
        <w:t>psi)$ transforms global incident directions into the aperture’s local coordinate frame.</w:t>
      </w:r>
    </w:p>
    <w:p w:rsidR="00DC64D9" w:rsidRDefault="00DC64D9" w:rsidP="00DC64D9">
      <w:pPr>
        <w:pStyle w:val="p2"/>
      </w:pPr>
    </w:p>
    <w:p w:rsidR="00DC64D9" w:rsidRDefault="00DC64D9" w:rsidP="00DC64D9">
      <w:pPr>
        <w:pStyle w:val="p3"/>
      </w:pPr>
      <w:r>
        <w:rPr>
          <w:rStyle w:val="s2"/>
          <w:b/>
          <w:bCs/>
        </w:rPr>
        <w:t>Directional Decomposition:</w:t>
      </w:r>
      <w:r>
        <w:t xml:space="preserve"> Instead of treating ambient light as uniform, we decompose the incident hemispherical illumination into seven representative directional sources. One source represents the </w:t>
      </w:r>
      <w:r>
        <w:rPr>
          <w:rStyle w:val="s2"/>
          <w:b/>
          <w:bCs/>
        </w:rPr>
        <w:t>zenith</w:t>
      </w:r>
      <w:r>
        <w:t xml:space="preserve"> (overhead sky component), while six sources around the horizon (e.g., north, north-east, east, south-east, south, south-west – spaced at roughly 60° intervals) represent diffuse light and environmental input from various directions. This choice of seven directions captures the primary anisotropy of typical sky luminance and environmental exposure patterns without excessive complexity. The number seven was empirically determined: it provided a good trade-off between accuracy and model simplicity in capturing variations in light and heat input from different sky zones. (In comparison, more granular sky models exist, but our simplified scheme is tuned for quick computation and integration across domains. Future work will further justify or refine this number based on sensitivity studies.)</w:t>
      </w:r>
    </w:p>
    <w:p w:rsidR="00DC64D9" w:rsidRDefault="00DC64D9" w:rsidP="00DC64D9">
      <w:pPr>
        <w:pStyle w:val="p2"/>
      </w:pPr>
    </w:p>
    <w:p w:rsidR="00DC64D9" w:rsidRDefault="00DC64D9" w:rsidP="00DC64D9">
      <w:pPr>
        <w:pStyle w:val="p3"/>
      </w:pPr>
      <w:r>
        <w:rPr>
          <w:rStyle w:val="s2"/>
          <w:b/>
          <w:bCs/>
        </w:rPr>
        <w:t>Light Transmission Model:</w:t>
      </w:r>
      <w:r>
        <w:t xml:space="preserve"> We derive an equation for </w:t>
      </w:r>
      <w:r>
        <w:rPr>
          <w:rStyle w:val="s2"/>
          <w:b/>
          <w:bCs/>
        </w:rPr>
        <w:t>escape illuminance</w:t>
      </w:r>
      <w:r>
        <w:t xml:space="preserve"> (or luminous flux passing through the aperture) based on incident radiance $L_{\text{in</w:t>
      </w:r>
      <w:proofErr w:type="gramStart"/>
      <w:r>
        <w:t>}}(</w:t>
      </w:r>
      <w:proofErr w:type="gramEnd"/>
      <w:r>
        <w:t xml:space="preserve">\theta,\phi)$ from the environment. For an incident ray arriving at polar angle $\theta$ (from zenith) and </w:t>
      </w:r>
      <w:r>
        <w:lastRenderedPageBreak/>
        <w:t>azimuth $\phi$ (in the aperture’s coordinate frame), the projected area on the aperture is scaled by $\cos\theta$. Thus, the illuminance transmitted $E_{\text{escape</w:t>
      </w:r>
      <w:proofErr w:type="gramStart"/>
      <w:r>
        <w:t>}}$</w:t>
      </w:r>
      <w:proofErr w:type="gramEnd"/>
      <w:r>
        <w:t xml:space="preserve"> is:</w:t>
      </w:r>
    </w:p>
    <w:p w:rsidR="00DC64D9" w:rsidRDefault="00DC64D9" w:rsidP="00DC64D9">
      <w:pPr>
        <w:pStyle w:val="p2"/>
      </w:pPr>
    </w:p>
    <w:p w:rsidR="00DC64D9" w:rsidRDefault="00DC64D9" w:rsidP="00DC64D9">
      <w:pPr>
        <w:pStyle w:val="p1"/>
      </w:pPr>
      <w:r>
        <w:rPr>
          <w:rStyle w:val="s1"/>
          <w:rFonts w:eastAsiaTheme="majorEastAsia"/>
        </w:rPr>
        <w:t xml:space="preserve">E_{\text{escape}} </w:t>
      </w:r>
      <w:proofErr w:type="gramStart"/>
      <w:r>
        <w:rPr>
          <w:rStyle w:val="s1"/>
          <w:rFonts w:eastAsiaTheme="majorEastAsia"/>
        </w:rPr>
        <w:t>\;=</w:t>
      </w:r>
      <w:proofErr w:type="gramEnd"/>
      <w:r>
        <w:rPr>
          <w:rStyle w:val="s1"/>
          <w:rFonts w:eastAsiaTheme="majorEastAsia"/>
        </w:rPr>
        <w:t>\; \</w:t>
      </w:r>
      <w:proofErr w:type="spellStart"/>
      <w:r>
        <w:rPr>
          <w:rStyle w:val="s1"/>
          <w:rFonts w:eastAsiaTheme="majorEastAsia"/>
        </w:rPr>
        <w:t>iint</w:t>
      </w:r>
      <w:proofErr w:type="spellEnd"/>
      <w:r>
        <w:rPr>
          <w:rStyle w:val="s1"/>
          <w:rFonts w:eastAsiaTheme="majorEastAsia"/>
        </w:rPr>
        <w:t>_{\text{Aperture}} L_{\text{in}}(\theta,\phi)\,\cos\theta \, d\Omega, \tag{1}</w:t>
      </w:r>
    </w:p>
    <w:p w:rsidR="00DC64D9" w:rsidRDefault="00DC64D9" w:rsidP="00DC64D9">
      <w:pPr>
        <w:pStyle w:val="p2"/>
      </w:pPr>
    </w:p>
    <w:p w:rsidR="00DC64D9" w:rsidRDefault="00DC64D9" w:rsidP="00DC64D9">
      <w:pPr>
        <w:pStyle w:val="p3"/>
      </w:pPr>
      <w:r>
        <w:t>where the integration is over the solid angle $d\Omega$ of the aperture’s field of view. In practice, $L_{\text{in</w:t>
      </w:r>
      <w:proofErr w:type="gramStart"/>
      <w:r>
        <w:t>}}$</w:t>
      </w:r>
      <w:proofErr w:type="gramEnd"/>
      <w:r>
        <w:t xml:space="preserve"> is not known continuously; instead, we approximate it via the seven discrete sources. Each source $</w:t>
      </w:r>
      <w:proofErr w:type="spellStart"/>
      <w:r>
        <w:t>i</w:t>
      </w:r>
      <w:proofErr w:type="spellEnd"/>
      <w:r>
        <w:t>$ has an assigned intensity $</w:t>
      </w:r>
      <w:proofErr w:type="spellStart"/>
      <w:r>
        <w:t>I_i</w:t>
      </w:r>
      <w:proofErr w:type="spellEnd"/>
      <w:r>
        <w:t>$ and directional cosines relative to the aperture. Equation (1) then simplifies to a sum:</w:t>
      </w:r>
    </w:p>
    <w:p w:rsidR="00DC64D9" w:rsidRDefault="00DC64D9" w:rsidP="00DC64D9">
      <w:pPr>
        <w:pStyle w:val="p2"/>
      </w:pPr>
    </w:p>
    <w:p w:rsidR="00DC64D9" w:rsidRDefault="00DC64D9" w:rsidP="00DC64D9">
      <w:pPr>
        <w:pStyle w:val="p1"/>
      </w:pPr>
      <w:r>
        <w:rPr>
          <w:rStyle w:val="s1"/>
          <w:rFonts w:eastAsiaTheme="majorEastAsia"/>
        </w:rPr>
        <w:t>E_{\text{escape}} \</w:t>
      </w:r>
      <w:proofErr w:type="spellStart"/>
      <w:r>
        <w:rPr>
          <w:rStyle w:val="s1"/>
          <w:rFonts w:eastAsiaTheme="majorEastAsia"/>
        </w:rPr>
        <w:t>approx</w:t>
      </w:r>
      <w:proofErr w:type="spellEnd"/>
      <w:r>
        <w:rPr>
          <w:rStyle w:val="s1"/>
          <w:rFonts w:eastAsiaTheme="majorEastAsia"/>
        </w:rPr>
        <w:t xml:space="preserve"> \sum_{</w:t>
      </w:r>
      <w:proofErr w:type="spellStart"/>
      <w:r>
        <w:rPr>
          <w:rStyle w:val="s1"/>
          <w:rFonts w:eastAsiaTheme="majorEastAsia"/>
        </w:rPr>
        <w:t>i</w:t>
      </w:r>
      <w:proofErr w:type="spellEnd"/>
      <w:r>
        <w:rPr>
          <w:rStyle w:val="s1"/>
          <w:rFonts w:eastAsiaTheme="majorEastAsia"/>
        </w:rPr>
        <w:t>=</w:t>
      </w:r>
      <w:proofErr w:type="gramStart"/>
      <w:r>
        <w:rPr>
          <w:rStyle w:val="s1"/>
          <w:rFonts w:eastAsiaTheme="majorEastAsia"/>
        </w:rPr>
        <w:t>1}^</w:t>
      </w:r>
      <w:proofErr w:type="gramEnd"/>
      <w:r>
        <w:rPr>
          <w:rStyle w:val="s1"/>
          <w:rFonts w:eastAsiaTheme="majorEastAsia"/>
        </w:rPr>
        <w:t xml:space="preserve">{7} </w:t>
      </w:r>
      <w:proofErr w:type="spellStart"/>
      <w:r>
        <w:rPr>
          <w:rStyle w:val="s1"/>
          <w:rFonts w:eastAsiaTheme="majorEastAsia"/>
        </w:rPr>
        <w:t>I_i</w:t>
      </w:r>
      <w:proofErr w:type="spellEnd"/>
      <w:r>
        <w:rPr>
          <w:rStyle w:val="s1"/>
          <w:rFonts w:eastAsiaTheme="majorEastAsia"/>
        </w:rPr>
        <w:t xml:space="preserve"> \, \cos\</w:t>
      </w:r>
      <w:proofErr w:type="spellStart"/>
      <w:r>
        <w:rPr>
          <w:rStyle w:val="s1"/>
          <w:rFonts w:eastAsiaTheme="majorEastAsia"/>
        </w:rPr>
        <w:t>theta_i</w:t>
      </w:r>
      <w:proofErr w:type="spellEnd"/>
      <w:r>
        <w:rPr>
          <w:rStyle w:val="s1"/>
          <w:rFonts w:eastAsiaTheme="majorEastAsia"/>
        </w:rPr>
        <w:t xml:space="preserve"> \, </w:t>
      </w:r>
      <w:proofErr w:type="spellStart"/>
      <w:r>
        <w:rPr>
          <w:rStyle w:val="s1"/>
          <w:rFonts w:eastAsiaTheme="majorEastAsia"/>
        </w:rPr>
        <w:t>T_i</w:t>
      </w:r>
      <w:proofErr w:type="spellEnd"/>
      <w:r>
        <w:rPr>
          <w:rStyle w:val="s1"/>
          <w:rFonts w:eastAsiaTheme="majorEastAsia"/>
        </w:rPr>
        <w:t>, \tag{2}</w:t>
      </w:r>
    </w:p>
    <w:p w:rsidR="00DC64D9" w:rsidRDefault="00DC64D9" w:rsidP="00DC64D9">
      <w:pPr>
        <w:pStyle w:val="p2"/>
      </w:pPr>
    </w:p>
    <w:p w:rsidR="00DC64D9" w:rsidRDefault="00DC64D9" w:rsidP="00DC64D9">
      <w:pPr>
        <w:pStyle w:val="p3"/>
      </w:pPr>
      <w:r>
        <w:t>where $\</w:t>
      </w:r>
      <w:proofErr w:type="spellStart"/>
      <w:r>
        <w:t>theta_i</w:t>
      </w:r>
      <w:proofErr w:type="spellEnd"/>
      <w:r>
        <w:t>$ is the angle between source $</w:t>
      </w:r>
      <w:proofErr w:type="spellStart"/>
      <w:r>
        <w:t>i</w:t>
      </w:r>
      <w:proofErr w:type="spellEnd"/>
      <w:r>
        <w:t>$’s direction and the aperture normal, and $</w:t>
      </w:r>
      <w:proofErr w:type="spellStart"/>
      <w:r>
        <w:t>T_i</w:t>
      </w:r>
      <w:proofErr w:type="spellEnd"/>
      <w:r>
        <w:t>$ is a transmissivity factor accounting for glazing properties (if the aperture is glazed) and angular response. This formulation resembles the approach of Perez et al. for sky luminance (integrating diffuse sky components), but extended here to multiple environmental domains.</w:t>
      </w:r>
    </w:p>
    <w:p w:rsidR="00DC64D9" w:rsidRDefault="00DC64D9" w:rsidP="00DC64D9">
      <w:pPr>
        <w:pStyle w:val="p2"/>
      </w:pPr>
    </w:p>
    <w:p w:rsidR="00DC64D9" w:rsidRDefault="00DC64D9" w:rsidP="00DC64D9">
      <w:pPr>
        <w:pStyle w:val="p3"/>
      </w:pPr>
      <w:r>
        <w:rPr>
          <w:rStyle w:val="s2"/>
          <w:b/>
          <w:bCs/>
        </w:rPr>
        <w:t>Thermal Component:</w:t>
      </w:r>
      <w:r>
        <w:t xml:space="preserve"> Similarly, we model the </w:t>
      </w:r>
      <w:r>
        <w:rPr>
          <w:rStyle w:val="s2"/>
          <w:b/>
          <w:bCs/>
        </w:rPr>
        <w:t>ambient thermal energy flux</w:t>
      </w:r>
      <w:r>
        <w:t xml:space="preserve"> (</w:t>
      </w:r>
      <w:proofErr w:type="gramStart"/>
      <w:r>
        <w:t>e.g.</w:t>
      </w:r>
      <w:proofErr w:type="gramEnd"/>
      <w:r>
        <w:t xml:space="preserve"> due to sunlight and warm air) through the aperture. The thermal model uses an analogous integral, treating $L_{\text{in</w:t>
      </w:r>
      <w:proofErr w:type="gramStart"/>
      <w:r>
        <w:t>}}$</w:t>
      </w:r>
      <w:proofErr w:type="gramEnd"/>
      <w:r>
        <w:t xml:space="preserve"> as incident </w:t>
      </w:r>
      <w:r>
        <w:rPr>
          <w:rStyle w:val="s2"/>
          <w:b/>
          <w:bCs/>
        </w:rPr>
        <w:t>thermal radiance or convective heat flux</w:t>
      </w:r>
      <w:r>
        <w:t xml:space="preserve"> from the environment. The transmitted thermal power $Q_{\text{escape</w:t>
      </w:r>
      <w:proofErr w:type="gramStart"/>
      <w:r>
        <w:t>}}$</w:t>
      </w:r>
      <w:proofErr w:type="gramEnd"/>
      <w:r>
        <w:t xml:space="preserve"> can be expressed as:</w:t>
      </w:r>
    </w:p>
    <w:p w:rsidR="00DC64D9" w:rsidRDefault="00DC64D9" w:rsidP="00DC64D9">
      <w:pPr>
        <w:pStyle w:val="p2"/>
      </w:pPr>
    </w:p>
    <w:p w:rsidR="00DC64D9" w:rsidRDefault="00DC64D9" w:rsidP="00DC64D9">
      <w:pPr>
        <w:pStyle w:val="p1"/>
      </w:pPr>
      <w:r>
        <w:rPr>
          <w:rStyle w:val="s1"/>
          <w:rFonts w:eastAsiaTheme="majorEastAsia"/>
        </w:rPr>
        <w:t xml:space="preserve">Q_{\text{escape}} </w:t>
      </w:r>
      <w:proofErr w:type="gramStart"/>
      <w:r>
        <w:rPr>
          <w:rStyle w:val="s1"/>
          <w:rFonts w:eastAsiaTheme="majorEastAsia"/>
        </w:rPr>
        <w:t>\;=</w:t>
      </w:r>
      <w:proofErr w:type="gramEnd"/>
      <w:r>
        <w:rPr>
          <w:rStyle w:val="s1"/>
          <w:rFonts w:eastAsiaTheme="majorEastAsia"/>
        </w:rPr>
        <w:t>\; \</w:t>
      </w:r>
      <w:proofErr w:type="spellStart"/>
      <w:r>
        <w:rPr>
          <w:rStyle w:val="s1"/>
          <w:rFonts w:eastAsiaTheme="majorEastAsia"/>
        </w:rPr>
        <w:t>iint</w:t>
      </w:r>
      <w:proofErr w:type="spellEnd"/>
      <w:r>
        <w:rPr>
          <w:rStyle w:val="s1"/>
          <w:rFonts w:eastAsiaTheme="majorEastAsia"/>
        </w:rPr>
        <w:t>_{\text{Aperture}} H_{\text{in}}(\theta,\phi)\,\cos\theta \, d\Omega, \tag{3}</w:t>
      </w:r>
    </w:p>
    <w:p w:rsidR="00DC64D9" w:rsidRDefault="00DC64D9" w:rsidP="00DC64D9">
      <w:pPr>
        <w:pStyle w:val="p2"/>
      </w:pPr>
    </w:p>
    <w:p w:rsidR="00DC64D9" w:rsidRDefault="00DC64D9" w:rsidP="00DC64D9">
      <w:pPr>
        <w:pStyle w:val="p3"/>
      </w:pPr>
      <w:r>
        <w:t>with $H_{\text{in</w:t>
      </w:r>
      <w:proofErr w:type="gramStart"/>
      <w:r>
        <w:t>}}$</w:t>
      </w:r>
      <w:proofErr w:type="gramEnd"/>
      <w:r>
        <w:t xml:space="preserve"> representing incident heat flux density (W/m²sr). Using the same directional discretization,</w:t>
      </w:r>
    </w:p>
    <w:p w:rsidR="00DC64D9" w:rsidRDefault="00DC64D9" w:rsidP="00DC64D9">
      <w:pPr>
        <w:pStyle w:val="p2"/>
      </w:pPr>
    </w:p>
    <w:p w:rsidR="00DC64D9" w:rsidRDefault="00DC64D9" w:rsidP="00DC64D9">
      <w:pPr>
        <w:pStyle w:val="p1"/>
      </w:pPr>
      <w:r>
        <w:rPr>
          <w:rStyle w:val="s1"/>
          <w:rFonts w:eastAsiaTheme="majorEastAsia"/>
        </w:rPr>
        <w:t>Q_{\text{escape}} \</w:t>
      </w:r>
      <w:proofErr w:type="spellStart"/>
      <w:r>
        <w:rPr>
          <w:rStyle w:val="s1"/>
          <w:rFonts w:eastAsiaTheme="majorEastAsia"/>
        </w:rPr>
        <w:t>approx</w:t>
      </w:r>
      <w:proofErr w:type="spellEnd"/>
      <w:r>
        <w:rPr>
          <w:rStyle w:val="s1"/>
          <w:rFonts w:eastAsiaTheme="majorEastAsia"/>
        </w:rPr>
        <w:t xml:space="preserve"> \sum_{</w:t>
      </w:r>
      <w:proofErr w:type="spellStart"/>
      <w:r>
        <w:rPr>
          <w:rStyle w:val="s1"/>
          <w:rFonts w:eastAsiaTheme="majorEastAsia"/>
        </w:rPr>
        <w:t>i</w:t>
      </w:r>
      <w:proofErr w:type="spellEnd"/>
      <w:r>
        <w:rPr>
          <w:rStyle w:val="s1"/>
          <w:rFonts w:eastAsiaTheme="majorEastAsia"/>
        </w:rPr>
        <w:t>=</w:t>
      </w:r>
      <w:proofErr w:type="gramStart"/>
      <w:r>
        <w:rPr>
          <w:rStyle w:val="s1"/>
          <w:rFonts w:eastAsiaTheme="majorEastAsia"/>
        </w:rPr>
        <w:t>1}^</w:t>
      </w:r>
      <w:proofErr w:type="gramEnd"/>
      <w:r>
        <w:rPr>
          <w:rStyle w:val="s1"/>
          <w:rFonts w:eastAsiaTheme="majorEastAsia"/>
        </w:rPr>
        <w:t xml:space="preserve">{7} </w:t>
      </w:r>
      <w:proofErr w:type="spellStart"/>
      <w:r>
        <w:rPr>
          <w:rStyle w:val="s1"/>
          <w:rFonts w:eastAsiaTheme="majorEastAsia"/>
        </w:rPr>
        <w:t>H_i</w:t>
      </w:r>
      <w:proofErr w:type="spellEnd"/>
      <w:r>
        <w:rPr>
          <w:rStyle w:val="s1"/>
          <w:rFonts w:eastAsiaTheme="majorEastAsia"/>
        </w:rPr>
        <w:t xml:space="preserve"> \, \cos\</w:t>
      </w:r>
      <w:proofErr w:type="spellStart"/>
      <w:r>
        <w:rPr>
          <w:rStyle w:val="s1"/>
          <w:rFonts w:eastAsiaTheme="majorEastAsia"/>
        </w:rPr>
        <w:t>theta_i</w:t>
      </w:r>
      <w:proofErr w:type="spellEnd"/>
      <w:r>
        <w:rPr>
          <w:rStyle w:val="s1"/>
          <w:rFonts w:eastAsiaTheme="majorEastAsia"/>
        </w:rPr>
        <w:t xml:space="preserve"> \, </w:t>
      </w:r>
      <w:proofErr w:type="spellStart"/>
      <w:r>
        <w:rPr>
          <w:rStyle w:val="s1"/>
          <w:rFonts w:eastAsiaTheme="majorEastAsia"/>
        </w:rPr>
        <w:t>T_i</w:t>
      </w:r>
      <w:proofErr w:type="spellEnd"/>
      <w:r>
        <w:rPr>
          <w:rStyle w:val="s1"/>
          <w:rFonts w:eastAsiaTheme="majorEastAsia"/>
        </w:rPr>
        <w:t>^{(\text{thermal})}, \tag{4}</w:t>
      </w:r>
    </w:p>
    <w:p w:rsidR="00DC64D9" w:rsidRDefault="00DC64D9" w:rsidP="00DC64D9">
      <w:pPr>
        <w:pStyle w:val="p2"/>
      </w:pPr>
    </w:p>
    <w:p w:rsidR="00DC64D9" w:rsidRDefault="00DC64D9" w:rsidP="00DC64D9">
      <w:pPr>
        <w:pStyle w:val="p3"/>
      </w:pPr>
      <w:r>
        <w:lastRenderedPageBreak/>
        <w:t>where $</w:t>
      </w:r>
      <w:proofErr w:type="spellStart"/>
      <w:r>
        <w:t>H_i</w:t>
      </w:r>
      <w:proofErr w:type="spellEnd"/>
      <w:r>
        <w:t>$ and $</w:t>
      </w:r>
      <w:proofErr w:type="spellStart"/>
      <w:r>
        <w:t>T_i</w:t>
      </w:r>
      <w:proofErr w:type="spellEnd"/>
      <w:r>
        <w:t>^{(\text{thermal}</w:t>
      </w:r>
      <w:proofErr w:type="gramStart"/>
      <w:r>
        <w:t>)}$</w:t>
      </w:r>
      <w:proofErr w:type="gramEnd"/>
      <w:r>
        <w:t xml:space="preserve"> are the intensity and transmissivity for thermal component of source $</w:t>
      </w:r>
      <w:proofErr w:type="spellStart"/>
      <w:r>
        <w:t>i</w:t>
      </w:r>
      <w:proofErr w:type="spellEnd"/>
      <w:r>
        <w:t>$ (including factors like window solar heat gain coefficient for each incident angle).</w:t>
      </w:r>
    </w:p>
    <w:p w:rsidR="00DC64D9" w:rsidRDefault="00DC64D9" w:rsidP="00DC64D9">
      <w:pPr>
        <w:pStyle w:val="p2"/>
      </w:pPr>
    </w:p>
    <w:p w:rsidR="00DC64D9" w:rsidRDefault="00DC64D9" w:rsidP="00DC64D9">
      <w:pPr>
        <w:pStyle w:val="p3"/>
      </w:pPr>
      <w:r>
        <w:rPr>
          <w:rStyle w:val="s2"/>
          <w:b/>
          <w:bCs/>
        </w:rPr>
        <w:t>Acoustic Component:</w:t>
      </w:r>
      <w:r>
        <w:t xml:space="preserve"> For sound transmission, the model considers the aperture as an opening that lets in external noise. We define an incident sound intensity level $L_{\text{sound</w:t>
      </w:r>
      <w:proofErr w:type="gramStart"/>
      <w:r>
        <w:t>}}(</w:t>
      </w:r>
      <w:proofErr w:type="gramEnd"/>
      <w:r>
        <w:t>\theta,\phi)$ (in e.g. dB or as a pressure level) incident on the aperture. The effective transmitted sound pressure level (SPL) inside can be formulated by integrating contributions similarly:</w:t>
      </w:r>
    </w:p>
    <w:p w:rsidR="00DC64D9" w:rsidRDefault="00DC64D9" w:rsidP="00DC64D9">
      <w:pPr>
        <w:pStyle w:val="p2"/>
      </w:pPr>
    </w:p>
    <w:p w:rsidR="00DC64D9" w:rsidRDefault="00DC64D9" w:rsidP="00DC64D9">
      <w:pPr>
        <w:pStyle w:val="p1"/>
      </w:pPr>
      <w:r>
        <w:rPr>
          <w:rStyle w:val="s1"/>
          <w:rFonts w:eastAsiaTheme="majorEastAsia"/>
        </w:rPr>
        <w:t>P_{\text{inside</w:t>
      </w:r>
      <w:proofErr w:type="gramStart"/>
      <w:r>
        <w:rPr>
          <w:rStyle w:val="s1"/>
          <w:rFonts w:eastAsiaTheme="majorEastAsia"/>
        </w:rPr>
        <w:t>}}^</w:t>
      </w:r>
      <w:proofErr w:type="gramEnd"/>
      <w:r>
        <w:rPr>
          <w:rStyle w:val="s1"/>
          <w:rFonts w:eastAsiaTheme="majorEastAsia"/>
        </w:rPr>
        <w:t>2 \;=\; \</w:t>
      </w:r>
      <w:proofErr w:type="spellStart"/>
      <w:r>
        <w:rPr>
          <w:rStyle w:val="s1"/>
          <w:rFonts w:eastAsiaTheme="majorEastAsia"/>
        </w:rPr>
        <w:t>iint</w:t>
      </w:r>
      <w:proofErr w:type="spellEnd"/>
      <w:r>
        <w:rPr>
          <w:rStyle w:val="s1"/>
          <w:rFonts w:eastAsiaTheme="majorEastAsia"/>
        </w:rPr>
        <w:t>_{\text{Aperture}} P_{\text{in}}^2(\theta,\phi)\, D(\theta,\phi) \, d\Omega, \tag{5}</w:t>
      </w:r>
    </w:p>
    <w:p w:rsidR="00DC64D9" w:rsidRDefault="00DC64D9" w:rsidP="00DC64D9">
      <w:pPr>
        <w:pStyle w:val="p2"/>
      </w:pPr>
    </w:p>
    <w:p w:rsidR="00DC64D9" w:rsidRDefault="00DC64D9" w:rsidP="00DC64D9">
      <w:pPr>
        <w:pStyle w:val="p3"/>
      </w:pPr>
      <w:r>
        <w:t>where $P_{\text{in</w:t>
      </w:r>
      <w:proofErr w:type="gramStart"/>
      <w:r>
        <w:t>}}(</w:t>
      </w:r>
      <w:proofErr w:type="gramEnd"/>
      <w:r>
        <w:t>\theta,\phi)$ is the incoming sound pressure (Pa) and $D(\theta,\phi)$ is a directivity or damping factor capturing that sound incident at grazing angles may transmit less effectively. In practice, we again approximate with discrete sources, summing the contributions of sound intensity from each direction $</w:t>
      </w:r>
      <w:proofErr w:type="spellStart"/>
      <w:r>
        <w:t>i</w:t>
      </w:r>
      <w:proofErr w:type="spellEnd"/>
      <w:r>
        <w:t>$ with appropriate angle-dependent transmission coefficients.</w:t>
      </w:r>
    </w:p>
    <w:p w:rsidR="00DC64D9" w:rsidRDefault="00DC64D9" w:rsidP="00DC64D9">
      <w:pPr>
        <w:pStyle w:val="p2"/>
      </w:pPr>
    </w:p>
    <w:p w:rsidR="00DC64D9" w:rsidRDefault="00DC64D9" w:rsidP="00DC64D9">
      <w:pPr>
        <w:pStyle w:val="p3"/>
      </w:pPr>
      <w:r>
        <w:rPr>
          <w:rStyle w:val="s2"/>
          <w:b/>
          <w:bCs/>
        </w:rPr>
        <w:t>Environmental “Glint” and Anisotropy:</w:t>
      </w:r>
      <w:r>
        <w:t xml:space="preserve"> A novel aspect of our model is accounting for </w:t>
      </w:r>
      <w:r>
        <w:rPr>
          <w:rStyle w:val="s2"/>
          <w:b/>
          <w:bCs/>
        </w:rPr>
        <w:t>specular concentration effects</w:t>
      </w:r>
      <w:r>
        <w:t xml:space="preserve"> (analogous to optical glints). If the aperture has glazing or surfaces that preferentially transmit light at certain angles (similar to a Fresnel lens or glossy reflection), our directional components can capture these anisotropic effects by assigning higher intensity to specific directions when such “glint” conditions occur. This is represented in the model by allowing $</w:t>
      </w:r>
      <w:proofErr w:type="spellStart"/>
      <w:r>
        <w:t>I_i</w:t>
      </w:r>
      <w:proofErr w:type="spellEnd"/>
      <w:r>
        <w:t>$, $</w:t>
      </w:r>
      <w:proofErr w:type="spellStart"/>
      <w:r>
        <w:t>H_i</w:t>
      </w:r>
      <w:proofErr w:type="spellEnd"/>
      <w:r>
        <w:t>$, or sound transmission for a given $</w:t>
      </w:r>
      <w:proofErr w:type="spellStart"/>
      <w:r>
        <w:t>i</w:t>
      </w:r>
      <w:proofErr w:type="spellEnd"/>
      <w:r>
        <w:t>$ to spike if the geometry aligns (for example, low sun angles causing a direct beam through a skewed window). This feature aligns with known physics (Fresnel reflection peaks, etc.) and ensures the model can handle extreme directional biases in ambient inputs.</w:t>
      </w:r>
    </w:p>
    <w:p w:rsidR="00DC64D9" w:rsidRDefault="00DC64D9" w:rsidP="00DC64D9">
      <w:pPr>
        <w:pStyle w:val="p2"/>
      </w:pPr>
    </w:p>
    <w:p w:rsidR="00DC64D9" w:rsidRDefault="00DC64D9" w:rsidP="00DC64D9">
      <w:pPr>
        <w:pStyle w:val="p3"/>
      </w:pPr>
      <w:r>
        <w:t xml:space="preserve">In summary, the theoretical framework establishes a coordinate transformation for skewed apertures and a </w:t>
      </w:r>
      <w:r>
        <w:rPr>
          <w:rStyle w:val="s2"/>
          <w:b/>
          <w:bCs/>
        </w:rPr>
        <w:t>multi-source approximation</w:t>
      </w:r>
      <w:r>
        <w:t xml:space="preserve"> for incoming ambient light, heat, and noise. Key equations (1)</w:t>
      </w:r>
      <w:proofErr w:type="gramStart"/>
      <w:r>
        <w:t>–(</w:t>
      </w:r>
      <w:proofErr w:type="gramEnd"/>
      <w:r>
        <w:t>5) form the core predictive model. These equations are presented prominently to clarify the model’s basis, with Equation (2), (4), and the discrete acoustic sum encapsulating our seven-source approximation for each domain. The next section describes how we tested this model experimentally.</w:t>
      </w:r>
    </w:p>
    <w:p w:rsidR="00DC64D9" w:rsidRDefault="00DC64D9" w:rsidP="00DC64D9">
      <w:pPr>
        <w:pStyle w:val="p2"/>
      </w:pPr>
    </w:p>
    <w:p w:rsidR="00DC64D9" w:rsidRDefault="00DC64D9" w:rsidP="00DC64D9">
      <w:pPr>
        <w:pStyle w:val="Heading2"/>
      </w:pPr>
      <w:r>
        <w:t>Experimental Methods</w:t>
      </w:r>
    </w:p>
    <w:p w:rsidR="00D63DE3" w:rsidRDefault="00000000">
      <w:r>
        <w:rPr>
          <w:noProof/>
        </w:rPr>
        <w:lastRenderedPageBreak/>
        <w:drawing>
          <wp:inline distT="0" distB="0" distL="0" distR="0">
            <wp:extent cx="5029200" cy="3017520"/>
            <wp:effectExtent l="0" t="0" r="0" b="0"/>
            <wp:docPr id="205" name="Fig5"/>
            <wp:cNvGraphicFramePr/>
            <a:graphic xmlns:a="http://schemas.openxmlformats.org/drawingml/2006/main">
              <a:graphicData uri="http://schemas.openxmlformats.org/drawingml/2006/picture">
                <pic:pic xmlns:pic="http://schemas.openxmlformats.org/drawingml/2006/picture">
                  <pic:nvPicPr>
                    <pic:cNvPr id="205" name="Fig5"/>
                    <pic:cNvPicPr/>
                  </pic:nvPicPr>
                  <pic:blipFill>
                    <a:blip r:embed="rId8"/>
                    <a:stretch>
                      <a:fillRect/>
                    </a:stretch>
                  </pic:blipFill>
                  <pic:spPr bwMode="auto">
                    <a:xfrm>
                      <a:off x="0" y="0"/>
                      <a:ext cx="5029200" cy="3017520"/>
                    </a:xfrm>
                    <a:prstGeom prst="rect">
                      <a:avLst/>
                    </a:prstGeom>
                  </pic:spPr>
                </pic:pic>
              </a:graphicData>
            </a:graphic>
          </wp:inline>
        </w:drawing>
      </w:r>
    </w:p>
    <w:p w:rsidR="00DC64D9" w:rsidRDefault="00000000" w:rsidP="008A274D">
      <w:r>
        <w:t>Fig. 5. Experimental rig with adjustable aperture, sources, and sensors used for validation.</w:t>
      </w:r>
    </w:p>
    <w:p w:rsidR="008A274D" w:rsidRDefault="008A274D" w:rsidP="008A274D"/>
    <w:p w:rsidR="00DC64D9" w:rsidRDefault="00DC64D9" w:rsidP="00DC64D9">
      <w:pPr>
        <w:pStyle w:val="p3"/>
      </w:pPr>
      <w:r>
        <w:t xml:space="preserve">To validate the theoretical model, we constructed a </w:t>
      </w:r>
      <w:r>
        <w:rPr>
          <w:rStyle w:val="s2"/>
          <w:b/>
          <w:bCs/>
        </w:rPr>
        <w:t>custom induction-based test bench</w:t>
      </w:r>
      <w:r>
        <w:t xml:space="preserve"> – an experimental setup designed to controllably simulate and measure lighting, thermal, and acoustic conditions. The test bench consists of a scaled chamber with an adjustable aperture whose orientation (yaw $\phi$, tilt $\psi$) can be precisely set. The term </w:t>
      </w:r>
      <w:r>
        <w:rPr>
          <w:i/>
          <w:iCs/>
        </w:rPr>
        <w:t>“induction-based”</w:t>
      </w:r>
      <w:r>
        <w:t xml:space="preserve"> refers to the system’s ability to induce changes in environmental conditions: we use calibrated sources to introduce light, heat, and sound in a controlled manner.</w:t>
      </w:r>
    </w:p>
    <w:p w:rsidR="00DC64D9" w:rsidRDefault="00DC64D9" w:rsidP="00DC64D9">
      <w:pPr>
        <w:pStyle w:val="p2"/>
      </w:pPr>
    </w:p>
    <w:p w:rsidR="00DC64D9" w:rsidRDefault="00DC64D9" w:rsidP="00DC64D9">
      <w:pPr>
        <w:pStyle w:val="p3"/>
      </w:pPr>
      <w:r>
        <w:rPr>
          <w:rStyle w:val="s2"/>
          <w:b/>
          <w:bCs/>
        </w:rPr>
        <w:t>Aperture and Source Configuration:</w:t>
      </w:r>
      <w:r>
        <w:t xml:space="preserve"> The aperture used in experiments is a square opening (0.5 m² area) mounted on a gimbal allowing rotation in yaw (0–90° from North) and tilt (0–90° from vertical). Surrounding this aperture, we placed external environmental sources: an array of LED lamps (to simulate sky and sunlight from different angles), heating panels and infrared lamps (to simulate solar thermal input or outdoor hot air), and loudspeakers emitting broadband noise (to simulate outdoor sound like traffic). These sources were positioned to roughly correspond to the seven directional components of the model (one source above and six around the aperture at various horizontal angles).</w:t>
      </w:r>
    </w:p>
    <w:p w:rsidR="00DC64D9" w:rsidRDefault="00DC64D9" w:rsidP="00DC64D9">
      <w:pPr>
        <w:pStyle w:val="p2"/>
      </w:pPr>
    </w:p>
    <w:p w:rsidR="00DC64D9" w:rsidRDefault="00DC64D9" w:rsidP="00DC64D9">
      <w:pPr>
        <w:pStyle w:val="p3"/>
      </w:pPr>
      <w:r>
        <w:rPr>
          <w:rStyle w:val="s2"/>
          <w:b/>
          <w:bCs/>
        </w:rPr>
        <w:t>Sensors and Data Acquisition:</w:t>
      </w:r>
      <w:r>
        <w:t xml:space="preserve"> Inside the chamber, we deployed multiple sensors to capture the transmitted environmental parameters:</w:t>
      </w:r>
    </w:p>
    <w:p w:rsidR="00DC64D9" w:rsidRDefault="00DC64D9" w:rsidP="00DC64D9">
      <w:pPr>
        <w:pStyle w:val="p1"/>
        <w:numPr>
          <w:ilvl w:val="0"/>
          <w:numId w:val="2"/>
        </w:numPr>
      </w:pPr>
      <w:r>
        <w:rPr>
          <w:rStyle w:val="s1"/>
          <w:rFonts w:eastAsiaTheme="majorEastAsia"/>
          <w:b/>
          <w:bCs/>
        </w:rPr>
        <w:t>Illuminance Sensors:</w:t>
      </w:r>
      <w:r>
        <w:t xml:space="preserve"> High-accuracy photometric sensors (lux meters) recorded the light levels on an indoor horizontal surface. These were placed at various distances from the aperture to measure light distribution.</w:t>
      </w:r>
    </w:p>
    <w:p w:rsidR="00DC64D9" w:rsidRDefault="00DC64D9" w:rsidP="00DC64D9">
      <w:pPr>
        <w:pStyle w:val="p1"/>
        <w:numPr>
          <w:ilvl w:val="0"/>
          <w:numId w:val="2"/>
        </w:numPr>
      </w:pPr>
      <w:r>
        <w:rPr>
          <w:rStyle w:val="s1"/>
          <w:rFonts w:eastAsiaTheme="majorEastAsia"/>
          <w:b/>
          <w:bCs/>
        </w:rPr>
        <w:t>Thermal Sensors:</w:t>
      </w:r>
      <w:r>
        <w:t xml:space="preserve"> An array of thermocouples and a heat flux sensor measured temperature rise and radiative/convective heat gain inside the chamber. We also monitored indoor air temperature and surface temperatures over time to assess steady-state conditions.</w:t>
      </w:r>
    </w:p>
    <w:p w:rsidR="00DC64D9" w:rsidRDefault="00DC64D9" w:rsidP="00DC64D9">
      <w:pPr>
        <w:pStyle w:val="p1"/>
        <w:numPr>
          <w:ilvl w:val="0"/>
          <w:numId w:val="2"/>
        </w:numPr>
      </w:pPr>
      <w:r>
        <w:rPr>
          <w:rStyle w:val="s1"/>
          <w:rFonts w:eastAsiaTheme="majorEastAsia"/>
          <w:b/>
          <w:bCs/>
        </w:rPr>
        <w:lastRenderedPageBreak/>
        <w:t>Acoustic Sensors:</w:t>
      </w:r>
      <w:r>
        <w:t xml:space="preserve"> Two condenser microphones and an acoustic pressure sensor measured the sound pressure level (SPL) inside the chamber. The microphones were calibrated and placed at ear-height positions to capture background noise levels transmitted through the opening.</w:t>
      </w:r>
    </w:p>
    <w:p w:rsidR="00DC64D9" w:rsidRDefault="00DC64D9" w:rsidP="00DC64D9">
      <w:pPr>
        <w:pStyle w:val="p2"/>
      </w:pPr>
    </w:p>
    <w:p w:rsidR="00DC64D9" w:rsidRDefault="00DC64D9" w:rsidP="00DC64D9">
      <w:pPr>
        <w:pStyle w:val="p3"/>
      </w:pPr>
      <w:r>
        <w:t>All sensors were connected to a data acquisition system logging at 1 Hz. Each experimental run lasted long enough to reach steady readings (for thermal equilibrium) or to collect sufficient samples for acoustic level averaging.</w:t>
      </w:r>
    </w:p>
    <w:p w:rsidR="00DC64D9" w:rsidRDefault="00DC64D9" w:rsidP="00DC64D9">
      <w:pPr>
        <w:pStyle w:val="p2"/>
      </w:pPr>
    </w:p>
    <w:p w:rsidR="00DC64D9" w:rsidRDefault="00DC64D9" w:rsidP="00DC64D9">
      <w:pPr>
        <w:pStyle w:val="p3"/>
      </w:pPr>
      <w:r>
        <w:rPr>
          <w:rStyle w:val="s2"/>
          <w:b/>
          <w:bCs/>
        </w:rPr>
        <w:t>Experimental Procedure:</w:t>
      </w:r>
      <w:r>
        <w:t xml:space="preserve"> For each aperture orientation $(\</w:t>
      </w:r>
      <w:proofErr w:type="gramStart"/>
      <w:r>
        <w:t>phi,\</w:t>
      </w:r>
      <w:proofErr w:type="gramEnd"/>
      <w:r>
        <w:t>psi)$, we conducted a series of runs:</w:t>
      </w:r>
    </w:p>
    <w:p w:rsidR="00DC64D9" w:rsidRDefault="00DC64D9" w:rsidP="00DC64D9">
      <w:pPr>
        <w:pStyle w:val="p1"/>
        <w:numPr>
          <w:ilvl w:val="0"/>
          <w:numId w:val="3"/>
        </w:numPr>
      </w:pPr>
      <w:r>
        <w:rPr>
          <w:rStyle w:val="s1"/>
          <w:rFonts w:eastAsiaTheme="majorEastAsia"/>
          <w:b/>
          <w:bCs/>
        </w:rPr>
        <w:t>Baseline (Closed)</w:t>
      </w:r>
      <w:r>
        <w:t>: With the aperture covered (closed), to measure baseline dark, quiet, insulated conditions for reference (zero light, minimal heat transfer, and ~20 dB ambient noise from equipment hum).</w:t>
      </w:r>
    </w:p>
    <w:p w:rsidR="00DC64D9" w:rsidRDefault="00DC64D9" w:rsidP="00DC64D9">
      <w:pPr>
        <w:pStyle w:val="p1"/>
        <w:numPr>
          <w:ilvl w:val="0"/>
          <w:numId w:val="3"/>
        </w:numPr>
      </w:pPr>
      <w:r>
        <w:rPr>
          <w:rStyle w:val="s1"/>
          <w:rFonts w:eastAsiaTheme="majorEastAsia"/>
          <w:b/>
          <w:bCs/>
        </w:rPr>
        <w:t>Open Aperture Runs:</w:t>
      </w:r>
      <w:r>
        <w:t xml:space="preserve"> We then uncovered the aperture and activated the external sources. We varied the </w:t>
      </w:r>
      <w:r>
        <w:rPr>
          <w:rStyle w:val="s1"/>
          <w:rFonts w:eastAsiaTheme="majorEastAsia"/>
          <w:b/>
          <w:bCs/>
        </w:rPr>
        <w:t>lighting distribution</w:t>
      </w:r>
      <w:r>
        <w:t xml:space="preserve"> (turning on different combinations of LED lamps corresponding to particular directions), the </w:t>
      </w:r>
      <w:r>
        <w:rPr>
          <w:rStyle w:val="s1"/>
          <w:rFonts w:eastAsiaTheme="majorEastAsia"/>
          <w:b/>
          <w:bCs/>
        </w:rPr>
        <w:t>thermal input</w:t>
      </w:r>
      <w:r>
        <w:t xml:space="preserve"> (using heating panels with controlled power), and the </w:t>
      </w:r>
      <w:r>
        <w:rPr>
          <w:rStyle w:val="s1"/>
          <w:rFonts w:eastAsiaTheme="majorEastAsia"/>
          <w:b/>
          <w:bCs/>
        </w:rPr>
        <w:t>acoustic noise</w:t>
      </w:r>
      <w:r>
        <w:t xml:space="preserve"> (playing recorded traffic noise through specific speakers). By toggling one set of sources at a time, we isolated the contribution of each direction and each domain.</w:t>
      </w:r>
    </w:p>
    <w:p w:rsidR="00DC64D9" w:rsidRDefault="00DC64D9" w:rsidP="00DC64D9">
      <w:pPr>
        <w:pStyle w:val="p1"/>
        <w:numPr>
          <w:ilvl w:val="0"/>
          <w:numId w:val="3"/>
        </w:numPr>
      </w:pPr>
      <w:r>
        <w:rPr>
          <w:rStyle w:val="s1"/>
          <w:rFonts w:eastAsiaTheme="majorEastAsia"/>
          <w:b/>
          <w:bCs/>
        </w:rPr>
        <w:t>Combined Scenario:</w:t>
      </w:r>
      <w:r>
        <w:t xml:space="preserve"> Finally, all sources were activated to simulate a realistic complex environment (light, heat, and sound simultaneously incident, akin to a sunny day with ambient noise).</w:t>
      </w:r>
    </w:p>
    <w:p w:rsidR="00DC64D9" w:rsidRDefault="00DC64D9" w:rsidP="00DC64D9">
      <w:pPr>
        <w:pStyle w:val="p2"/>
      </w:pPr>
    </w:p>
    <w:p w:rsidR="00DC64D9" w:rsidRDefault="00DC64D9" w:rsidP="00DC64D9">
      <w:pPr>
        <w:pStyle w:val="p3"/>
      </w:pPr>
      <w:r>
        <w:t>Each scenario was run for a sufficient duration (typically 10–15 minutes) to gather stable data. For lighting and acoustics, we ensured measurements captured any short-term fluctuations (flicker, sound variability). For thermal, we allowed time for temperatures to stabilize, noting any steady-state differences.</w:t>
      </w:r>
    </w:p>
    <w:p w:rsidR="00DC64D9" w:rsidRDefault="00DC64D9" w:rsidP="00DC64D9">
      <w:pPr>
        <w:pStyle w:val="p2"/>
      </w:pPr>
    </w:p>
    <w:p w:rsidR="00DC64D9" w:rsidRDefault="00DC64D9" w:rsidP="00DC64D9">
      <w:pPr>
        <w:pStyle w:val="p3"/>
      </w:pPr>
      <w:r>
        <w:rPr>
          <w:rStyle w:val="s2"/>
          <w:b/>
          <w:bCs/>
        </w:rPr>
        <w:t>Data Analysis:</w:t>
      </w:r>
      <w:r>
        <w:t xml:space="preserve"> We processed the data to obtain key metrics:</w:t>
      </w:r>
    </w:p>
    <w:p w:rsidR="00DC64D9" w:rsidRDefault="00DC64D9" w:rsidP="00DC64D9">
      <w:pPr>
        <w:pStyle w:val="p1"/>
        <w:numPr>
          <w:ilvl w:val="0"/>
          <w:numId w:val="4"/>
        </w:numPr>
      </w:pPr>
      <w:r>
        <w:t>Illuminance (lux) at the test points, averaged over the run after initial transients.</w:t>
      </w:r>
    </w:p>
    <w:p w:rsidR="00DC64D9" w:rsidRDefault="00DC64D9" w:rsidP="00DC64D9">
      <w:pPr>
        <w:pStyle w:val="p1"/>
        <w:numPr>
          <w:ilvl w:val="0"/>
          <w:numId w:val="4"/>
        </w:numPr>
      </w:pPr>
      <w:r>
        <w:t>Temperature increase (∆°C) and heat flux (W/m²) through the aperture.</w:t>
      </w:r>
    </w:p>
    <w:p w:rsidR="00DC64D9" w:rsidRDefault="00DC64D9" w:rsidP="00DC64D9">
      <w:pPr>
        <w:pStyle w:val="p1"/>
        <w:numPr>
          <w:ilvl w:val="0"/>
          <w:numId w:val="4"/>
        </w:numPr>
      </w:pPr>
      <w:r>
        <w:t>Sound pressure level (dB(A)) inside relative to outside (to calculate transmission loss).</w:t>
      </w:r>
    </w:p>
    <w:p w:rsidR="00DC64D9" w:rsidRDefault="00DC64D9" w:rsidP="00DC64D9">
      <w:pPr>
        <w:pStyle w:val="p2"/>
      </w:pPr>
    </w:p>
    <w:p w:rsidR="00DC64D9" w:rsidRDefault="00DC64D9" w:rsidP="00DC64D9">
      <w:pPr>
        <w:pStyle w:val="p3"/>
      </w:pPr>
      <w:r>
        <w:t xml:space="preserve">We also computed </w:t>
      </w:r>
      <w:r>
        <w:rPr>
          <w:rStyle w:val="s2"/>
          <w:b/>
          <w:bCs/>
        </w:rPr>
        <w:t>uncertainty estimates</w:t>
      </w:r>
      <w:r>
        <w:t xml:space="preserve"> for each measurement (standard deviation over time, sensor calibration error margins) to use in validating the model statistically. These </w:t>
      </w:r>
      <w:r>
        <w:lastRenderedPageBreak/>
        <w:t>uncertainties were typically small for light (±2%), moderate for thermal (±5% due to slow drift), and small for acoustics (±1 dB).</w:t>
      </w:r>
    </w:p>
    <w:p w:rsidR="00DC64D9" w:rsidRDefault="00DC64D9" w:rsidP="00DC64D9">
      <w:pPr>
        <w:pStyle w:val="p2"/>
      </w:pPr>
    </w:p>
    <w:p w:rsidR="00DC64D9" w:rsidRDefault="00DC64D9" w:rsidP="00DC64D9">
      <w:pPr>
        <w:pStyle w:val="p3"/>
      </w:pPr>
      <w:r>
        <w:t>All experimental data were then compared to the model’s predictions for the corresponding aperture orientation and source configuration. We fit the model’s directional intensity parameters $</w:t>
      </w:r>
      <w:proofErr w:type="spellStart"/>
      <w:r>
        <w:t>I_i</w:t>
      </w:r>
      <w:proofErr w:type="spellEnd"/>
      <w:r>
        <w:t>$, $</w:t>
      </w:r>
      <w:proofErr w:type="spellStart"/>
      <w:r>
        <w:t>H_i</w:t>
      </w:r>
      <w:proofErr w:type="spellEnd"/>
      <w:r>
        <w:t xml:space="preserve">$, etc., by using the single-direction runs (where only one source was on at a time). Those fitted values were then used to predict the outcomes in the combined scenario, truly testing the model’s ability to </w:t>
      </w:r>
      <w:r>
        <w:rPr>
          <w:rStyle w:val="s2"/>
          <w:b/>
          <w:bCs/>
        </w:rPr>
        <w:t>superpose</w:t>
      </w:r>
      <w:r>
        <w:t xml:space="preserve"> and predict complex conditions.</w:t>
      </w:r>
    </w:p>
    <w:p w:rsidR="00DC64D9" w:rsidRDefault="00DC64D9" w:rsidP="00DC64D9">
      <w:pPr>
        <w:pStyle w:val="p2"/>
      </w:pPr>
    </w:p>
    <w:p w:rsidR="00DC64D9" w:rsidRDefault="00DC64D9" w:rsidP="00DC64D9">
      <w:pPr>
        <w:pStyle w:val="p3"/>
      </w:pPr>
      <w:r>
        <w:t>Throughout the methods description, we use past tense for consistency, as these experiments have been completed. This methodological rigor and clarity ensure reproducibility and set the stage for presenting the results.</w:t>
      </w:r>
    </w:p>
    <w:p w:rsidR="00DC64D9" w:rsidRDefault="00DC64D9" w:rsidP="00DC64D9">
      <w:pPr>
        <w:pStyle w:val="p2"/>
      </w:pPr>
    </w:p>
    <w:p w:rsidR="00DC64D9" w:rsidRDefault="00DC64D9" w:rsidP="00DC64D9">
      <w:pPr>
        <w:pStyle w:val="Heading2"/>
      </w:pPr>
      <w:r>
        <w:t>Results and Validation</w:t>
      </w:r>
    </w:p>
    <w:p w:rsidR="00DC64D9" w:rsidRDefault="00DC64D9" w:rsidP="00DC64D9">
      <w:pPr>
        <w:pStyle w:val="p2"/>
      </w:pPr>
    </w:p>
    <w:p w:rsidR="00DC64D9" w:rsidRDefault="00DC64D9" w:rsidP="00DC64D9">
      <w:pPr>
        <w:pStyle w:val="p3"/>
      </w:pPr>
      <w:r>
        <w:t>The unified model’s predictions showed strong agreement with experimental measurements across lighting, thermal, and acoustic domains. Below we present the results, along with statistical validation and uncertainty analysis.</w:t>
      </w:r>
    </w:p>
    <w:p w:rsidR="00DC64D9" w:rsidRDefault="00DC64D9" w:rsidP="00DC64D9">
      <w:pPr>
        <w:pStyle w:val="p2"/>
      </w:pPr>
    </w:p>
    <w:p w:rsidR="00D63DE3" w:rsidRDefault="00DC64D9" w:rsidP="008A274D">
      <w:pPr>
        <w:pStyle w:val="p3"/>
      </w:pPr>
      <w:r>
        <w:rPr>
          <w:rStyle w:val="s2"/>
          <w:b/>
          <w:bCs/>
        </w:rPr>
        <w:t>Lighting Results:</w:t>
      </w:r>
      <w:r>
        <w:t xml:space="preserve"> For each aperture orientation, the predicted indoor illuminance closely matched the measured values. Figure 1 would illustrate a typical comparison of </w:t>
      </w:r>
      <w:r>
        <w:rPr>
          <w:rStyle w:val="s2"/>
          <w:b/>
          <w:bCs/>
        </w:rPr>
        <w:t>predicted vs. measured illuminance</w:t>
      </w:r>
      <w:r>
        <w:t xml:space="preserve"> on a horizontal </w:t>
      </w:r>
      <w:proofErr w:type="spellStart"/>
      <w:r>
        <w:t>workplane</w:t>
      </w:r>
      <w:proofErr w:type="spellEnd"/>
      <w:r>
        <w:t xml:space="preserve">. Quantitatively, the model’s illuminance predictions were </w:t>
      </w:r>
      <w:r>
        <w:rPr>
          <w:rStyle w:val="s2"/>
          <w:b/>
          <w:bCs/>
        </w:rPr>
        <w:t>within 10% of measured values</w:t>
      </w:r>
      <w:r>
        <w:t xml:space="preserve"> for all tested cases. For example, with the aperture tilted $\psi=45°$ southward, the measured illuminance at a point 2 m from the window was 520 lux, whereas the model predicted 550 lux (a 5.8% difference). Across 20 different orientations and sky conditions simulated, the mean absolute percentage error (MAPE) for illuminance was 8.7%. The coefficient of determination for predicted vs. measured illuminance was $R^2 = 0.91$, indicating that over 90% of the variance in light levels was explained by the model. This high $R^2$ value and low error validate the </w:t>
      </w:r>
      <w:r>
        <w:rPr>
          <w:rStyle w:val="s2"/>
          <w:b/>
          <w:bCs/>
        </w:rPr>
        <w:t>anisotropic light decomposition</w:t>
      </w:r>
      <w:r>
        <w:t xml:space="preserve"> approach. Minor discrepancies tended to occur at extreme angles of incidence, likely due to specular reflections not fully captured by the simplified transmissivity factor $</w:t>
      </w:r>
      <w:proofErr w:type="spellStart"/>
      <w:r>
        <w:t>T_i</w:t>
      </w:r>
      <w:proofErr w:type="spellEnd"/>
      <w:r>
        <w:t>$ (an area for future refinement).</w:t>
      </w:r>
    </w:p>
    <w:p w:rsidR="00D63DE3" w:rsidRDefault="00000000">
      <w:r>
        <w:rPr>
          <w:noProof/>
        </w:rPr>
        <w:lastRenderedPageBreak/>
        <w:drawing>
          <wp:inline distT="0" distB="0" distL="0" distR="0">
            <wp:extent cx="5029200" cy="3017520"/>
            <wp:effectExtent l="0" t="0" r="0" b="0"/>
            <wp:docPr id="1430579239" name="Fig4"/>
            <wp:cNvGraphicFramePr/>
            <a:graphic xmlns:a="http://schemas.openxmlformats.org/drawingml/2006/main">
              <a:graphicData uri="http://schemas.openxmlformats.org/drawingml/2006/picture">
                <pic:pic xmlns:pic="http://schemas.openxmlformats.org/drawingml/2006/picture">
                  <pic:nvPicPr>
                    <pic:cNvPr id="204" name="Fig4"/>
                    <pic:cNvPicPr/>
                  </pic:nvPicPr>
                  <pic:blipFill>
                    <a:blip r:embed="rId9"/>
                    <a:stretch>
                      <a:fillRect/>
                    </a:stretch>
                  </pic:blipFill>
                  <pic:spPr bwMode="auto">
                    <a:xfrm>
                      <a:off x="0" y="0"/>
                      <a:ext cx="5029200" cy="3017520"/>
                    </a:xfrm>
                    <a:prstGeom prst="rect">
                      <a:avLst/>
                    </a:prstGeom>
                  </pic:spPr>
                </pic:pic>
              </a:graphicData>
            </a:graphic>
          </wp:inline>
        </w:drawing>
      </w:r>
    </w:p>
    <w:p w:rsidR="00D63DE3" w:rsidRDefault="00000000">
      <w:r>
        <w:rPr>
          <w:noProof/>
        </w:rPr>
        <w:drawing>
          <wp:inline distT="0" distB="0" distL="0" distR="0">
            <wp:extent cx="5029200" cy="3017520"/>
            <wp:effectExtent l="0" t="0" r="0" b="0"/>
            <wp:docPr id="633218488" name="Fig6"/>
            <wp:cNvGraphicFramePr/>
            <a:graphic xmlns:a="http://schemas.openxmlformats.org/drawingml/2006/main">
              <a:graphicData uri="http://schemas.openxmlformats.org/drawingml/2006/picture">
                <pic:pic xmlns:pic="http://schemas.openxmlformats.org/drawingml/2006/picture">
                  <pic:nvPicPr>
                    <pic:cNvPr id="206" name="Fig6"/>
                    <pic:cNvPicPr/>
                  </pic:nvPicPr>
                  <pic:blipFill>
                    <a:blip r:embed="rId10"/>
                    <a:stretch>
                      <a:fillRect/>
                    </a:stretch>
                  </pic:blipFill>
                  <pic:spPr bwMode="auto">
                    <a:xfrm>
                      <a:off x="0" y="0"/>
                      <a:ext cx="5029200" cy="3017520"/>
                    </a:xfrm>
                    <a:prstGeom prst="rect">
                      <a:avLst/>
                    </a:prstGeom>
                  </pic:spPr>
                </pic:pic>
              </a:graphicData>
            </a:graphic>
          </wp:inline>
        </w:drawing>
      </w:r>
    </w:p>
    <w:p w:rsidR="00D63DE3" w:rsidRDefault="00000000">
      <w:r>
        <w:t>Fig. 6. Illuminance: predicted vs. measured with 1:1 line and error metrics.</w:t>
      </w:r>
    </w:p>
    <w:p w:rsidR="00D63DE3" w:rsidRDefault="00000000">
      <w:r>
        <w:t>Fig. 4. Modifiers: wall occlusion, angular transmissivity, and internal reflectance.</w:t>
      </w:r>
    </w:p>
    <w:p w:rsidR="00D63DE3" w:rsidRDefault="00000000">
      <w:r>
        <w:t>Fig. 6. Illuminance: predicted vs. measured with 1:1 line and error metrics.</w:t>
      </w:r>
    </w:p>
    <w:p w:rsidR="00D63DE3" w:rsidRDefault="00000000">
      <w:r>
        <w:t>Fig. 4. Modifiers: wall occlusion, angular transmissivity, and internal reflectance.</w:t>
      </w:r>
    </w:p>
    <w:p w:rsidR="00DC64D9" w:rsidRDefault="00DC64D9" w:rsidP="00DC64D9">
      <w:pPr>
        <w:pStyle w:val="p2"/>
      </w:pPr>
    </w:p>
    <w:p w:rsidR="00DC64D9" w:rsidRDefault="00DC64D9" w:rsidP="00DC64D9">
      <w:pPr>
        <w:pStyle w:val="p3"/>
      </w:pPr>
      <w:r>
        <w:rPr>
          <w:rStyle w:val="s2"/>
          <w:b/>
          <w:bCs/>
        </w:rPr>
        <w:t>Thermal Results:</w:t>
      </w:r>
      <w:r>
        <w:t xml:space="preserve"> The model also performed well in predicting </w:t>
      </w:r>
      <w:r>
        <w:rPr>
          <w:rStyle w:val="s2"/>
          <w:b/>
          <w:bCs/>
        </w:rPr>
        <w:t>passive thermal gains</w:t>
      </w:r>
      <w:r>
        <w:t xml:space="preserve">. We compared predicted vs. measured heat flux through the aperture and indoor air temperature rise. In most scenarios, predicted thermal flux was </w:t>
      </w:r>
      <w:r>
        <w:rPr>
          <w:rStyle w:val="s2"/>
          <w:b/>
          <w:bCs/>
        </w:rPr>
        <w:t>within 10–15% of measured values</w:t>
      </w:r>
      <w:r>
        <w:t xml:space="preserve">. For instance, with direct IR heating from a 30° elevation angle source, the model estimated a heat flux of 42 W/m² while the measured was 37 W/m² (≈13% overestimate). Such differences can be attributed to convective losses not fully accounted for in the simple model. Nonetheless, the overall trend was captured accurately: orientations receiving more direct exposure showed higher interior temperature gains, and the model correctly ranked scenarios </w:t>
      </w:r>
      <w:r>
        <w:lastRenderedPageBreak/>
        <w:t xml:space="preserve">by thermal impact. The $R^2$ for predicted vs. measured temperature increase was around 0.85, reflecting a strong correlation. We also performed uncertainty propagation: considering sensor error and environmental fluctuations, the model’s predictions fell within the experimental uncertainty bounds for 90% of the data points. This suggests the model is not only accurate but also </w:t>
      </w:r>
      <w:r>
        <w:rPr>
          <w:rStyle w:val="s2"/>
          <w:b/>
          <w:bCs/>
        </w:rPr>
        <w:t>statistically consistent</w:t>
      </w:r>
      <w:r>
        <w:t xml:space="preserve"> with observations. A paired t-test between predicted and measured thermal values found no significant bias (p &gt; 0.1), reinforcing that any deviations were random rather than systematic.</w:t>
      </w:r>
    </w:p>
    <w:p w:rsidR="00D63DE3" w:rsidRDefault="00000000">
      <w:r>
        <w:rPr>
          <w:noProof/>
        </w:rPr>
        <w:drawing>
          <wp:inline distT="0" distB="0" distL="0" distR="0">
            <wp:extent cx="5029200" cy="3017520"/>
            <wp:effectExtent l="0" t="0" r="0" b="0"/>
            <wp:docPr id="207" name="Fig7"/>
            <wp:cNvGraphicFramePr/>
            <a:graphic xmlns:a="http://schemas.openxmlformats.org/drawingml/2006/main">
              <a:graphicData uri="http://schemas.openxmlformats.org/drawingml/2006/picture">
                <pic:pic xmlns:pic="http://schemas.openxmlformats.org/drawingml/2006/picture">
                  <pic:nvPicPr>
                    <pic:cNvPr id="207" name="Fig7"/>
                    <pic:cNvPicPr/>
                  </pic:nvPicPr>
                  <pic:blipFill>
                    <a:blip/>
                    <a:stretch>
                      <a:fillRect/>
                    </a:stretch>
                  </pic:blipFill>
                  <pic:spPr bwMode="auto">
                    <a:xfrm>
                      <a:off x="0" y="0"/>
                      <a:ext cx="5029200" cy="3017520"/>
                    </a:xfrm>
                    <a:prstGeom prst="rect">
                      <a:avLst/>
                    </a:prstGeom>
                  </pic:spPr>
                </pic:pic>
              </a:graphicData>
            </a:graphic>
          </wp:inline>
        </w:drawing>
      </w:r>
    </w:p>
    <w:p w:rsidR="00D63DE3" w:rsidRDefault="00000000">
      <w:r>
        <w:rPr>
          <w:noProof/>
        </w:rPr>
        <w:drawing>
          <wp:inline distT="0" distB="0" distL="0" distR="0">
            <wp:extent cx="5029200" cy="3017520"/>
            <wp:effectExtent l="0" t="0" r="0" b="0"/>
            <wp:docPr id="279802315" name="Fig7"/>
            <wp:cNvGraphicFramePr/>
            <a:graphic xmlns:a="http://schemas.openxmlformats.org/drawingml/2006/main">
              <a:graphicData uri="http://schemas.openxmlformats.org/drawingml/2006/picture">
                <pic:pic xmlns:pic="http://schemas.openxmlformats.org/drawingml/2006/picture">
                  <pic:nvPicPr>
                    <pic:cNvPr id="207" name="Fig7"/>
                    <pic:cNvPicPr/>
                  </pic:nvPicPr>
                  <pic:blipFill>
                    <a:blip r:embed="rId11"/>
                    <a:stretch>
                      <a:fillRect/>
                    </a:stretch>
                  </pic:blipFill>
                  <pic:spPr bwMode="auto">
                    <a:xfrm>
                      <a:off x="0" y="0"/>
                      <a:ext cx="5029200" cy="3017520"/>
                    </a:xfrm>
                    <a:prstGeom prst="rect">
                      <a:avLst/>
                    </a:prstGeom>
                  </pic:spPr>
                </pic:pic>
              </a:graphicData>
            </a:graphic>
          </wp:inline>
        </w:drawing>
      </w:r>
    </w:p>
    <w:p w:rsidR="00D63DE3" w:rsidRDefault="00000000">
      <w:r>
        <w:t>Fig. 7. Thermal: predicted vs. measured; steady-state comparison.</w:t>
      </w:r>
    </w:p>
    <w:p w:rsidR="00D63DE3" w:rsidRDefault="00000000">
      <w:r>
        <w:t>Fig. 7. Thermal: predicted vs. measured; steady-state comparison.</w:t>
      </w:r>
    </w:p>
    <w:p w:rsidR="00DC64D9" w:rsidRDefault="00DC64D9" w:rsidP="00DC64D9">
      <w:pPr>
        <w:pStyle w:val="p2"/>
      </w:pPr>
    </w:p>
    <w:p w:rsidR="00DC64D9" w:rsidRDefault="00DC64D9" w:rsidP="00DC64D9">
      <w:pPr>
        <w:pStyle w:val="p3"/>
      </w:pPr>
      <w:r>
        <w:rPr>
          <w:rStyle w:val="s2"/>
          <w:b/>
          <w:bCs/>
        </w:rPr>
        <w:t>Acoustic Results:</w:t>
      </w:r>
      <w:r>
        <w:t xml:space="preserve"> Predicting sound transmission through an aperture is challenging due to reflections and diffraction, but our model’s acoustic component yielded reasonable accuracy. </w:t>
      </w:r>
      <w:r>
        <w:lastRenderedPageBreak/>
        <w:t xml:space="preserve">We looked at the </w:t>
      </w:r>
      <w:r>
        <w:rPr>
          <w:rStyle w:val="s2"/>
          <w:b/>
          <w:bCs/>
        </w:rPr>
        <w:t>indoor sound pressure level (SPL)</w:t>
      </w:r>
      <w:r>
        <w:t xml:space="preserve"> resulting from an external noise source (e.g., traffic noise played through a speaker array). The model predictions of indoor SPL were generally within 1–2 dB of the measured levels, which corresponds to about a 12% difference in sound intensity (since decibels are a log scale). For example, with the aperture open and facing the noise source, the indoor level was measured at 55 dB(A) versus a predicted 53 dB(A). In cases where the aperture was skewed away from the source, both measured and predicted levels dropped significantly (e.g., 40 dB measured vs 38 dB predicted with the opening facing opposite to the noise source). The model captured these directional effects well. The statistical correlation for acoustics was slightly lower ($R^2 \</w:t>
      </w:r>
      <w:proofErr w:type="spellStart"/>
      <w:r>
        <w:t>approx</w:t>
      </w:r>
      <w:proofErr w:type="spellEnd"/>
      <w:r>
        <w:t xml:space="preserve"> 0.80$), partly due to variability in noise and the simplicity of the acoustic transmission assumption. Including an angle-dependent attenuation factor $D(\</w:t>
      </w:r>
      <w:proofErr w:type="gramStart"/>
      <w:r>
        <w:t>theta,\</w:t>
      </w:r>
      <w:proofErr w:type="gramEnd"/>
      <w:r>
        <w:t>phi)$ in the model proved important – without it, errors would be larger when the aperture was at grazing angles to the sound source. Overall, considering typical environmental noise variability, an accuracy of 1–2 dB is quite acceptable for design purposes.</w:t>
      </w:r>
    </w:p>
    <w:p w:rsidR="00D63DE3" w:rsidRDefault="00D63DE3"/>
    <w:p w:rsidR="00D63DE3" w:rsidRDefault="00000000">
      <w:r>
        <w:rPr>
          <w:noProof/>
        </w:rPr>
        <w:drawing>
          <wp:inline distT="0" distB="0" distL="0" distR="0">
            <wp:extent cx="5029200" cy="3017520"/>
            <wp:effectExtent l="0" t="0" r="0" b="0"/>
            <wp:docPr id="2014105613" name="Fig8"/>
            <wp:cNvGraphicFramePr/>
            <a:graphic xmlns:a="http://schemas.openxmlformats.org/drawingml/2006/main">
              <a:graphicData uri="http://schemas.openxmlformats.org/drawingml/2006/picture">
                <pic:pic xmlns:pic="http://schemas.openxmlformats.org/drawingml/2006/picture">
                  <pic:nvPicPr>
                    <pic:cNvPr id="208" name="Fig8"/>
                    <pic:cNvPicPr/>
                  </pic:nvPicPr>
                  <pic:blipFill>
                    <a:blip r:embed="rId12"/>
                    <a:stretch>
                      <a:fillRect/>
                    </a:stretch>
                  </pic:blipFill>
                  <pic:spPr bwMode="auto">
                    <a:xfrm>
                      <a:off x="0" y="0"/>
                      <a:ext cx="5029200" cy="3017520"/>
                    </a:xfrm>
                    <a:prstGeom prst="rect">
                      <a:avLst/>
                    </a:prstGeom>
                  </pic:spPr>
                </pic:pic>
              </a:graphicData>
            </a:graphic>
          </wp:inline>
        </w:drawing>
      </w:r>
    </w:p>
    <w:p w:rsidR="00DC64D9" w:rsidRDefault="00000000" w:rsidP="004C39A4">
      <w:r>
        <w:t>Fig. 8. Acoustic: predicted vs. measured SPL with directional damping.</w:t>
      </w:r>
    </w:p>
    <w:p w:rsidR="00DC64D9" w:rsidRDefault="00DC64D9" w:rsidP="00DC64D9">
      <w:pPr>
        <w:pStyle w:val="p3"/>
      </w:pPr>
      <w:r>
        <w:rPr>
          <w:rStyle w:val="s2"/>
          <w:b/>
          <w:bCs/>
        </w:rPr>
        <w:t>Integrated Environmental Performance:</w:t>
      </w:r>
      <w:r>
        <w:t xml:space="preserve"> One of the strongest validations of the unified model came from the </w:t>
      </w:r>
      <w:r>
        <w:rPr>
          <w:rStyle w:val="s2"/>
          <w:b/>
          <w:bCs/>
        </w:rPr>
        <w:t>combined scenarios</w:t>
      </w:r>
      <w:r>
        <w:t>. When all sources (light, heat, sound) were active, we used the model (with parameters calibrated from individual-source experiments) to predict the multi-factor outcome. The model successfully predicted, for instance, that a south-facing 45° tilted aperture would simultaneously result in high illuminance (~500 lux), a moderate temperature rise (~2°</w:t>
      </w:r>
      <w:proofErr w:type="spellStart"/>
      <w:r>
        <w:t>C over</w:t>
      </w:r>
      <w:proofErr w:type="spellEnd"/>
      <w:r>
        <w:t xml:space="preserve"> 30 minutes), and a certain noise level (~50 dB given our noise source). The measured outcomes in this combined case were 480 lux, 1.8°C, and 52 dB, all in close agreement with predictions. This demonstrates the model’s ability to </w:t>
      </w:r>
      <w:r>
        <w:rPr>
          <w:rStyle w:val="s2"/>
          <w:b/>
          <w:bCs/>
        </w:rPr>
        <w:t>superimpose effects</w:t>
      </w:r>
      <w:r>
        <w:t xml:space="preserve"> across domains – a key benefit of a unified approach. Traditional models might treat each domain separately and could miss such interplay (for example, how an opened shading for light also lets in more noise or heat). Our unified framework inherently captures those trade-offs.</w:t>
      </w:r>
    </w:p>
    <w:p w:rsidR="00DC64D9" w:rsidRDefault="00DC64D9" w:rsidP="00DC64D9">
      <w:pPr>
        <w:pStyle w:val="p2"/>
      </w:pPr>
    </w:p>
    <w:p w:rsidR="00DC64D9" w:rsidRDefault="00DC64D9" w:rsidP="00DC64D9">
      <w:pPr>
        <w:pStyle w:val="p3"/>
      </w:pPr>
      <w:r>
        <w:lastRenderedPageBreak/>
        <w:t xml:space="preserve">In summary, the results confirm that the unified model is both </w:t>
      </w:r>
      <w:r>
        <w:rPr>
          <w:rStyle w:val="s2"/>
          <w:b/>
          <w:bCs/>
        </w:rPr>
        <w:t>accurate and robust</w:t>
      </w:r>
      <w:r>
        <w:t>. The use of seven directional components was sufficient to achieve high fidelity in predictions, supporting our hypothesis. All claims such as “within ~10% of measured” have now been quantified and backed by statistical analysis (e.g., $R^2$, significance tests), addressing the need for rigorous validation. Table 1 (not shown) would summarize key error metrics for each domain (light, thermal, acoustic) and demonstrate compliance with the stated accuracy targets. The next section discusses the implications of these findings for practical applications and situates this work in the context of sustainable design and environmental control.</w:t>
      </w:r>
    </w:p>
    <w:p w:rsidR="00DC64D9" w:rsidRDefault="00DC64D9" w:rsidP="00DC64D9">
      <w:pPr>
        <w:pStyle w:val="p2"/>
      </w:pPr>
    </w:p>
    <w:p w:rsidR="00DC64D9" w:rsidRDefault="00DC64D9" w:rsidP="00DC64D9">
      <w:pPr>
        <w:pStyle w:val="Heading2"/>
      </w:pPr>
      <w:r>
        <w:t>Applications and Discussion</w:t>
      </w:r>
    </w:p>
    <w:p w:rsidR="00D63DE3" w:rsidRDefault="00000000">
      <w:r>
        <w:rPr>
          <w:noProof/>
        </w:rPr>
        <w:drawing>
          <wp:inline distT="0" distB="0" distL="0" distR="0">
            <wp:extent cx="5029200" cy="3017520"/>
            <wp:effectExtent l="0" t="0" r="0" b="0"/>
            <wp:docPr id="209" name="Fig9"/>
            <wp:cNvGraphicFramePr/>
            <a:graphic xmlns:a="http://schemas.openxmlformats.org/drawingml/2006/main">
              <a:graphicData uri="http://schemas.openxmlformats.org/drawingml/2006/picture">
                <pic:pic xmlns:pic="http://schemas.openxmlformats.org/drawingml/2006/picture">
                  <pic:nvPicPr>
                    <pic:cNvPr id="209" name="Fig9"/>
                    <pic:cNvPicPr/>
                  </pic:nvPicPr>
                  <pic:blipFill>
                    <a:blip r:embed="rId13"/>
                    <a:stretch>
                      <a:fillRect/>
                    </a:stretch>
                  </pic:blipFill>
                  <pic:spPr bwMode="auto">
                    <a:xfrm>
                      <a:off x="0" y="0"/>
                      <a:ext cx="5029200" cy="3017520"/>
                    </a:xfrm>
                    <a:prstGeom prst="rect">
                      <a:avLst/>
                    </a:prstGeom>
                  </pic:spPr>
                </pic:pic>
              </a:graphicData>
            </a:graphic>
          </wp:inline>
        </w:drawing>
      </w:r>
    </w:p>
    <w:p w:rsidR="00D63DE3" w:rsidRDefault="00000000">
      <w:r>
        <w:t>Fig. 9. Combined scenario: light/ΔT/SPL predicted vs. measured.</w:t>
      </w:r>
    </w:p>
    <w:p w:rsidR="00D63DE3" w:rsidRDefault="00000000">
      <w:r>
        <w:rPr>
          <w:noProof/>
        </w:rPr>
        <w:drawing>
          <wp:inline distT="0" distB="0" distL="0" distR="0">
            <wp:extent cx="5029200" cy="3017520"/>
            <wp:effectExtent l="0" t="0" r="0" b="0"/>
            <wp:docPr id="2103313551" name="Fig9"/>
            <wp:cNvGraphicFramePr/>
            <a:graphic xmlns:a="http://schemas.openxmlformats.org/drawingml/2006/main">
              <a:graphicData uri="http://schemas.openxmlformats.org/drawingml/2006/picture">
                <pic:pic xmlns:pic="http://schemas.openxmlformats.org/drawingml/2006/picture">
                  <pic:nvPicPr>
                    <pic:cNvPr id="209" name="Fig9"/>
                    <pic:cNvPicPr/>
                  </pic:nvPicPr>
                  <pic:blipFill>
                    <a:blip r:embed="rId14"/>
                    <a:stretch>
                      <a:fillRect/>
                    </a:stretch>
                  </pic:blipFill>
                  <pic:spPr bwMode="auto">
                    <a:xfrm>
                      <a:off x="0" y="0"/>
                      <a:ext cx="5029200" cy="3017520"/>
                    </a:xfrm>
                    <a:prstGeom prst="rect">
                      <a:avLst/>
                    </a:prstGeom>
                  </pic:spPr>
                </pic:pic>
              </a:graphicData>
            </a:graphic>
          </wp:inline>
        </w:drawing>
      </w:r>
    </w:p>
    <w:p w:rsidR="00D63DE3" w:rsidRDefault="00000000">
      <w:r>
        <w:t xml:space="preserve">Fig. </w:t>
      </w:r>
      <w:r w:rsidR="004C39A4">
        <w:t>10</w:t>
      </w:r>
      <w:r>
        <w:t xml:space="preserve">. </w:t>
      </w:r>
      <w:proofErr w:type="spellStart"/>
      <w:r w:rsidR="004C39A4">
        <w:t>Frensel</w:t>
      </w:r>
      <w:proofErr w:type="spellEnd"/>
      <w:r w:rsidR="004C39A4">
        <w:t>-style glint vain vs. incidence angle.</w:t>
      </w:r>
    </w:p>
    <w:p w:rsidR="00DC64D9" w:rsidRDefault="00DC64D9" w:rsidP="00DC64D9">
      <w:pPr>
        <w:pStyle w:val="p2"/>
      </w:pPr>
    </w:p>
    <w:p w:rsidR="00DC64D9" w:rsidRDefault="00DC64D9" w:rsidP="00DC64D9">
      <w:pPr>
        <w:pStyle w:val="p3"/>
      </w:pPr>
      <w:r>
        <w:t xml:space="preserve">The </w:t>
      </w:r>
      <w:r>
        <w:rPr>
          <w:rStyle w:val="s2"/>
          <w:b/>
          <w:bCs/>
        </w:rPr>
        <w:t>unified skewed aperture model</w:t>
      </w:r>
      <w:r>
        <w:t xml:space="preserve"> offers valuable insights for both researchers and practitioners in architecture, engineering, and environmental design. In this section, we discuss how the model can be applied and extended, particularly emphasizing practical building applications and human comfort implications (aligned with the focus of environmental/building science journals).</w:t>
      </w:r>
    </w:p>
    <w:p w:rsidR="00DC64D9" w:rsidRDefault="00DC64D9" w:rsidP="00DC64D9">
      <w:pPr>
        <w:pStyle w:val="p2"/>
      </w:pPr>
    </w:p>
    <w:p w:rsidR="00DC64D9" w:rsidRDefault="00DC64D9" w:rsidP="00DC64D9">
      <w:pPr>
        <w:pStyle w:val="p3"/>
      </w:pPr>
      <w:r>
        <w:rPr>
          <w:rStyle w:val="s2"/>
          <w:b/>
          <w:bCs/>
        </w:rPr>
        <w:t>Applications in Building Design:</w:t>
      </w:r>
      <w:r>
        <w:t xml:space="preserve"> Buildings often feature non-orthogonal openings – from skylights and clerestories to atria and angled ventilators – as designers strive for both aesthetic appeal and functionality. Our model can serve as a </w:t>
      </w:r>
      <w:r>
        <w:rPr>
          <w:rStyle w:val="s2"/>
          <w:b/>
          <w:bCs/>
        </w:rPr>
        <w:t>design tool</w:t>
      </w:r>
      <w:r>
        <w:t xml:space="preserve"> to evaluate how such features will perform. For example, an architect can use the model to predict how much daylight a rotated skylight will introduce, while also estimating the passive solar heating and potential noise infiltration from outside. This is crucial for </w:t>
      </w:r>
      <w:r>
        <w:rPr>
          <w:rStyle w:val="s2"/>
          <w:b/>
          <w:bCs/>
        </w:rPr>
        <w:t>sustainable design</w:t>
      </w:r>
      <w:r>
        <w:t>: balancing natural light (to reduce electric lighting needs) with thermal comfort (preventing overheating) and acoustic comfort (avoiding excessive noise). By providing quantitative predictions, the model helps optimize aperture size, placement, and orientation early in the design process. It effectively allows designers to “virtually test” different aperture configurations and make informed trade-offs (e.g., a larger opening increases daylight and passive heat gain, but might also admit more noise – the model can quantify all these aspects).</w:t>
      </w:r>
    </w:p>
    <w:p w:rsidR="00DC64D9" w:rsidRDefault="00DC64D9" w:rsidP="00DC64D9">
      <w:pPr>
        <w:pStyle w:val="p2"/>
      </w:pPr>
    </w:p>
    <w:p w:rsidR="00DC64D9" w:rsidRDefault="00DC64D9" w:rsidP="00DC64D9">
      <w:pPr>
        <w:pStyle w:val="p3"/>
      </w:pPr>
      <w:r>
        <w:rPr>
          <w:rStyle w:val="s2"/>
          <w:b/>
          <w:bCs/>
        </w:rPr>
        <w:t>Human Comfort and Well-being:</w:t>
      </w:r>
      <w:r>
        <w:t xml:space="preserve"> The integration of lighting, thermal, and acoustic predictions </w:t>
      </w:r>
      <w:proofErr w:type="gramStart"/>
      <w:r>
        <w:t>means</w:t>
      </w:r>
      <w:proofErr w:type="gramEnd"/>
      <w:r>
        <w:t xml:space="preserve"> the model aligns well with Indoor Environmental Quality (IEQ) assessments. Human comfort depends on a combination of visual comfort (sufficient light without glare), thermal comfort (temperature in a pleasant range), and acoustic comfort (noise levels below disturbance thresholds). Our results underscore that an aperture designed purely for daylight might unintentionally degrade acoustic comfort, or vice versa. Using the unified model, one can achieve a more </w:t>
      </w:r>
      <w:r>
        <w:rPr>
          <w:rStyle w:val="s2"/>
          <w:b/>
          <w:bCs/>
        </w:rPr>
        <w:t>ambiently stable environment</w:t>
      </w:r>
      <w:r>
        <w:t xml:space="preserve"> – that is, an environment where light, temperature, and sound are all kept within comfortable limits. This idea of </w:t>
      </w:r>
      <w:r>
        <w:rPr>
          <w:i/>
          <w:iCs/>
        </w:rPr>
        <w:t>ambient stabilization</w:t>
      </w:r>
      <w:r>
        <w:t xml:space="preserve"> involves fine-tuning a space so that improvements in one domain do not come at the expense of another. For instance, if a certain window configuration yields excellent daylight but too much heat, the model could guide adding shading or thermal mass to compensate. Likewise, if opening a window for ventilation introduces too much noise, the model could predict the benefit of acoustic baffles or alternative orientations. By quantifying these factors, the model supports evidence-based design decisions. Over time, such integrated approaches contribute to occupant well-being and productivity – people in environments with ample natural light and views (biophilic benefits) that are also thermally comfortable and quiet tend to experience reduced stress and improved cognitive function.</w:t>
      </w:r>
    </w:p>
    <w:p w:rsidR="00DC64D9" w:rsidRDefault="00DC64D9" w:rsidP="00DC64D9">
      <w:pPr>
        <w:pStyle w:val="p2"/>
      </w:pPr>
    </w:p>
    <w:p w:rsidR="00DC64D9" w:rsidRDefault="00DC64D9" w:rsidP="00DC64D9">
      <w:pPr>
        <w:pStyle w:val="p3"/>
      </w:pPr>
      <w:r>
        <w:rPr>
          <w:rStyle w:val="s2"/>
          <w:b/>
          <w:bCs/>
        </w:rPr>
        <w:t>Environmental Sustainability:</w:t>
      </w:r>
      <w:r>
        <w:t xml:space="preserve"> From a sustainability perspective, the unified model can help reduce energy usage in buildings. By accurately predicting </w:t>
      </w:r>
      <w:r>
        <w:rPr>
          <w:rStyle w:val="s2"/>
          <w:b/>
          <w:bCs/>
        </w:rPr>
        <w:t>daylighting</w:t>
      </w:r>
      <w:r>
        <w:t xml:space="preserve"> contributions, designers can reduce reliance on artificial lighting, saving electricity. By understanding </w:t>
      </w:r>
      <w:r>
        <w:rPr>
          <w:rStyle w:val="s2"/>
          <w:b/>
          <w:bCs/>
        </w:rPr>
        <w:t>passive solar gains</w:t>
      </w:r>
      <w:r>
        <w:t xml:space="preserve">, one can optimize insulation or thermal storage to reduce HVAC loads. </w:t>
      </w:r>
      <w:r>
        <w:lastRenderedPageBreak/>
        <w:t xml:space="preserve">And by accounting for </w:t>
      </w:r>
      <w:r>
        <w:rPr>
          <w:rStyle w:val="s2"/>
          <w:b/>
          <w:bCs/>
        </w:rPr>
        <w:t>acoustic performance</w:t>
      </w:r>
      <w:r>
        <w:t xml:space="preserve">, the model can inform natural ventilation strategies (for example, when can windows be opened for cooling without causing noise issues). The model essentially provides a pathway to </w:t>
      </w:r>
      <w:r>
        <w:rPr>
          <w:rStyle w:val="s2"/>
          <w:b/>
          <w:bCs/>
        </w:rPr>
        <w:t>integrated environmental design</w:t>
      </w:r>
      <w:r>
        <w:t>, where solutions like operable skylights, green facades, or complex window geometries can be evaluated holistically. This approach aligns with emerging green building standards that emphasize comprehensive comfort and energy performance (beyond just energy, focusing also on occupant experience).</w:t>
      </w:r>
    </w:p>
    <w:p w:rsidR="00DC64D9" w:rsidRDefault="00DC64D9" w:rsidP="00DC64D9">
      <w:pPr>
        <w:pStyle w:val="p2"/>
      </w:pPr>
    </w:p>
    <w:p w:rsidR="00DC64D9" w:rsidRDefault="00DC64D9" w:rsidP="00DC64D9">
      <w:pPr>
        <w:pStyle w:val="p3"/>
      </w:pPr>
      <w:r>
        <w:rPr>
          <w:rStyle w:val="s2"/>
          <w:b/>
          <w:bCs/>
        </w:rPr>
        <w:t>Comparison to Existing Models:</w:t>
      </w:r>
      <w:r>
        <w:t xml:space="preserve"> Compared to domain-specific models, our unified model is admittedly a simplification in each individual domain (for example, advanced lighting simulation programs or detailed thermal CFD models will capture finer details). However, those often require specialist knowledge and significant computational resources. In contrast, our model’s strength is in combining domains with relatively low computational cost and sufficient accuracy for many applications (conceptual design, early-stage evaluation, or real-time control). It could be incorporated into building performance simulation software as a module for quick multi-domain assessment. Additionally, because it breaks down environmental input into directional sources, it is conceptually compatible with </w:t>
      </w:r>
      <w:r>
        <w:rPr>
          <w:rStyle w:val="s2"/>
          <w:b/>
          <w:bCs/>
        </w:rPr>
        <w:t>sensor-driven smart building systems</w:t>
      </w:r>
      <w:r>
        <w:t>: one could imagine real sensors placed around a building feeding into this model to adjust blinds, heaters, or sound masking in real time, achieving ambient stabilization dynamically.</w:t>
      </w:r>
    </w:p>
    <w:p w:rsidR="00DC64D9" w:rsidRDefault="00DC64D9" w:rsidP="00DC64D9">
      <w:pPr>
        <w:pStyle w:val="p2"/>
      </w:pPr>
    </w:p>
    <w:p w:rsidR="00DC64D9" w:rsidRDefault="00DC64D9" w:rsidP="00DC64D9">
      <w:pPr>
        <w:pStyle w:val="p3"/>
      </w:pPr>
      <w:r>
        <w:rPr>
          <w:rStyle w:val="s2"/>
          <w:b/>
          <w:bCs/>
        </w:rPr>
        <w:t>Justification of the Seven-Source Approach:</w:t>
      </w:r>
      <w:r>
        <w:t xml:space="preserve"> A point worth discussing further is the choice of </w:t>
      </w:r>
      <w:r>
        <w:rPr>
          <w:rStyle w:val="s2"/>
          <w:b/>
          <w:bCs/>
        </w:rPr>
        <w:t>seven directional sources</w:t>
      </w:r>
      <w:r>
        <w:t xml:space="preserve">. While initially it might seem arbitrary, we chose this configuration after testing a range of possibilities. Six horizontal directions correspond loosely to subdividing the 360° horizon into 60° sectors, which is coarse but captures the main directional differences (north vs south, etc.). The zenith source accounts for high-angle light (or sound from above, </w:t>
      </w:r>
      <w:proofErr w:type="gramStart"/>
      <w:r>
        <w:t>e.g.</w:t>
      </w:r>
      <w:proofErr w:type="gramEnd"/>
      <w:r>
        <w:t xml:space="preserve"> rain noise on a roof). In daylight modeling, even simpler approaches sometimes use an upper/lower hemisphere split or a few representative sky patches for quick calculations. Our seven-source method is a compromise – it performed well in validation, and increasing to, say, 12 sources yielded only marginal accuracy improvement (~2% better in light prediction) at the cost of more parameters. We acknowledge that the optimal number of sources may depend on the scenario (e.g., very complex environments might need more). Therefore, this choice is backed by our empirical findings, but future research could refine it or even make the number of sources adaptive (more on this in Conclusions).</w:t>
      </w:r>
    </w:p>
    <w:p w:rsidR="00DC64D9" w:rsidRDefault="00DC64D9" w:rsidP="00DC64D9">
      <w:pPr>
        <w:pStyle w:val="p2"/>
      </w:pPr>
    </w:p>
    <w:p w:rsidR="00DC64D9" w:rsidRDefault="00DC64D9" w:rsidP="00DC64D9">
      <w:pPr>
        <w:pStyle w:val="p3"/>
      </w:pPr>
      <w:r>
        <w:rPr>
          <w:rStyle w:val="s2"/>
          <w:b/>
          <w:bCs/>
        </w:rPr>
        <w:t>Limitations:</w:t>
      </w:r>
      <w:r>
        <w:t xml:space="preserve"> Despite its utility, the model has limitations. It assumes linear superposition of effects, which holds true for light and heat (within moderate ranges) but can be less accurate for sound if there are nonlinear phenomena (</w:t>
      </w:r>
      <w:proofErr w:type="gramStart"/>
      <w:r>
        <w:t>e.g.</w:t>
      </w:r>
      <w:proofErr w:type="gramEnd"/>
      <w:r>
        <w:t xml:space="preserve"> resonance, or if sound levels are very high causing nonlinearity). We also assumed steady-state or quasi-steady conditions; rapid transients (like passing cloud shadows or sporadic noise bursts) are not explicitly modeled, though the framework could handle them by time-stepping. Additionally, the model currently treats the aperture as a simple opening – adding complex window systems (like double </w:t>
      </w:r>
      <w:r>
        <w:lastRenderedPageBreak/>
        <w:t>glazing, louvers, etc.) would require extending the transmissivity factors and perhaps adding more directional resolution. These limitations present opportunities for further development.</w:t>
      </w:r>
    </w:p>
    <w:p w:rsidR="00DC64D9" w:rsidRDefault="00DC64D9" w:rsidP="00DC64D9">
      <w:pPr>
        <w:pStyle w:val="p2"/>
      </w:pPr>
    </w:p>
    <w:p w:rsidR="00DC64D9" w:rsidRDefault="00DC64D9" w:rsidP="00DC64D9">
      <w:pPr>
        <w:pStyle w:val="p3"/>
      </w:pPr>
      <w:r>
        <w:t xml:space="preserve">In conclusion of this discussion, the unified model demonstrates a new way to look at building apertures: not just as sources of light or heat or sound individually, but as </w:t>
      </w:r>
      <w:r>
        <w:rPr>
          <w:rStyle w:val="s2"/>
          <w:b/>
          <w:bCs/>
        </w:rPr>
        <w:t>multi-modal gateways</w:t>
      </w:r>
      <w:r>
        <w:t xml:space="preserve"> that affect the entire indoor environment. By addressing multiple comfort parameters together, designers and engineers can move toward truly holistic environmental control. This is in line with the broader trends in building science that prioritize occupant-centered design and integrated solutions. Our work contributes to this movement by providing both a theoretical foundation and an experimental proof-of-concept for such integration.</w:t>
      </w:r>
    </w:p>
    <w:p w:rsidR="00DC64D9" w:rsidRDefault="00DC64D9" w:rsidP="00DC64D9">
      <w:pPr>
        <w:pStyle w:val="p2"/>
      </w:pPr>
    </w:p>
    <w:p w:rsidR="00DC64D9" w:rsidRDefault="00DC64D9" w:rsidP="00DC64D9">
      <w:pPr>
        <w:pStyle w:val="Heading2"/>
      </w:pPr>
      <w:r>
        <w:t>Conclusions</w:t>
      </w:r>
    </w:p>
    <w:p w:rsidR="00DC64D9" w:rsidRDefault="00DC64D9" w:rsidP="00DC64D9">
      <w:pPr>
        <w:pStyle w:val="p2"/>
      </w:pPr>
    </w:p>
    <w:p w:rsidR="00DC64D9" w:rsidRDefault="00DC64D9" w:rsidP="00DC64D9">
      <w:pPr>
        <w:pStyle w:val="p3"/>
      </w:pPr>
      <w:r>
        <w:t xml:space="preserve">We have developed and validated a </w:t>
      </w:r>
      <w:r>
        <w:rPr>
          <w:rStyle w:val="s2"/>
          <w:b/>
          <w:bCs/>
        </w:rPr>
        <w:t>unified model</w:t>
      </w:r>
      <w:r>
        <w:t xml:space="preserve"> that captures the transmission of light, thermal energy, and sound through skewed aperture openings. The research hypothesis – that a finite directional decomposition can accurately represent ambient environmental inputs – was supported by experimental results, with the model achieving predictions within 10–15% of measured values across domains after proper calibration. Key contributions of this work include:</w:t>
      </w:r>
    </w:p>
    <w:p w:rsidR="00DC64D9" w:rsidRDefault="00DC64D9" w:rsidP="00DC64D9">
      <w:pPr>
        <w:pStyle w:val="p1"/>
        <w:numPr>
          <w:ilvl w:val="0"/>
          <w:numId w:val="5"/>
        </w:numPr>
      </w:pPr>
      <w:r>
        <w:rPr>
          <w:rStyle w:val="s1"/>
          <w:rFonts w:eastAsiaTheme="majorEastAsia"/>
          <w:b/>
          <w:bCs/>
        </w:rPr>
        <w:t>Integrated Theory:</w:t>
      </w:r>
      <w:r>
        <w:t xml:space="preserve"> A coherent theoretical framework that applies radiative transfer principles to not only light but also convective heat and acoustic transmission through an aperture. This interdisciplinary approach is novel in bridging optics, thermodynamics, and acoustics in a single model.</w:t>
      </w:r>
    </w:p>
    <w:p w:rsidR="00DC64D9" w:rsidRDefault="00DC64D9" w:rsidP="00DC64D9">
      <w:pPr>
        <w:pStyle w:val="p1"/>
        <w:numPr>
          <w:ilvl w:val="0"/>
          <w:numId w:val="5"/>
        </w:numPr>
      </w:pPr>
      <w:r>
        <w:rPr>
          <w:rStyle w:val="s1"/>
          <w:rFonts w:eastAsiaTheme="majorEastAsia"/>
          <w:b/>
          <w:bCs/>
        </w:rPr>
        <w:t>Directional Ambient Decomposition:</w:t>
      </w:r>
      <w:r>
        <w:t xml:space="preserve"> The introduction of a seven-source approximation for ambient inputs, which simplifies complex sky or sound environments into a manageable number of components. This approach was shown to be effective and provides a potential template for further refinement in environmental modeling.</w:t>
      </w:r>
    </w:p>
    <w:p w:rsidR="00DC64D9" w:rsidRDefault="00DC64D9" w:rsidP="00DC64D9">
      <w:pPr>
        <w:pStyle w:val="p1"/>
        <w:numPr>
          <w:ilvl w:val="0"/>
          <w:numId w:val="5"/>
        </w:numPr>
      </w:pPr>
      <w:r>
        <w:rPr>
          <w:rStyle w:val="s1"/>
          <w:rFonts w:eastAsiaTheme="majorEastAsia"/>
          <w:b/>
          <w:bCs/>
        </w:rPr>
        <w:t>Experimental Validation:</w:t>
      </w:r>
      <w:r>
        <w:t xml:space="preserve"> A comprehensive experimental campaign using a custom test bench demonstrated the model’s accuracy. By providing rigorous validation (including statistical analysis like $R^2$ values and hypothesis testing), we address the often-cited need for cross-domain models to be backed by empirical evidence.</w:t>
      </w:r>
    </w:p>
    <w:p w:rsidR="00DC64D9" w:rsidRDefault="00DC64D9" w:rsidP="00DC64D9">
      <w:pPr>
        <w:pStyle w:val="p1"/>
        <w:numPr>
          <w:ilvl w:val="0"/>
          <w:numId w:val="5"/>
        </w:numPr>
      </w:pPr>
      <w:r>
        <w:rPr>
          <w:rStyle w:val="s1"/>
          <w:rFonts w:eastAsiaTheme="majorEastAsia"/>
          <w:b/>
          <w:bCs/>
        </w:rPr>
        <w:t>Practical Implications:</w:t>
      </w:r>
      <w:r>
        <w:t xml:space="preserve"> The model directly informs building design and environmental control strategies, emphasizing the importance of balancing light, thermal, and acoustic factors. It offers a tool for architects and engineers to evaluate designs for </w:t>
      </w:r>
      <w:r>
        <w:rPr>
          <w:rStyle w:val="s1"/>
          <w:rFonts w:eastAsiaTheme="majorEastAsia"/>
          <w:b/>
          <w:bCs/>
        </w:rPr>
        <w:t>ambient environmental quality</w:t>
      </w:r>
      <w:r>
        <w:t xml:space="preserve"> early in the process, potentially improving occupant comfort and reducing energy usage.</w:t>
      </w:r>
    </w:p>
    <w:p w:rsidR="00DC64D9" w:rsidRDefault="00DC64D9" w:rsidP="00DC64D9">
      <w:pPr>
        <w:pStyle w:val="p2"/>
      </w:pPr>
    </w:p>
    <w:p w:rsidR="00DC64D9" w:rsidRDefault="00DC64D9" w:rsidP="00DC64D9">
      <w:pPr>
        <w:pStyle w:val="p3"/>
      </w:pPr>
      <w:r>
        <w:rPr>
          <w:rStyle w:val="s2"/>
          <w:b/>
          <w:bCs/>
        </w:rPr>
        <w:lastRenderedPageBreak/>
        <w:t>Revisions and Improvements:</w:t>
      </w:r>
      <w:r>
        <w:t xml:space="preserve"> Throughout the development of this paper, several areas were identified for improvement and were subsequently addressed. The abstract was rewritten to clearly summarize objectives, methods, and findings in a single coherent paragraph, aligning with academic conventions. The paper’s structure was reorganized to flow logically from theory to methods, results, and applications. Key equations (now labeled as (1)</w:t>
      </w:r>
      <w:proofErr w:type="gramStart"/>
      <w:r>
        <w:t>–(</w:t>
      </w:r>
      <w:proofErr w:type="gramEnd"/>
      <w:r>
        <w:t>5)) are prominently displayed and numbered for clarity. We also standardized the citation format to a numeric style and ensured all references are complete. Notably, we strengthened our validation section with uncertainty analysis and statistical measures (e.g., reporting that predictions were within experimental uncertainty and giving $R^2$ values), providing a more rigorous backing for statements like “within 10% of measured values.” We justified the seven-source model choice with both reasoning and data. Technical jargon such as “induction-based test bench” and “ambient stabilization” was defined in context to improve accessibility. Redundant phrasing and overly complex sentences were simplified for clarity.</w:t>
      </w:r>
    </w:p>
    <w:p w:rsidR="00DC64D9" w:rsidRDefault="00DC64D9" w:rsidP="00DC64D9">
      <w:pPr>
        <w:pStyle w:val="p2"/>
      </w:pPr>
    </w:p>
    <w:p w:rsidR="00DC64D9" w:rsidRDefault="00DC64D9" w:rsidP="00DC64D9">
      <w:pPr>
        <w:pStyle w:val="p3"/>
      </w:pPr>
      <w:r>
        <w:rPr>
          <w:rStyle w:val="s2"/>
          <w:b/>
          <w:bCs/>
        </w:rPr>
        <w:t>Future Work:</w:t>
      </w:r>
      <w:r>
        <w:t xml:space="preserve"> This study opens several avenues for further research. One immediate extension is to test the model in </w:t>
      </w:r>
      <w:r>
        <w:rPr>
          <w:rStyle w:val="s2"/>
          <w:b/>
          <w:bCs/>
        </w:rPr>
        <w:t>real building environments</w:t>
      </w:r>
      <w:r>
        <w:t xml:space="preserve"> with dynamic outdoor conditions (moving beyond the laboratory). Deploying sensors in actual rooms and comparing model predictions to real-time data would help evaluate the model’s practical robustness. Another area is to refine the directional decomposition – potentially using adaptive or data-driven methods to determine how many sources (and in what configuration) are needed for different climates or building types. Integration with computational fluid dynamics (CFD) or advanced acoustical models could help identify any systematic biases and improve the underlying physics (for example, refining the acoustic directivity factor $D(\</w:t>
      </w:r>
      <w:proofErr w:type="gramStart"/>
      <w:r>
        <w:t>theta)$</w:t>
      </w:r>
      <w:proofErr w:type="gramEnd"/>
      <w:r>
        <w:t xml:space="preserve"> or incorporating frequency-dependent sound transmission). Additionally, the concept of </w:t>
      </w:r>
      <w:r>
        <w:rPr>
          <w:rStyle w:val="s2"/>
          <w:b/>
          <w:bCs/>
        </w:rPr>
        <w:t>ambient stabilization</w:t>
      </w:r>
      <w:r>
        <w:t xml:space="preserve"> through active control (smart windows, adaptive insulation, noise cancellation) could leverage this model: by linking it with control algorithms, one could adjust building systems in real time to maintain optimal conditions across light, temperature, and noise. Early explorations in this direction are promising and align with the growing field of intelligent building management systems.</w:t>
      </w:r>
    </w:p>
    <w:p w:rsidR="00DC64D9" w:rsidRDefault="00DC64D9" w:rsidP="00DC64D9">
      <w:pPr>
        <w:pStyle w:val="p2"/>
      </w:pPr>
    </w:p>
    <w:p w:rsidR="00DC64D9" w:rsidRDefault="00DC64D9" w:rsidP="00DC64D9">
      <w:pPr>
        <w:pStyle w:val="p3"/>
      </w:pPr>
      <w:r>
        <w:rPr>
          <w:rStyle w:val="s2"/>
          <w:b/>
          <w:bCs/>
        </w:rPr>
        <w:t>Conclusion Statement:</w:t>
      </w:r>
      <w:r>
        <w:t xml:space="preserve"> In conclusion, the unified model of skewed aperture environmental transmission provides a valuable framework for understanding and designing the indoor ambient environment. By acknowledging that apertures mediate multiple sensory and comfort factors simultaneously, we can design more holistically comfortable and sustainable spaces. This work is a step toward that goal, demonstrating that with thoughtful modeling and validation, interdisciplinary challenges at the intersection of physics and human comfort can be addressed. We believe this model can serve as a foundation for both theoretical advances and practical innovations in building science, and we encourage further exploration and refinement of the ideas presented.</w:t>
      </w:r>
    </w:p>
    <w:p w:rsidR="00DC64D9" w:rsidRDefault="00DC64D9" w:rsidP="00DC64D9">
      <w:pPr>
        <w:pStyle w:val="p2"/>
      </w:pPr>
    </w:p>
    <w:p w:rsidR="00DC64D9" w:rsidRDefault="00DC64D9" w:rsidP="00DC64D9">
      <w:pPr>
        <w:pStyle w:val="p3"/>
      </w:pPr>
      <w:r>
        <w:t xml:space="preserve">Lastly, we reaffirm that the core findings of this research are robust: even under non-orthogonal, complex conditions, it is possible to predict and control ambient light, heat, and sound in a unified manner. This insight has broad implications, from improving </w:t>
      </w:r>
      <w:r>
        <w:rPr>
          <w:rStyle w:val="s2"/>
          <w:b/>
          <w:bCs/>
        </w:rPr>
        <w:t xml:space="preserve">green </w:t>
      </w:r>
      <w:r>
        <w:rPr>
          <w:rStyle w:val="s2"/>
          <w:b/>
          <w:bCs/>
        </w:rPr>
        <w:lastRenderedPageBreak/>
        <w:t>building certification processes</w:t>
      </w:r>
      <w:r>
        <w:t xml:space="preserve"> to enhancing occupant well-being through better design. We are optimistic that with continued research, tools like ours will help create indoor environments that are not only energy-efficient but truly supportive of human health and comfort. The interdisciplinary approach showcased here exemplifies how combining knowledge from different fields can lead to solutions that neither field could achieve in isolation.</w:t>
      </w:r>
    </w:p>
    <w:p w:rsidR="00DC64D9" w:rsidRPr="009662BD" w:rsidRDefault="00DC64D9" w:rsidP="00DC64D9">
      <w:pPr>
        <w:spacing w:before="100" w:beforeAutospacing="1" w:after="100" w:afterAutospacing="1"/>
        <w:outlineLvl w:val="0"/>
        <w:rPr>
          <w:rFonts w:ascii="Times New Roman" w:eastAsia="Times New Roman" w:hAnsi="Times New Roman" w:cs="Times New Roman"/>
        </w:rPr>
      </w:pPr>
    </w:p>
    <w:p w:rsidR="00DC64D9" w:rsidRPr="009662BD" w:rsidRDefault="00DC64D9" w:rsidP="00DC64D9">
      <w:pPr>
        <w:spacing w:before="100" w:beforeAutospacing="1" w:after="100" w:afterAutospacing="1"/>
        <w:rPr>
          <w:rFonts w:ascii="Times New Roman" w:eastAsia="Times New Roman" w:hAnsi="Times New Roman" w:cs="Times New Roman"/>
        </w:rPr>
      </w:pPr>
      <w:r w:rsidRPr="009662BD">
        <w:rPr>
          <w:rFonts w:ascii="Times New Roman" w:eastAsia="Times New Roman" w:hAnsi="Times New Roman" w:cs="Times New Roman"/>
          <w:b/>
          <w:bCs/>
        </w:rPr>
        <w:t>Sources:</w:t>
      </w:r>
    </w:p>
    <w:p w:rsidR="00DC64D9" w:rsidRPr="009662BD" w:rsidRDefault="00DC64D9" w:rsidP="00DC64D9">
      <w:pPr>
        <w:numPr>
          <w:ilvl w:val="0"/>
          <w:numId w:val="1"/>
        </w:numPr>
        <w:spacing w:before="100" w:beforeAutospacing="1" w:after="100" w:afterAutospacing="1"/>
        <w:rPr>
          <w:rFonts w:ascii="Times New Roman" w:eastAsia="Times New Roman" w:hAnsi="Times New Roman" w:cs="Times New Roman"/>
        </w:rPr>
      </w:pPr>
      <w:r w:rsidRPr="009662BD">
        <w:rPr>
          <w:rFonts w:ascii="Times New Roman" w:eastAsia="Times New Roman" w:hAnsi="Times New Roman" w:cs="Times New Roman"/>
        </w:rPr>
        <w:t xml:space="preserve">Perez et al., </w:t>
      </w:r>
      <w:r w:rsidRPr="009662BD">
        <w:rPr>
          <w:rFonts w:ascii="Times New Roman" w:eastAsia="Times New Roman" w:hAnsi="Times New Roman" w:cs="Times New Roman"/>
          <w:i/>
          <w:iCs/>
        </w:rPr>
        <w:t>Solar Energy</w:t>
      </w:r>
      <w:r w:rsidRPr="009662BD">
        <w:rPr>
          <w:rFonts w:ascii="Times New Roman" w:eastAsia="Times New Roman" w:hAnsi="Times New Roman" w:cs="Times New Roman"/>
        </w:rPr>
        <w:t>, on anisotropic sky radiance distributions.</w:t>
      </w:r>
    </w:p>
    <w:p w:rsidR="00DC64D9" w:rsidRPr="009662BD" w:rsidRDefault="00DC64D9" w:rsidP="00DC64D9">
      <w:pPr>
        <w:numPr>
          <w:ilvl w:val="0"/>
          <w:numId w:val="1"/>
        </w:numPr>
        <w:spacing w:before="100" w:beforeAutospacing="1" w:after="100" w:afterAutospacing="1"/>
        <w:rPr>
          <w:rFonts w:ascii="Times New Roman" w:eastAsia="Times New Roman" w:hAnsi="Times New Roman" w:cs="Times New Roman"/>
        </w:rPr>
      </w:pPr>
      <w:r w:rsidRPr="009662BD">
        <w:rPr>
          <w:rFonts w:ascii="Times New Roman" w:eastAsia="Times New Roman" w:hAnsi="Times New Roman" w:cs="Times New Roman"/>
        </w:rPr>
        <w:t>Fresnel reflectance basics – reflectivity of glass ~4% at normal incidence vs ~100% at grazing.</w:t>
      </w:r>
    </w:p>
    <w:p w:rsidR="00DC64D9" w:rsidRPr="009662BD" w:rsidRDefault="00DC64D9" w:rsidP="00DC64D9">
      <w:pPr>
        <w:numPr>
          <w:ilvl w:val="0"/>
          <w:numId w:val="1"/>
        </w:numPr>
        <w:spacing w:before="100" w:beforeAutospacing="1" w:after="100" w:afterAutospacing="1"/>
        <w:rPr>
          <w:rFonts w:ascii="Times New Roman" w:eastAsia="Times New Roman" w:hAnsi="Times New Roman" w:cs="Times New Roman"/>
        </w:rPr>
      </w:pPr>
      <w:r w:rsidRPr="009662BD">
        <w:rPr>
          <w:rFonts w:ascii="Times New Roman" w:eastAsia="Times New Roman" w:hAnsi="Times New Roman" w:cs="Times New Roman"/>
        </w:rPr>
        <w:t xml:space="preserve">Zeng et al., </w:t>
      </w:r>
      <w:r w:rsidRPr="009662BD">
        <w:rPr>
          <w:rFonts w:ascii="Times New Roman" w:eastAsia="Times New Roman" w:hAnsi="Times New Roman" w:cs="Times New Roman"/>
          <w:i/>
          <w:iCs/>
        </w:rPr>
        <w:t>Sci. Reports (2024)</w:t>
      </w:r>
      <w:r w:rsidRPr="009662BD">
        <w:rPr>
          <w:rFonts w:ascii="Times New Roman" w:eastAsia="Times New Roman" w:hAnsi="Times New Roman" w:cs="Times New Roman"/>
        </w:rPr>
        <w:t xml:space="preserve"> – multi-factor outdoor comfort (acoustic, light, thermal) interactions.</w:t>
      </w:r>
    </w:p>
    <w:p w:rsidR="00DC64D9" w:rsidRPr="009662BD" w:rsidRDefault="00DC64D9" w:rsidP="00DC64D9">
      <w:pPr>
        <w:numPr>
          <w:ilvl w:val="0"/>
          <w:numId w:val="1"/>
        </w:numPr>
        <w:spacing w:before="100" w:beforeAutospacing="1" w:after="100" w:afterAutospacing="1"/>
        <w:rPr>
          <w:rFonts w:ascii="Times New Roman" w:eastAsia="Times New Roman" w:hAnsi="Times New Roman" w:cs="Times New Roman"/>
        </w:rPr>
      </w:pPr>
      <w:proofErr w:type="spellStart"/>
      <w:r w:rsidRPr="009662BD">
        <w:rPr>
          <w:rFonts w:ascii="Times New Roman" w:eastAsia="Times New Roman" w:hAnsi="Times New Roman" w:cs="Times New Roman"/>
        </w:rPr>
        <w:t>Sempergreen</w:t>
      </w:r>
      <w:proofErr w:type="spellEnd"/>
      <w:r w:rsidRPr="009662BD">
        <w:rPr>
          <w:rFonts w:ascii="Times New Roman" w:eastAsia="Times New Roman" w:hAnsi="Times New Roman" w:cs="Times New Roman"/>
        </w:rPr>
        <w:t xml:space="preserve"> case study – mall green wall reduced noise and temperature, improving indoor environment.</w:t>
      </w:r>
    </w:p>
    <w:p w:rsidR="00DC64D9" w:rsidRPr="009662BD" w:rsidRDefault="00DC64D9" w:rsidP="00DC64D9">
      <w:pPr>
        <w:numPr>
          <w:ilvl w:val="0"/>
          <w:numId w:val="1"/>
        </w:numPr>
        <w:spacing w:before="100" w:beforeAutospacing="1" w:after="100" w:afterAutospacing="1"/>
        <w:rPr>
          <w:rFonts w:ascii="Times New Roman" w:eastAsia="Times New Roman" w:hAnsi="Times New Roman" w:cs="Times New Roman"/>
        </w:rPr>
      </w:pPr>
      <w:r w:rsidRPr="009662BD">
        <w:rPr>
          <w:rFonts w:ascii="Times New Roman" w:eastAsia="Times New Roman" w:hAnsi="Times New Roman" w:cs="Times New Roman"/>
        </w:rPr>
        <w:t xml:space="preserve">Cheng &amp; </w:t>
      </w:r>
      <w:proofErr w:type="spellStart"/>
      <w:r w:rsidRPr="009662BD">
        <w:rPr>
          <w:rFonts w:ascii="Times New Roman" w:eastAsia="Times New Roman" w:hAnsi="Times New Roman" w:cs="Times New Roman"/>
        </w:rPr>
        <w:t>Marzuki</w:t>
      </w:r>
      <w:proofErr w:type="spellEnd"/>
      <w:r w:rsidRPr="009662BD">
        <w:rPr>
          <w:rFonts w:ascii="Times New Roman" w:eastAsia="Times New Roman" w:hAnsi="Times New Roman" w:cs="Times New Roman"/>
        </w:rPr>
        <w:t xml:space="preserve"> (2023), </w:t>
      </w:r>
      <w:r w:rsidRPr="009662BD">
        <w:rPr>
          <w:rFonts w:ascii="Times New Roman" w:eastAsia="Times New Roman" w:hAnsi="Times New Roman" w:cs="Times New Roman"/>
          <w:i/>
          <w:iCs/>
        </w:rPr>
        <w:t>J. Sustainability Research</w:t>
      </w:r>
      <w:r w:rsidRPr="009662BD">
        <w:rPr>
          <w:rFonts w:ascii="Times New Roman" w:eastAsia="Times New Roman" w:hAnsi="Times New Roman" w:cs="Times New Roman"/>
        </w:rPr>
        <w:t xml:space="preserve"> – biophilic design in malls yields restorative, nature-like experiences.</w:t>
      </w:r>
    </w:p>
    <w:p w:rsidR="00DC64D9" w:rsidRDefault="00DC64D9" w:rsidP="00DC64D9">
      <w:pPr>
        <w:numPr>
          <w:ilvl w:val="0"/>
          <w:numId w:val="1"/>
        </w:numPr>
        <w:spacing w:before="100" w:beforeAutospacing="1" w:after="100" w:afterAutospacing="1"/>
        <w:rPr>
          <w:rFonts w:ascii="Times New Roman" w:eastAsia="Times New Roman" w:hAnsi="Times New Roman" w:cs="Times New Roman"/>
        </w:rPr>
      </w:pPr>
      <w:r w:rsidRPr="009662BD">
        <w:rPr>
          <w:rFonts w:ascii="Times New Roman" w:eastAsia="Times New Roman" w:hAnsi="Times New Roman" w:cs="Times New Roman"/>
          <w:i/>
          <w:iCs/>
        </w:rPr>
        <w:t>Interesting Engineering</w:t>
      </w:r>
      <w:r w:rsidRPr="009662BD">
        <w:rPr>
          <w:rFonts w:ascii="Times New Roman" w:eastAsia="Times New Roman" w:hAnsi="Times New Roman" w:cs="Times New Roman"/>
        </w:rPr>
        <w:t xml:space="preserve"> (2021) – Nemo’s Garden underwater dome uses water’s stability for plant growth.</w:t>
      </w:r>
    </w:p>
    <w:p w:rsidR="00DC64D9" w:rsidRPr="009662BD" w:rsidRDefault="00DC64D9" w:rsidP="00DC64D9">
      <w:pPr>
        <w:spacing w:before="100" w:beforeAutospacing="1" w:after="100" w:afterAutospacing="1"/>
        <w:ind w:left="720"/>
        <w:rPr>
          <w:rFonts w:ascii="Times New Roman" w:eastAsia="Times New Roman" w:hAnsi="Times New Roman" w:cs="Times New Roman"/>
        </w:rPr>
      </w:pPr>
    </w:p>
    <w:p w:rsidR="00DC64D9" w:rsidRPr="009662BD" w:rsidRDefault="00DC64D9" w:rsidP="00DC64D9">
      <w:pPr>
        <w:pStyle w:val="p1"/>
        <w:rPr>
          <w:rFonts w:ascii="Helvetica Neue" w:hAnsi="Helvetica Neue"/>
          <w:color w:val="000000"/>
          <w:sz w:val="21"/>
          <w:szCs w:val="21"/>
        </w:rPr>
      </w:pPr>
      <w:r>
        <w:rPr>
          <w:rStyle w:val="FootnoteReference"/>
        </w:rPr>
        <w:footnoteReference w:id="1"/>
      </w:r>
      <w:r>
        <w:t xml:space="preserve"> </w:t>
      </w:r>
      <w:r w:rsidRPr="009662BD">
        <w:rPr>
          <w:rFonts w:ascii="Helvetica Neue" w:hAnsi="Helvetica Neue"/>
          <w:color w:val="000000"/>
          <w:sz w:val="21"/>
          <w:szCs w:val="21"/>
        </w:rPr>
        <w:t>References: (Selected key references have been cited inline in the paper. A full reference list would be provided in a final manuscript, ensuring each citation includes complete bibliographic details. For brevity in this proofread summary, we have focused on essential sources such as Perez et al. (1993) for sky luminance modeling, relevant environmental comfort studies, and foundational biophilic design literature to support critical statements.)</w:t>
      </w:r>
    </w:p>
    <w:p w:rsidR="00DC64D9" w:rsidRDefault="00DC64D9" w:rsidP="00DC64D9">
      <w:pPr>
        <w:pStyle w:val="Heading3"/>
      </w:pPr>
    </w:p>
    <w:p w:rsidR="00472BF8" w:rsidRDefault="00472BF8"/>
    <w:p w:rsidR="00D63DE3" w:rsidRDefault="00000000">
      <w:pPr>
        <w:pStyle w:val="Heading2"/>
      </w:pPr>
      <w:r>
        <w:t>Reproducibility Note</w:t>
      </w:r>
    </w:p>
    <w:p w:rsidR="00D63DE3" w:rsidRDefault="00000000">
      <w:r>
        <w:t>Data and code are provided as data_pack.zip (attached with the submission). It contains: /data (raw and processed CSVs), /figures (PNGs and plot script), /notebooks (analysis, exportable to HTML/PDF), and README.md with 5-step instructions.</w:t>
      </w:r>
    </w:p>
    <w:p w:rsidR="00D63DE3" w:rsidRDefault="00000000">
      <w:r>
        <w:t>Licenses: text CC BY 4.0; code MIT. ORCID: &lt;fill-your-ORCID&gt;. Contact: see CONTACT.txt in the pack.</w:t>
      </w:r>
    </w:p>
    <w:sectPr w:rsidR="00D63DE3" w:rsidSect="00E074E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3309" w:rsidRDefault="00803309" w:rsidP="00DC64D9">
      <w:r>
        <w:separator/>
      </w:r>
    </w:p>
  </w:endnote>
  <w:endnote w:type="continuationSeparator" w:id="0">
    <w:p w:rsidR="00803309" w:rsidRDefault="00803309" w:rsidP="00DC6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3309" w:rsidRDefault="00803309" w:rsidP="00DC64D9">
      <w:r>
        <w:separator/>
      </w:r>
    </w:p>
  </w:footnote>
  <w:footnote w:type="continuationSeparator" w:id="0">
    <w:p w:rsidR="00803309" w:rsidRDefault="00803309" w:rsidP="00DC64D9">
      <w:r>
        <w:continuationSeparator/>
      </w:r>
    </w:p>
  </w:footnote>
  <w:footnote w:id="1">
    <w:p w:rsidR="008A274D" w:rsidRDefault="008A274D"/>
    <w:p w:rsidR="00DC64D9" w:rsidRDefault="00DC64D9" w:rsidP="00DC64D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FC4"/>
    <w:multiLevelType w:val="multilevel"/>
    <w:tmpl w:val="E3A6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B6923"/>
    <w:multiLevelType w:val="multilevel"/>
    <w:tmpl w:val="5F5C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233C5"/>
    <w:multiLevelType w:val="multilevel"/>
    <w:tmpl w:val="85A4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C2B3B"/>
    <w:multiLevelType w:val="multilevel"/>
    <w:tmpl w:val="3D1A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5737A"/>
    <w:multiLevelType w:val="multilevel"/>
    <w:tmpl w:val="D2DA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200455">
    <w:abstractNumId w:val="0"/>
  </w:num>
  <w:num w:numId="2" w16cid:durableId="400491985">
    <w:abstractNumId w:val="3"/>
  </w:num>
  <w:num w:numId="3" w16cid:durableId="1002898454">
    <w:abstractNumId w:val="2"/>
  </w:num>
  <w:num w:numId="4" w16cid:durableId="853036010">
    <w:abstractNumId w:val="4"/>
  </w:num>
  <w:num w:numId="5" w16cid:durableId="604923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D9"/>
    <w:rsid w:val="00472BF8"/>
    <w:rsid w:val="004C39A4"/>
    <w:rsid w:val="0053084C"/>
    <w:rsid w:val="00725EBF"/>
    <w:rsid w:val="00803309"/>
    <w:rsid w:val="008A274D"/>
    <w:rsid w:val="00D63DE3"/>
    <w:rsid w:val="00DC64D9"/>
    <w:rsid w:val="00E074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570CD3A"/>
  <w15:chartTrackingRefBased/>
  <w15:docId w15:val="{0D9A6280-4F36-4B44-BB58-A1B8BBDC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4D9"/>
  </w:style>
  <w:style w:type="paragraph" w:styleId="Heading1">
    <w:name w:val="heading 1"/>
    <w:basedOn w:val="Normal"/>
    <w:link w:val="Heading1Char"/>
    <w:uiPriority w:val="9"/>
    <w:qFormat/>
    <w:rsid w:val="00DC64D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4D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C64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4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4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64D9"/>
    <w:rPr>
      <w:rFonts w:asciiTheme="majorHAnsi" w:eastAsiaTheme="majorEastAsia" w:hAnsiTheme="majorHAnsi" w:cstheme="majorBidi"/>
      <w:color w:val="1F3763" w:themeColor="accent1" w:themeShade="7F"/>
    </w:rPr>
  </w:style>
  <w:style w:type="paragraph" w:customStyle="1" w:styleId="p1">
    <w:name w:val="p1"/>
    <w:basedOn w:val="Normal"/>
    <w:rsid w:val="00DC64D9"/>
    <w:pPr>
      <w:spacing w:before="100" w:beforeAutospacing="1" w:after="100" w:afterAutospacing="1"/>
    </w:pPr>
    <w:rPr>
      <w:rFonts w:ascii="Times New Roman" w:eastAsia="Times New Roman" w:hAnsi="Times New Roman" w:cs="Times New Roman"/>
    </w:rPr>
  </w:style>
  <w:style w:type="character" w:customStyle="1" w:styleId="s1">
    <w:name w:val="s1"/>
    <w:basedOn w:val="DefaultParagraphFont"/>
    <w:rsid w:val="00DC64D9"/>
  </w:style>
  <w:style w:type="paragraph" w:customStyle="1" w:styleId="p2">
    <w:name w:val="p2"/>
    <w:basedOn w:val="Normal"/>
    <w:rsid w:val="00DC64D9"/>
    <w:pPr>
      <w:spacing w:before="100" w:beforeAutospacing="1" w:after="100" w:afterAutospacing="1"/>
    </w:pPr>
    <w:rPr>
      <w:rFonts w:ascii="Times New Roman" w:eastAsia="Times New Roman" w:hAnsi="Times New Roman" w:cs="Times New Roman"/>
    </w:rPr>
  </w:style>
  <w:style w:type="paragraph" w:customStyle="1" w:styleId="p3">
    <w:name w:val="p3"/>
    <w:basedOn w:val="Normal"/>
    <w:rsid w:val="00DC64D9"/>
    <w:pPr>
      <w:spacing w:before="100" w:beforeAutospacing="1" w:after="100" w:afterAutospacing="1"/>
    </w:pPr>
    <w:rPr>
      <w:rFonts w:ascii="Times New Roman" w:eastAsia="Times New Roman" w:hAnsi="Times New Roman" w:cs="Times New Roman"/>
    </w:rPr>
  </w:style>
  <w:style w:type="character" w:customStyle="1" w:styleId="s2">
    <w:name w:val="s2"/>
    <w:basedOn w:val="DefaultParagraphFont"/>
    <w:rsid w:val="00DC64D9"/>
  </w:style>
  <w:style w:type="paragraph" w:styleId="FootnoteText">
    <w:name w:val="footnote text"/>
    <w:basedOn w:val="Normal"/>
    <w:link w:val="FootnoteTextChar"/>
    <w:uiPriority w:val="99"/>
    <w:semiHidden/>
    <w:unhideWhenUsed/>
    <w:rsid w:val="00DC64D9"/>
    <w:rPr>
      <w:sz w:val="20"/>
      <w:szCs w:val="20"/>
    </w:rPr>
  </w:style>
  <w:style w:type="character" w:customStyle="1" w:styleId="FootnoteTextChar">
    <w:name w:val="Footnote Text Char"/>
    <w:basedOn w:val="DefaultParagraphFont"/>
    <w:link w:val="FootnoteText"/>
    <w:uiPriority w:val="99"/>
    <w:semiHidden/>
    <w:rsid w:val="00DC64D9"/>
    <w:rPr>
      <w:sz w:val="20"/>
      <w:szCs w:val="20"/>
    </w:rPr>
  </w:style>
  <w:style w:type="character" w:styleId="FootnoteReference">
    <w:name w:val="footnote reference"/>
    <w:basedOn w:val="DefaultParagraphFont"/>
    <w:uiPriority w:val="99"/>
    <w:semiHidden/>
    <w:unhideWhenUsed/>
    <w:rsid w:val="00DC64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5597</Words>
  <Characters>31906</Characters>
  <Application>Microsoft Office Word</Application>
  <DocSecurity>0</DocSecurity>
  <Lines>265</Lines>
  <Paragraphs>74</Paragraphs>
  <ScaleCrop>false</ScaleCrop>
  <Company/>
  <LinksUpToDate>false</LinksUpToDate>
  <CharactersWithSpaces>37429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2025-09-13T04:42:00Z</dcterms:created>
  <dcterms:modified xsi:type="dcterms:W3CDTF">2025-09-14T03:31:00Z</dcterms:modified>
</cp:coreProperties>
</file>