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2B2B2B"/>
          <w:sz w:val="36"/>
          <w:szCs w:val="36"/>
        </w:rPr>
        <w:t xml:space="preserve">AdventureWorks 2022 — Executive Summary</w:t>
      </w:r>
    </w:p>
    <w:p>
      <w:pPr>
        <w:spacing w:after="40"/>
      </w:pPr>
      <w:r>
        <w:rPr>
          <w:rFonts w:ascii="Arial" w:cs="Arial" w:eastAsia="Arial" w:hAnsi="Arial"/>
          <w:color w:val="5C5C5C"/>
          <w:sz w:val="20"/>
          <w:szCs w:val="20"/>
        </w:rPr>
        <w:t xml:space="preserve">3-Year Sales, Profitability &amp; Customer Analysis (May 2011 – Jun 2014)</w:t>
      </w:r>
    </w:p>
    <w:p>
      <w:pPr>
        <w:spacing w:after="240"/>
      </w:pPr>
      <w:r>
        <w:rPr>
          <w:rFonts w:ascii="Arial" w:cs="Arial" w:eastAsia="Arial" w:hAnsi="Arial"/>
          <w:i/>
          <w:iCs/>
          <w:color w:val="5C5C5C"/>
          <w:sz w:val="16"/>
          <w:szCs w:val="16"/>
        </w:rPr>
        <w:t xml:space="preserve">Prepared with SQL Server · Python (pandas / scikit-learn) · Power BI</w:t>
      </w:r>
    </w:p>
    <w:p>
      <w:pPr>
        <w:pBdr>
          <w:top w:val="single" w:color="2C6FBB" w:sz="4" w:space="4"/>
          <w:bottom w:val="single" w:color="2C6FBB" w:sz="4" w:space="4"/>
        </w:pBdr>
        <w:spacing w:after="240" w:before="100"/>
      </w:pPr>
      <w:r>
        <w:rPr>
          <w:rFonts w:ascii="Arial" w:cs="Arial" w:eastAsia="Arial" w:hAnsi="Arial"/>
          <w:i/>
          <w:iCs/>
          <w:color w:val="2B2B2B"/>
          <w:sz w:val="20"/>
          <w:szCs w:val="20"/>
        </w:rPr>
        <w:t xml:space="preserve">Central question: where does $110M in revenue come from, where does it leak (discounts, losing products, churning customers), and what are the top 3 growth moves for next year?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2088"/>
        <w:gridCol w:w="2088"/>
        <w:gridCol w:w="2088"/>
      </w:tblGrid>
      <w:tr>
        <w:tc>
          <w:tcPr>
            <w:tcW w:type="dxa" w:w="2088"/>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20"/>
              <w:jc w:val="center"/>
            </w:pPr>
            <w:r>
              <w:rPr>
                <w:rFonts w:ascii="Arial" w:cs="Arial" w:eastAsia="Arial" w:hAnsi="Arial"/>
                <w:b/>
                <w:bCs/>
                <w:color w:val="2C6FBB"/>
                <w:sz w:val="30"/>
                <w:szCs w:val="30"/>
              </w:rPr>
              <w:t xml:space="preserve">$110M</w:t>
            </w:r>
          </w:p>
          <w:p>
            <w:pPr>
              <w:jc w:val="center"/>
            </w:pPr>
            <w:r>
              <w:rPr>
                <w:rFonts w:ascii="Arial" w:cs="Arial" w:eastAsia="Arial" w:hAnsi="Arial"/>
                <w:color w:val="5C5C5C"/>
                <w:sz w:val="16"/>
                <w:szCs w:val="16"/>
              </w:rPr>
              <w:t xml:space="preserve">Total Revenue</w:t>
            </w:r>
          </w:p>
        </w:tc>
        <w:tc>
          <w:tcPr>
            <w:tcW w:type="dxa" w:w="2088"/>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20"/>
              <w:jc w:val="center"/>
            </w:pPr>
            <w:r>
              <w:rPr>
                <w:rFonts w:ascii="Arial" w:cs="Arial" w:eastAsia="Arial" w:hAnsi="Arial"/>
                <w:b/>
                <w:bCs/>
                <w:color w:val="2C6FBB"/>
                <w:sz w:val="30"/>
                <w:szCs w:val="30"/>
              </w:rPr>
              <w:t xml:space="preserve">$13M</w:t>
            </w:r>
          </w:p>
          <w:p>
            <w:pPr>
              <w:jc w:val="center"/>
            </w:pPr>
            <w:r>
              <w:rPr>
                <w:rFonts w:ascii="Arial" w:cs="Arial" w:eastAsia="Arial" w:hAnsi="Arial"/>
                <w:color w:val="5C5C5C"/>
                <w:sz w:val="16"/>
                <w:szCs w:val="16"/>
              </w:rPr>
              <w:t xml:space="preserve">Total Profit</w:t>
            </w:r>
          </w:p>
        </w:tc>
        <w:tc>
          <w:tcPr>
            <w:tcW w:type="dxa" w:w="2088"/>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20"/>
              <w:jc w:val="center"/>
            </w:pPr>
            <w:r>
              <w:rPr>
                <w:rFonts w:ascii="Arial" w:cs="Arial" w:eastAsia="Arial" w:hAnsi="Arial"/>
                <w:b/>
                <w:bCs/>
                <w:color w:val="2C6FBB"/>
                <w:sz w:val="30"/>
                <w:szCs w:val="30"/>
              </w:rPr>
              <w:t xml:space="preserve">11.4%</w:t>
            </w:r>
          </w:p>
          <w:p>
            <w:pPr>
              <w:jc w:val="center"/>
            </w:pPr>
            <w:r>
              <w:rPr>
                <w:rFonts w:ascii="Arial" w:cs="Arial" w:eastAsia="Arial" w:hAnsi="Arial"/>
                <w:color w:val="5C5C5C"/>
                <w:sz w:val="16"/>
                <w:szCs w:val="16"/>
              </w:rPr>
              <w:t xml:space="preserve">Profit Margin</w:t>
            </w:r>
          </w:p>
        </w:tc>
        <w:tc>
          <w:tcPr>
            <w:tcW w:type="dxa" w:w="2088"/>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20"/>
              <w:jc w:val="center"/>
            </w:pPr>
            <w:r>
              <w:rPr>
                <w:rFonts w:ascii="Arial" w:cs="Arial" w:eastAsia="Arial" w:hAnsi="Arial"/>
                <w:b/>
                <w:bCs/>
                <w:color w:val="2C6FBB"/>
                <w:sz w:val="30"/>
                <w:szCs w:val="30"/>
              </w:rPr>
              <w:t xml:space="preserve">19,119</w:t>
            </w:r>
          </w:p>
          <w:p>
            <w:pPr>
              <w:jc w:val="center"/>
            </w:pPr>
            <w:r>
              <w:rPr>
                <w:rFonts w:ascii="Arial" w:cs="Arial" w:eastAsia="Arial" w:hAnsi="Arial"/>
                <w:color w:val="5C5C5C"/>
                <w:sz w:val="16"/>
                <w:szCs w:val="16"/>
              </w:rPr>
              <w:t xml:space="preserve">Customers</w:t>
            </w:r>
          </w:p>
        </w:tc>
        <w:tc>
          <w:tcPr>
            <w:tcW w:type="dxa" w:w="2088"/>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20"/>
              <w:jc w:val="center"/>
            </w:pPr>
            <w:r>
              <w:rPr>
                <w:rFonts w:ascii="Arial" w:cs="Arial" w:eastAsia="Arial" w:hAnsi="Arial"/>
                <w:b/>
                <w:bCs/>
                <w:color w:val="D95F5F"/>
                <w:sz w:val="30"/>
                <w:szCs w:val="30"/>
              </w:rPr>
              <w:t xml:space="preserve">471</w:t>
            </w:r>
          </w:p>
          <w:p>
            <w:pPr>
              <w:jc w:val="center"/>
            </w:pPr>
            <w:r>
              <w:rPr>
                <w:rFonts w:ascii="Arial" w:cs="Arial" w:eastAsia="Arial" w:hAnsi="Arial"/>
                <w:color w:val="5C5C5C"/>
                <w:sz w:val="16"/>
                <w:szCs w:val="16"/>
              </w:rPr>
              <w:t xml:space="preserve">At-Risk VIPs</w:t>
            </w:r>
          </w:p>
        </w:tc>
      </w:tr>
    </w:tbl>
    <w:p>
      <w:pPr>
        <w:pStyle w:val="Heading1"/>
        <w:pBdr>
          <w:bottom w:val="single" w:color="2C6FBB" w:sz="6" w:space="4"/>
        </w:pBdr>
        <w:spacing w:after="160" w:before="320"/>
      </w:pPr>
      <w:r>
        <w:rPr>
          <w:rFonts w:ascii="Arial" w:cs="Arial" w:eastAsia="Arial" w:hAnsi="Arial"/>
          <w:b/>
          <w:bCs/>
          <w:color w:val="2B2B2B"/>
          <w:sz w:val="28"/>
          <w:szCs w:val="28"/>
        </w:rPr>
        <w:t xml:space="preserve">1. Where the Money Comes From</w:t>
      </w:r>
    </w:p>
    <w:p>
      <w:pPr>
        <w:spacing w:after="120"/>
      </w:pPr>
      <w:r>
        <w:rPr>
          <w:rFonts w:ascii="Arial" w:cs="Arial" w:eastAsia="Arial" w:hAnsi="Arial"/>
          <w:color w:val="2B2B2B"/>
          <w:sz w:val="20"/>
          <w:szCs w:val="20"/>
        </w:rPr>
        <w:t xml:space="preserve">Revenue is heavily concentrated, not evenly spread across customers or channels.</w:t>
      </w:r>
    </w:p>
    <w:p>
      <w:pPr>
        <w:pStyle w:val="ListParagraph"/>
        <w:numPr>
          <w:ilvl w:val="0"/>
          <w:numId w:val="2"/>
        </w:numPr>
        <w:spacing w:after="100"/>
      </w:pPr>
      <w:r>
        <w:rPr>
          <w:rFonts w:ascii="Arial" w:cs="Arial" w:eastAsia="Arial" w:hAnsi="Arial"/>
          <w:b/>
          <w:bCs/>
          <w:color w:val="2B2B2B"/>
          <w:sz w:val="20"/>
          <w:szCs w:val="20"/>
        </w:rPr>
        <w:t xml:space="preserve">Extreme concentration — </w:t>
      </w:r>
      <w:r>
        <w:rPr>
          <w:rFonts w:ascii="Arial" w:cs="Arial" w:eastAsia="Arial" w:hAnsi="Arial"/>
          <w:color w:val="2B2B2B"/>
          <w:sz w:val="20"/>
          <w:szCs w:val="20"/>
        </w:rPr>
        <w:t xml:space="preserve">the top 10% of customers generate 81.6% of all revenue. This is closer to an 80/10 split than the usual 80/20 rule.</w:t>
      </w:r>
    </w:p>
    <w:p>
      <w:pPr>
        <w:pStyle w:val="ListParagraph"/>
        <w:numPr>
          <w:ilvl w:val="0"/>
          <w:numId w:val="2"/>
        </w:numPr>
        <w:spacing w:after="100"/>
      </w:pPr>
      <w:r>
        <w:rPr>
          <w:rFonts w:ascii="Arial" w:cs="Arial" w:eastAsia="Arial" w:hAnsi="Arial"/>
          <w:b/>
          <w:bCs/>
          <w:color w:val="2B2B2B"/>
          <w:sz w:val="20"/>
          <w:szCs w:val="20"/>
        </w:rPr>
        <w:t xml:space="preserve">Channel imbalance — </w:t>
      </w:r>
      <w:r>
        <w:rPr>
          <w:rFonts w:ascii="Arial" w:cs="Arial" w:eastAsia="Arial" w:hAnsi="Arial"/>
          <w:color w:val="2B2B2B"/>
          <w:sz w:val="20"/>
          <w:szCs w:val="20"/>
        </w:rPr>
        <w:t xml:space="preserve">online orders are 88% of order volume but only 27% of revenue. The Store channel (12% of orders, mostly B2B resellers) delivers 73% of revenue at a healthy ~$20K average order value, versus ~$750–3,200 online.</w:t>
      </w:r>
    </w:p>
    <w:p>
      <w:pPr>
        <w:pStyle w:val="ListParagraph"/>
        <w:numPr>
          <w:ilvl w:val="0"/>
          <w:numId w:val="2"/>
        </w:numPr>
        <w:spacing w:after="100"/>
      </w:pPr>
      <w:r>
        <w:rPr>
          <w:rFonts w:ascii="Arial" w:cs="Arial" w:eastAsia="Arial" w:hAnsi="Arial"/>
          <w:b/>
          <w:bCs/>
          <w:color w:val="2B2B2B"/>
          <w:sz w:val="20"/>
          <w:szCs w:val="20"/>
        </w:rPr>
        <w:t xml:space="preserve">635 store accounts </w:t>
      </w:r>
      <w:r>
        <w:rPr>
          <w:rFonts w:ascii="Arial" w:cs="Arial" w:eastAsia="Arial" w:hAnsi="Arial"/>
          <w:color w:val="2B2B2B"/>
          <w:sz w:val="20"/>
          <w:szCs w:val="20"/>
        </w:rPr>
        <w:t xml:space="preserve">alone account for roughly 65% of total company revenue — the single most important customer relationship type to protect.</w:t>
      </w:r>
    </w:p>
    <w:p>
      <w:pPr>
        <w:pStyle w:val="ListParagraph"/>
        <w:numPr>
          <w:ilvl w:val="0"/>
          <w:numId w:val="2"/>
        </w:numPr>
        <w:spacing w:after="100"/>
      </w:pPr>
      <w:r>
        <w:rPr>
          <w:rFonts w:ascii="Arial" w:cs="Arial" w:eastAsia="Arial" w:hAnsi="Arial"/>
          <w:b/>
          <w:bCs/>
          <w:color w:val="2B2B2B"/>
          <w:sz w:val="20"/>
          <w:szCs w:val="20"/>
        </w:rPr>
        <w:t xml:space="preserve">Europe is outgrowing the US — </w:t>
      </w:r>
      <w:r>
        <w:rPr>
          <w:rFonts w:ascii="Arial" w:cs="Arial" w:eastAsia="Arial" w:hAnsi="Arial"/>
          <w:color w:val="2B2B2B"/>
          <w:sz w:val="20"/>
          <w:szCs w:val="20"/>
        </w:rPr>
        <w:t xml:space="preserve">2012→2013 revenue growth was Germany +366%, France +145%, UK +130%, while the US Northeast and Southeast territories shrank -9% and -19% respectively.</w:t>
      </w:r>
    </w:p>
    <w:p>
      <w:pPr>
        <w:pStyle w:val="Heading1"/>
        <w:pBdr>
          <w:bottom w:val="single" w:color="2C6FBB" w:sz="6" w:space="4"/>
        </w:pBdr>
        <w:spacing w:after="160" w:before="320"/>
      </w:pPr>
      <w:r>
        <w:rPr>
          <w:rFonts w:ascii="Arial" w:cs="Arial" w:eastAsia="Arial" w:hAnsi="Arial"/>
          <w:b/>
          <w:bCs/>
          <w:color w:val="2B2B2B"/>
          <w:sz w:val="28"/>
          <w:szCs w:val="28"/>
        </w:rPr>
        <w:t xml:space="preserve">2. Where the Money Leaks</w:t>
      </w:r>
    </w:p>
    <w:p>
      <w:pPr>
        <w:pStyle w:val="Heading2"/>
        <w:spacing w:after="100" w:before="200"/>
      </w:pPr>
      <w:r>
        <w:rPr>
          <w:rFonts w:ascii="Arial" w:cs="Arial" w:eastAsia="Arial" w:hAnsi="Arial"/>
          <w:b/>
          <w:bCs/>
          <w:color w:val="2B2B2B"/>
          <w:sz w:val="22"/>
          <w:szCs w:val="22"/>
        </w:rPr>
        <w:t xml:space="preserve">2.1 A growth number that overstates itself</w:t>
      </w:r>
    </w:p>
    <w:p>
      <w:pPr>
        <w:spacing w:after="120"/>
      </w:pPr>
      <w:r>
        <w:rPr>
          <w:rFonts w:ascii="Arial" w:cs="Arial" w:eastAsia="Arial" w:hAnsi="Arial"/>
          <w:color w:val="2B2B2B"/>
          <w:sz w:val="20"/>
          <w:szCs w:val="20"/>
        </w:rPr>
        <w:t xml:space="preserve">Order count roughly quadrupled after July 2013, which looks like explosive growth on a headline chart. But average order value collapsed in the same window — from $3,217 to $752 for online orders — because the new volume is small accessory purchases, not bigger sales. New customers acquired after mid-2013 are worth roughly 74% less than customers acquired before it ($485 vs $1,860 average first-year spend).</w:t>
      </w:r>
    </w:p>
    <w:p>
      <w:pPr>
        <w:pStyle w:val="Heading2"/>
        <w:spacing w:after="100" w:before="200"/>
      </w:pPr>
      <w:r>
        <w:rPr>
          <w:rFonts w:ascii="Arial" w:cs="Arial" w:eastAsia="Arial" w:hAnsi="Arial"/>
          <w:b/>
          <w:bCs/>
          <w:color w:val="2B2B2B"/>
          <w:sz w:val="22"/>
          <w:szCs w:val="22"/>
        </w:rPr>
        <w:t xml:space="preserve">2.2 The Touring product line</w:t>
      </w:r>
    </w:p>
    <w:p>
      <w:pPr>
        <w:spacing w:after="120"/>
      </w:pPr>
      <w:r>
        <w:rPr>
          <w:rFonts w:ascii="Arial" w:cs="Arial" w:eastAsia="Arial" w:hAnsi="Arial"/>
          <w:color w:val="2B2B2B"/>
          <w:sz w:val="20"/>
          <w:szCs w:val="20"/>
        </w:rPr>
        <w:t xml:space="preserve">Every signal on this line points the same direction: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E6E6E6" w:sz="2"/>
              <w:left w:val="single" w:color="E6E6E6" w:sz="2"/>
              <w:bottom w:val="single" w:color="E6E6E6" w:sz="2"/>
              <w:right w:val="single" w:color="E6E6E6" w:sz="2"/>
            </w:tcBorders>
            <w:shd w:fill="2C6FBB"/>
            <w:tcMar>
              <w:top w:type="dxa" w:w="80"/>
              <w:left w:type="dxa" w:w="100"/>
              <w:bottom w:type="dxa" w:w="80"/>
              <w:right w:type="dxa" w:w="100"/>
            </w:tcMar>
          </w:tcPr>
          <w:p>
            <w:r>
              <w:rPr>
                <w:rFonts w:ascii="Arial" w:cs="Arial" w:eastAsia="Arial" w:hAnsi="Arial"/>
                <w:b/>
                <w:bCs/>
                <w:color w:val="FFFFFF"/>
                <w:sz w:val="18"/>
                <w:szCs w:val="18"/>
              </w:rPr>
              <w:t xml:space="preserve">Signal</w:t>
            </w:r>
          </w:p>
        </w:tc>
        <w:tc>
          <w:tcPr>
            <w:tcW w:type="dxa" w:w="3480"/>
            <w:tcBorders>
              <w:top w:val="single" w:color="E6E6E6" w:sz="2"/>
              <w:left w:val="single" w:color="E6E6E6" w:sz="2"/>
              <w:bottom w:val="single" w:color="E6E6E6" w:sz="2"/>
              <w:right w:val="single" w:color="E6E6E6" w:sz="2"/>
            </w:tcBorders>
            <w:shd w:fill="2C6FBB"/>
            <w:tcMar>
              <w:top w:type="dxa" w:w="80"/>
              <w:left w:type="dxa" w:w="100"/>
              <w:bottom w:type="dxa" w:w="80"/>
              <w:right w:type="dxa" w:w="100"/>
            </w:tcMar>
          </w:tcPr>
          <w:p>
            <w:r>
              <w:rPr>
                <w:rFonts w:ascii="Arial" w:cs="Arial" w:eastAsia="Arial" w:hAnsi="Arial"/>
                <w:b/>
                <w:bCs/>
                <w:color w:val="FFFFFF"/>
                <w:sz w:val="18"/>
                <w:szCs w:val="18"/>
              </w:rPr>
              <w:t xml:space="preserve">Touring line</w:t>
            </w:r>
          </w:p>
        </w:tc>
        <w:tc>
          <w:tcPr>
            <w:tcW w:type="dxa" w:w="3480"/>
            <w:tcBorders>
              <w:top w:val="single" w:color="E6E6E6" w:sz="2"/>
              <w:left w:val="single" w:color="E6E6E6" w:sz="2"/>
              <w:bottom w:val="single" w:color="E6E6E6" w:sz="2"/>
              <w:right w:val="single" w:color="E6E6E6" w:sz="2"/>
            </w:tcBorders>
            <w:shd w:fill="2C6FBB"/>
            <w:tcMar>
              <w:top w:type="dxa" w:w="80"/>
              <w:left w:type="dxa" w:w="100"/>
              <w:bottom w:type="dxa" w:w="80"/>
              <w:right w:type="dxa" w:w="100"/>
            </w:tcMar>
          </w:tcPr>
          <w:p>
            <w:r>
              <w:rPr>
                <w:rFonts w:ascii="Arial" w:cs="Arial" w:eastAsia="Arial" w:hAnsi="Arial"/>
                <w:b/>
                <w:bCs/>
                <w:color w:val="FFFFFF"/>
                <w:sz w:val="18"/>
                <w:szCs w:val="18"/>
              </w:rPr>
              <w:t xml:space="preserve">Company average</w:t>
            </w:r>
          </w:p>
        </w:tc>
      </w:tr>
      <w:tr>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Gross margin</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bCs/>
                <w:color w:val="D95F5F"/>
                <w:sz w:val="18"/>
                <w:szCs w:val="18"/>
              </w:rPr>
              <w:t xml:space="preserve">1.5%</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11.4%</w:t>
            </w:r>
          </w:p>
        </w:tc>
      </w:tr>
      <w:tr>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Promotion margin</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bCs/>
                <w:color w:val="D95F5F"/>
                <w:sz w:val="18"/>
                <w:szCs w:val="18"/>
              </w:rPr>
              <w:t xml:space="preserve">-59% to -88%</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+16.2% (best tier)</w:t>
            </w:r>
          </w:p>
        </w:tc>
      </w:tr>
      <w:tr>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Dead inventory</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bCs/>
                <w:color w:val="D95F5F"/>
                <w:sz w:val="18"/>
                <w:szCs w:val="18"/>
              </w:rPr>
              <w:t xml:space="preserve">~$350K locked</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w:t>
            </w:r>
          </w:p>
        </w:tc>
      </w:tr>
      <w:tr>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Production scrap</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bCs/>
                <w:color w:val="D95F5F"/>
                <w:sz w:val="18"/>
                <w:szCs w:val="18"/>
              </w:rPr>
              <w:t xml:space="preserve">Highest of any line</w:t>
            </w:r>
          </w:p>
        </w:tc>
        <w:tc>
          <w:tcPr>
            <w:tcW w:type="dxa" w:w="348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w:t>
            </w:r>
          </w:p>
        </w:tc>
      </w:tr>
    </w:tbl>
    <w:p>
      <w:pPr>
        <w:spacing w:after="100" w:before="140"/>
      </w:pPr>
      <w:r>
        <w:rPr>
          <w:rFonts w:ascii="Arial" w:cs="Arial" w:eastAsia="Arial" w:hAnsi="Arial"/>
          <w:i/>
          <w:iCs/>
          <w:color w:val="2B2B2B"/>
          <w:sz w:val="20"/>
          <w:szCs w:val="20"/>
        </w:rPr>
        <w:t xml:space="preserve">Touring loses money on the shelf, loses more money when promoted, and costs the most to manufacture correctly. This is not a pricing tweak — it is a line-level decision.</w:t>
      </w:r>
    </w:p>
    <w:p>
      <w:pPr>
        <w:pStyle w:val="Heading2"/>
        <w:spacing w:after="100" w:before="200"/>
      </w:pPr>
      <w:r>
        <w:rPr>
          <w:rFonts w:ascii="Arial" w:cs="Arial" w:eastAsia="Arial" w:hAnsi="Arial"/>
          <w:b/>
          <w:bCs/>
          <w:color w:val="2B2B2B"/>
          <w:sz w:val="22"/>
          <w:szCs w:val="22"/>
        </w:rPr>
        <w:t xml:space="preserve">2.3 Discounting mostly destroys margin</w:t>
      </w:r>
    </w:p>
    <w:p>
      <w:pPr>
        <w:spacing w:after="120"/>
      </w:pPr>
      <w:r>
        <w:rPr>
          <w:rFonts w:ascii="Arial" w:cs="Arial" w:eastAsia="Arial" w:hAnsi="Arial"/>
          <w:color w:val="2B2B2B"/>
          <w:sz w:val="20"/>
          <w:szCs w:val="20"/>
        </w:rPr>
        <w:t xml:space="preserve">Across every discount and promotion type tested, only one — the small-volume tier (11–14 units, typically wholesale reorders) — improved margin, from 13.2% baseline to 16.2%. Every other promotional or clearance offer lost money, in some cases severely (Mountain-500 clearance: -354.6% margin; Touring-1000 promotion: -87.6%).</w:t>
      </w:r>
    </w:p>
    <w:p>
      <w:pPr>
        <w:pStyle w:val="Heading2"/>
        <w:spacing w:after="100" w:before="200"/>
      </w:pPr>
      <w:r>
        <w:rPr>
          <w:rFonts w:ascii="Arial" w:cs="Arial" w:eastAsia="Arial" w:hAnsi="Arial"/>
          <w:b/>
          <w:bCs/>
          <w:color w:val="2B2B2B"/>
          <w:sz w:val="22"/>
          <w:szCs w:val="22"/>
        </w:rPr>
        <w:t xml:space="preserve">2.4 Customers who used to matter and went quiet</w:t>
      </w:r>
    </w:p>
    <w:p>
      <w:pPr>
        <w:spacing w:after="120"/>
      </w:pPr>
      <w:r>
        <w:rPr>
          <w:rFonts w:ascii="Arial" w:cs="Arial" w:eastAsia="Arial" w:hAnsi="Arial"/>
          <w:color w:val="2B2B2B"/>
          <w:sz w:val="20"/>
          <w:szCs w:val="20"/>
        </w:rPr>
        <w:t xml:space="preserve">RFM segmentation (Recency / Frequency / Monetary, KMeans clustering, k=4) split the customer base into four groups: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3640"/>
      </w:tblGrid>
      <w:tr>
        <w:tc>
          <w:tcPr>
            <w:tcW w:type="dxa" w:w="2400"/>
            <w:tcBorders>
              <w:top w:val="single" w:color="E6E6E6" w:sz="2"/>
              <w:left w:val="single" w:color="E6E6E6" w:sz="2"/>
              <w:bottom w:val="single" w:color="E6E6E6" w:sz="2"/>
              <w:right w:val="single" w:color="E6E6E6" w:sz="2"/>
            </w:tcBorders>
            <w:shd w:fill="2C6FBB"/>
            <w:tcMar>
              <w:top w:type="dxa" w:w="80"/>
              <w:left w:type="dxa" w:w="100"/>
              <w:bottom w:type="dxa" w:w="80"/>
              <w:right w:type="dxa" w:w="100"/>
            </w:tcMar>
          </w:tcPr>
          <w:p>
            <w:r>
              <w:rPr>
                <w:rFonts w:ascii="Arial" w:cs="Arial" w:eastAsia="Arial" w:hAnsi="Arial"/>
                <w:b/>
                <w:bCs/>
                <w:color w:val="FFFFFF"/>
                <w:sz w:val="18"/>
                <w:szCs w:val="18"/>
              </w:rPr>
              <w:t xml:space="preserve">Segment</w:t>
            </w:r>
          </w:p>
        </w:tc>
        <w:tc>
          <w:tcPr>
            <w:tcW w:type="dxa" w:w="2000"/>
            <w:tcBorders>
              <w:top w:val="single" w:color="E6E6E6" w:sz="2"/>
              <w:left w:val="single" w:color="E6E6E6" w:sz="2"/>
              <w:bottom w:val="single" w:color="E6E6E6" w:sz="2"/>
              <w:right w:val="single" w:color="E6E6E6" w:sz="2"/>
            </w:tcBorders>
            <w:shd w:fill="2C6FBB"/>
            <w:tcMar>
              <w:top w:type="dxa" w:w="80"/>
              <w:left w:type="dxa" w:w="100"/>
              <w:bottom w:type="dxa" w:w="80"/>
              <w:right w:type="dxa" w:w="100"/>
            </w:tcMar>
          </w:tcPr>
          <w:p>
            <w:r>
              <w:rPr>
                <w:rFonts w:ascii="Arial" w:cs="Arial" w:eastAsia="Arial" w:hAnsi="Arial"/>
                <w:b/>
                <w:bCs/>
                <w:color w:val="FFFFFF"/>
                <w:sz w:val="18"/>
                <w:szCs w:val="18"/>
              </w:rPr>
              <w:t xml:space="preserve">Customers</w:t>
            </w:r>
          </w:p>
        </w:tc>
        <w:tc>
          <w:tcPr>
            <w:tcW w:type="dxa" w:w="2400"/>
            <w:tcBorders>
              <w:top w:val="single" w:color="E6E6E6" w:sz="2"/>
              <w:left w:val="single" w:color="E6E6E6" w:sz="2"/>
              <w:bottom w:val="single" w:color="E6E6E6" w:sz="2"/>
              <w:right w:val="single" w:color="E6E6E6" w:sz="2"/>
            </w:tcBorders>
            <w:shd w:fill="2C6FBB"/>
            <w:tcMar>
              <w:top w:type="dxa" w:w="80"/>
              <w:left w:type="dxa" w:w="100"/>
              <w:bottom w:type="dxa" w:w="80"/>
              <w:right w:type="dxa" w:w="100"/>
            </w:tcMar>
          </w:tcPr>
          <w:p>
            <w:r>
              <w:rPr>
                <w:rFonts w:ascii="Arial" w:cs="Arial" w:eastAsia="Arial" w:hAnsi="Arial"/>
                <w:b/>
                <w:bCs/>
                <w:color w:val="FFFFFF"/>
                <w:sz w:val="18"/>
                <w:szCs w:val="18"/>
              </w:rPr>
              <w:t xml:space="preserve">Revenue Share</w:t>
            </w:r>
          </w:p>
        </w:tc>
        <w:tc>
          <w:tcPr>
            <w:tcW w:type="dxa" w:w="3640"/>
            <w:tcBorders>
              <w:top w:val="single" w:color="E6E6E6" w:sz="2"/>
              <w:left w:val="single" w:color="E6E6E6" w:sz="2"/>
              <w:bottom w:val="single" w:color="E6E6E6" w:sz="2"/>
              <w:right w:val="single" w:color="E6E6E6" w:sz="2"/>
            </w:tcBorders>
            <w:shd w:fill="2C6FBB"/>
            <w:tcMar>
              <w:top w:type="dxa" w:w="80"/>
              <w:left w:type="dxa" w:w="100"/>
              <w:bottom w:type="dxa" w:w="80"/>
              <w:right w:type="dxa" w:w="100"/>
            </w:tcMar>
          </w:tcPr>
          <w:p>
            <w:r>
              <w:rPr>
                <w:rFonts w:ascii="Arial" w:cs="Arial" w:eastAsia="Arial" w:hAnsi="Arial"/>
                <w:b/>
                <w:bCs/>
                <w:color w:val="FFFFFF"/>
                <w:sz w:val="18"/>
                <w:szCs w:val="18"/>
              </w:rPr>
              <w:t xml:space="preserve">Profile</w:t>
            </w:r>
          </w:p>
        </w:tc>
      </w:tr>
      <w:tr>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VIP</w:t>
            </w:r>
          </w:p>
        </w:tc>
        <w:tc>
          <w:tcPr>
            <w:tcW w:type="dxa" w:w="20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6,032 (31.5%)</w:t>
            </w:r>
          </w:p>
        </w:tc>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bCs/>
                <w:color w:val="4CAF7D"/>
                <w:sz w:val="18"/>
                <w:szCs w:val="18"/>
              </w:rPr>
              <w:t xml:space="preserve">89.4%</w:t>
            </w:r>
          </w:p>
        </w:tc>
        <w:tc>
          <w:tcPr>
            <w:tcW w:type="dxa" w:w="364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Recent, frequent, high spend — the core of the business</w:t>
            </w:r>
          </w:p>
        </w:tc>
      </w:tr>
      <w:tr>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At Risk</w:t>
            </w:r>
          </w:p>
        </w:tc>
        <w:tc>
          <w:tcPr>
            <w:tcW w:type="dxa" w:w="20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471 (2.5%)</w:t>
            </w:r>
          </w:p>
        </w:tc>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bCs/>
                <w:color w:val="D95F5F"/>
                <w:sz w:val="18"/>
                <w:szCs w:val="18"/>
              </w:rPr>
              <w:t xml:space="preserve">5.4%</w:t>
            </w:r>
          </w:p>
        </w:tc>
        <w:tc>
          <w:tcPr>
            <w:tcW w:type="dxa" w:w="364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Used to spend $12.6K each on average, now inactive ~849 days</w:t>
            </w:r>
          </w:p>
        </w:tc>
      </w:tr>
      <w:tr>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Hibernating</w:t>
            </w:r>
          </w:p>
        </w:tc>
        <w:tc>
          <w:tcPr>
            <w:tcW w:type="dxa" w:w="20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3,750 (19.6%)</w:t>
            </w:r>
          </w:p>
        </w:tc>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4.7%</w:t>
            </w:r>
          </w:p>
        </w:tc>
        <w:tc>
          <w:tcPr>
            <w:tcW w:type="dxa" w:w="364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Low value, long inactive — low-cost touch only</w:t>
            </w:r>
          </w:p>
        </w:tc>
      </w:tr>
      <w:tr>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New / Promising</w:t>
            </w:r>
          </w:p>
        </w:tc>
        <w:tc>
          <w:tcPr>
            <w:tcW w:type="dxa" w:w="20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8,866 (46.4%)</w:t>
            </w:r>
          </w:p>
        </w:tc>
        <w:tc>
          <w:tcPr>
            <w:tcW w:type="dxa" w:w="240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0.5%</w:t>
            </w:r>
          </w:p>
        </w:tc>
        <w:tc>
          <w:tcPr>
            <w:tcW w:type="dxa" w:w="3640"/>
            <w:tcBorders>
              <w:top w:val="single" w:color="E6E6E6" w:sz="2"/>
              <w:left w:val="single" w:color="E6E6E6" w:sz="2"/>
              <w:bottom w:val="single" w:color="E6E6E6" w:sz="2"/>
              <w:right w:val="single" w:color="E6E6E6" w:sz="2"/>
            </w:tcBorders>
            <w:tcMar>
              <w:top w:type="dxa" w:w="70"/>
              <w:left w:type="dxa" w:w="100"/>
              <w:bottom w:type="dxa" w:w="70"/>
              <w:right w:type="dxa" w:w="100"/>
            </w:tcMar>
          </w:tcPr>
          <w:p>
            <w:r>
              <w:rPr>
                <w:rFonts w:ascii="Arial" w:cs="Arial" w:eastAsia="Arial" w:hAnsi="Arial"/>
                <w:b w:val="false"/>
                <w:bCs w:val="false"/>
                <w:color w:val="2B2B2B"/>
                <w:sz w:val="18"/>
                <w:szCs w:val="18"/>
              </w:rPr>
              <w:t xml:space="preserve">Post-2013 online accessory buyers, avg spend $57</w:t>
            </w:r>
          </w:p>
        </w:tc>
      </w:tr>
    </w:tbl>
    <w:p>
      <w:pPr>
        <w:spacing w:after="100" w:before="140"/>
      </w:pPr>
      <w:r>
        <w:rPr>
          <w:rFonts w:ascii="Arial" w:cs="Arial" w:eastAsia="Arial" w:hAnsi="Arial"/>
          <w:color w:val="2B2B2B"/>
          <w:sz w:val="20"/>
          <w:szCs w:val="20"/>
        </w:rPr>
        <w:t xml:space="preserve">The median time between a customer's first and second order is 345 days — meaning most "at risk" customers are not gone yet, they are simply due. A re-activation campaign timed to month 10–12 after last purchase directly matches this window.</w:t>
      </w:r>
    </w:p>
    <w:p>
      <w:r>
        <w:br w:type="page"/>
      </w:r>
    </w:p>
    <w:p>
      <w:pPr>
        <w:pStyle w:val="Heading1"/>
        <w:pBdr>
          <w:bottom w:val="single" w:color="2C6FBB" w:sz="6" w:space="4"/>
        </w:pBdr>
        <w:spacing w:after="160" w:before="320"/>
      </w:pPr>
      <w:r>
        <w:rPr>
          <w:rFonts w:ascii="Arial" w:cs="Arial" w:eastAsia="Arial" w:hAnsi="Arial"/>
          <w:b/>
          <w:bCs/>
          <w:color w:val="2B2B2B"/>
          <w:sz w:val="28"/>
          <w:szCs w:val="28"/>
        </w:rPr>
        <w:t xml:space="preserve">3. Top 3 Recommendations</w:t>
      </w:r>
    </w:p>
    <w:p>
      <w:pPr>
        <w:pStyle w:val="ListParagraph"/>
        <w:numPr>
          <w:ilvl w:val="0"/>
          <w:numId w:val="3"/>
        </w:numPr>
        <w:spacing w:after="140"/>
      </w:pPr>
      <w:r>
        <w:rPr>
          <w:rFonts w:ascii="Arial" w:cs="Arial" w:eastAsia="Arial" w:hAnsi="Arial"/>
          <w:b/>
          <w:bCs/>
          <w:color w:val="2C6FBB"/>
          <w:sz w:val="20"/>
          <w:szCs w:val="20"/>
        </w:rPr>
        <w:t xml:space="preserve">1. Fix or exit the Touring line. </w:t>
      </w:r>
      <w:r>
        <w:rPr>
          <w:rFonts w:ascii="Arial" w:cs="Arial" w:eastAsia="Arial" w:hAnsi="Arial"/>
          <w:color w:val="2B2B2B"/>
          <w:sz w:val="20"/>
          <w:szCs w:val="20"/>
        </w:rPr>
        <w:t xml:space="preserve">Re-price Touring-1000/3000 to a sustainable margin or discontinue them; stop running Touring promotions immediately (every one tested has lost money); liquidate the ~$350K of dead Touring inventory rather than let it keep tying up capital.</w:t>
      </w:r>
    </w:p>
    <w:p>
      <w:pPr>
        <w:pStyle w:val="ListParagraph"/>
        <w:numPr>
          <w:ilvl w:val="0"/>
          <w:numId w:val="3"/>
        </w:numPr>
        <w:spacing w:after="140"/>
      </w:pPr>
      <w:r>
        <w:rPr>
          <w:rFonts w:ascii="Arial" w:cs="Arial" w:eastAsia="Arial" w:hAnsi="Arial"/>
          <w:b/>
          <w:bCs/>
          <w:color w:val="2C6FBB"/>
          <w:sz w:val="20"/>
          <w:szCs w:val="20"/>
        </w:rPr>
        <w:t xml:space="preserve">2. Launch a targeted re-activation campaign for the 471 At-Risk VIPs. </w:t>
      </w:r>
      <w:r>
        <w:rPr>
          <w:rFonts w:ascii="Arial" w:cs="Arial" w:eastAsia="Arial" w:hAnsi="Arial"/>
          <w:color w:val="2B2B2B"/>
          <w:sz w:val="20"/>
          <w:szCs w:val="20"/>
        </w:rPr>
        <w:t xml:space="preserve">These customers already proved they will spend $12.6K+ with the company. Time outreach to the 345-day median repurchase window and lead with high-margin accessories (Tires &amp; Tubes at 62.5% margin, Bottles &amp; Cages at 59.5%) rather than another bike purchase — this is the single highest-ROI action available, cheaper than acquiring 471 new customers of equal value.</w:t>
      </w:r>
    </w:p>
    <w:p>
      <w:pPr>
        <w:pStyle w:val="ListParagraph"/>
        <w:numPr>
          <w:ilvl w:val="0"/>
          <w:numId w:val="3"/>
        </w:numPr>
        <w:spacing w:after="140"/>
      </w:pPr>
      <w:r>
        <w:rPr>
          <w:rFonts w:ascii="Arial" w:cs="Arial" w:eastAsia="Arial" w:hAnsi="Arial"/>
          <w:b/>
          <w:bCs/>
          <w:color w:val="2C6FBB"/>
          <w:sz w:val="20"/>
          <w:szCs w:val="20"/>
        </w:rPr>
        <w:t xml:space="preserve">3. Shift sales investment and quota-setting toward Europe. </w:t>
      </w:r>
      <w:r>
        <w:rPr>
          <w:rFonts w:ascii="Arial" w:cs="Arial" w:eastAsia="Arial" w:hAnsi="Arial"/>
          <w:color w:val="2B2B2B"/>
          <w:sz w:val="20"/>
          <w:szCs w:val="20"/>
        </w:rPr>
        <w:t xml:space="preserve">Germany, France, and the UK are growing 130–366% year over year while two US territories are shrinking. Current sales quotas do not reflect this: the #2 rep by absolute revenue (UK) has the worst quota attainment in the company because his target didn't scale with his territory's real growth. Rebalance quotas and consider added headcount or marketing spend in Europe before the US market.</w:t>
      </w:r>
    </w:p>
    <w:p>
      <w:pPr>
        <w:pStyle w:val="Heading2"/>
        <w:spacing w:after="100" w:before="200"/>
      </w:pPr>
      <w:r>
        <w:rPr>
          <w:rFonts w:ascii="Arial" w:cs="Arial" w:eastAsia="Arial" w:hAnsi="Arial"/>
          <w:b/>
          <w:bCs/>
          <w:color w:val="2B2B2B"/>
          <w:sz w:val="22"/>
          <w:szCs w:val="22"/>
        </w:rPr>
        <w:t xml:space="preserve">Supporting analysis (not included in this summary)</w:t>
      </w:r>
    </w:p>
    <w:p>
      <w:pPr>
        <w:spacing w:after="120"/>
      </w:pPr>
      <w:r>
        <w:rPr>
          <w:rFonts w:ascii="Arial" w:cs="Arial" w:eastAsia="Arial" w:hAnsi="Arial"/>
          <w:color w:val="5C5C5C"/>
          <w:sz w:val="18"/>
          <w:szCs w:val="18"/>
        </w:rPr>
        <w:t xml:space="preserve">6 SQL scripts covering schema exploration, data profiling, sales trend, product profitability, customer behavior, and territory/team operations · 2 Python notebooks covering RFM customer segmentation, cohort retention analysis, and market basket analysis · a 4-page interactive Power BI dashboard (Executive Overview, Product Profitability, Customer Segments, Territory &amp; Team). See the project README for the full breakdown.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2026-07-17T21:24:58.836Z</dcterms:created>
  <dcterms:modified xsi:type="dcterms:W3CDTF">2026-07-17T21:24:58.837Z</dcterms:modified>
</cp:coreProperties>
</file>

<file path=docProps/custom.xml><?xml version="1.0" encoding="utf-8"?>
<Properties xmlns="http://schemas.openxmlformats.org/officeDocument/2006/custom-properties" xmlns:vt="http://schemas.openxmlformats.org/officeDocument/2006/docPropsVTypes"/>
</file>