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E3A5F"/>
          <w:sz w:val="52"/>
          <w:szCs w:val="52"/>
        </w:rPr>
        <w:t xml:space="preserve">DC Feasibility Tool v4</w:t>
      </w:r>
    </w:p>
    <w:p>
      <w:pPr>
        <w:spacing w:before="200"/>
        <w:jc w:val="center"/>
      </w:pPr>
      <w:r>
        <w:rPr>
          <w:rFonts w:ascii="Arial" w:cs="Arial" w:eastAsia="Arial" w:hAnsi="Arial"/>
          <w:color w:val="2E75B6"/>
          <w:sz w:val="32"/>
          <w:szCs w:val="32"/>
        </w:rPr>
        <w:t xml:space="preserve">Results Dashboard — Feature Reference</w:t>
      </w:r>
    </w:p>
    <w:p>
      <w:pPr>
        <w:spacing w:before="600"/>
        <w:jc w:val="center"/>
      </w:pPr>
      <w:r>
        <w:rPr>
          <w:rFonts w:ascii="Arial" w:cs="Arial" w:eastAsia="Arial" w:hAnsi="Arial"/>
          <w:color w:val="888888"/>
          <w:sz w:val="22"/>
          <w:szCs w:val="22"/>
        </w:rPr>
        <w:t xml:space="preserve">Version 4.1.4  |  March 2026</w:t>
      </w:r>
    </w:p>
    <w:p>
      <w:pPr>
        <w:spacing w:before="200"/>
        <w:jc w:val="center"/>
      </w:pPr>
      <w:r>
        <w:rPr>
          <w:rFonts w:ascii="Arial" w:cs="Arial" w:eastAsia="Arial" w:hAnsi="Arial"/>
          <w:color w:val="666666"/>
          <w:sz w:val="22"/>
          <w:szCs w:val="22"/>
        </w:rPr>
        <w:t xml:space="preserve">A comprehensive guide to every feature, metric, and analysis tool
available in the Results Dashboard.</w:t>
      </w:r>
    </w:p>
    <w:p>
      <w:r>
        <w:br w:type="page"/>
      </w:r>
    </w:p>
    <w:p>
      <w:pPr>
        <w:pStyle w:val="Heading1"/>
      </w:pPr>
      <w:r>
        <w:t xml:space="preserve">Table of Contents</w:t>
      </w:r>
    </w:p>
    <w:p>
      <w:r>
        <w:rPr>
          <w:rFonts w:ascii="Arial" w:cs="Arial" w:eastAsia="Arial" w:hAnsi="Arial"/>
          <w:sz w:val="22"/>
          <w:szCs w:val="22"/>
        </w:rPr>
        <w:t xml:space="preserve">1. Overview</w:t>
      </w:r>
    </w:p>
    <w:p>
      <w:r>
        <w:rPr>
          <w:rFonts w:ascii="Arial" w:cs="Arial" w:eastAsia="Arial" w:hAnsi="Arial"/>
          <w:sz w:val="22"/>
          <w:szCs w:val="22"/>
        </w:rPr>
        <w:t xml:space="preserve">2. Results Table</w:t>
      </w:r>
    </w:p>
    <w:p>
      <w:r>
        <w:rPr>
          <w:rFonts w:ascii="Arial" w:cs="Arial" w:eastAsia="Arial" w:hAnsi="Arial"/>
          <w:sz w:val="22"/>
          <w:szCs w:val="22"/>
        </w:rPr>
        <w:t xml:space="preserve">3. Tab 1: Overview</w:t>
      </w:r>
    </w:p>
    <w:p>
      <w:r>
        <w:rPr>
          <w:rFonts w:ascii="Arial" w:cs="Arial" w:eastAsia="Arial" w:hAnsi="Arial"/>
          <w:sz w:val="22"/>
          <w:szCs w:val="22"/>
        </w:rPr>
        <w:t xml:space="preserve">4. Tab 2: Capacity &amp; PUE</w:t>
      </w:r>
    </w:p>
    <w:p>
      <w:r>
        <w:rPr>
          <w:rFonts w:ascii="Arial" w:cs="Arial" w:eastAsia="Arial" w:hAnsi="Arial"/>
          <w:sz w:val="22"/>
          <w:szCs w:val="22"/>
        </w:rPr>
        <w:t xml:space="preserve">5. Tab 3: Infrastructure</w:t>
      </w:r>
    </w:p>
    <w:p>
      <w:r>
        <w:rPr>
          <w:rFonts w:ascii="Arial" w:cs="Arial" w:eastAsia="Arial" w:hAnsi="Arial"/>
          <w:sz w:val="22"/>
          <w:szCs w:val="22"/>
        </w:rPr>
        <w:t xml:space="preserve">6. Tab 4: Sensitivity</w:t>
      </w:r>
    </w:p>
    <w:p>
      <w:r>
        <w:rPr>
          <w:rFonts w:ascii="Arial" w:cs="Arial" w:eastAsia="Arial" w:hAnsi="Arial"/>
          <w:sz w:val="22"/>
          <w:szCs w:val="22"/>
        </w:rPr>
        <w:t xml:space="preserve">7. Tab 5: Expansion</w:t>
      </w:r>
    </w:p>
    <w:p>
      <w:r>
        <w:rPr>
          <w:rFonts w:ascii="Arial" w:cs="Arial" w:eastAsia="Arial" w:hAnsi="Arial"/>
          <w:sz w:val="22"/>
          <w:szCs w:val="22"/>
        </w:rPr>
        <w:t xml:space="preserve">8. Tab 6: Firm Capacity</w:t>
      </w:r>
    </w:p>
    <w:p>
      <w:r>
        <w:rPr>
          <w:rFonts w:ascii="Arial" w:cs="Arial" w:eastAsia="Arial" w:hAnsi="Arial"/>
          <w:sz w:val="22"/>
          <w:szCs w:val="22"/>
        </w:rPr>
        <w:t xml:space="preserve">9. Scoring System</w:t>
      </w:r>
    </w:p>
    <w:p>
      <w:r>
        <w:rPr>
          <w:rFonts w:ascii="Arial" w:cs="Arial" w:eastAsia="Arial" w:hAnsi="Arial"/>
          <w:sz w:val="22"/>
          <w:szCs w:val="22"/>
        </w:rPr>
        <w:t xml:space="preserve">10. Glossary</w:t>
      </w:r>
    </w:p>
    <w:p>
      <w:r>
        <w:br w:type="page"/>
      </w:r>
    </w:p>
    <w:p>
      <w:pPr>
        <w:pStyle w:val="Heading1"/>
      </w:pPr>
      <w:r>
        <w:t xml:space="preserve">1. Overview</w:t>
      </w:r>
    </w:p>
    <w:p>
      <w:pPr>
        <w:spacing w:after="200"/>
      </w:pPr>
      <w:r>
        <w:t xml:space="preserve">The Results Dashboard is the central analysis interface of the DC Feasibility Tool. After running one or more scenarios through the Scenario Runner (either Guided Mode or Advanced Mode), all results appear here ranked by a composite feasibility score. The dashboard provides a full-width results table at the top and a tab-based detail panel below for in-depth analysis of any selected scenario.</w:t>
      </w:r>
    </w:p>
    <w:p>
      <w:pPr>
        <w:spacing w:after="200"/>
      </w:pPr>
      <w:r>
        <w:t xml:space="preserve">The dashboard supports two PUE calculation modes: a static mode (using lookup-table PUE values) and an hourly mode (full 8,760-hour climate simulation using site-specific weather data). The hourly mode unlocks additional features like daily operating profiles, PUE decomposition, firm capacity analysis, and climate-specific IT capacity commitments.</w:t>
      </w:r>
    </w:p>
    <w:p>
      <w:pPr>
        <w:pStyle w:val="Heading2"/>
      </w:pPr>
      <w:r>
        <w:t xml:space="preserve">Key Concepts</w:t>
      </w:r>
    </w:p>
    <w:p>
      <w:pPr>
        <w:pStyle w:val="ListParagraph"/>
        <w:numPr>
          <w:ilvl w:val="0"/>
          <w:numId w:val="2"/>
        </w:numPr>
      </w:pPr>
      <w:r>
        <w:rPr>
          <w:b/>
          <w:bCs/>
        </w:rPr>
        <w:t xml:space="preserve">RAG Status: </w:t>
      </w:r>
      <w:r>
        <w:t xml:space="preserve">A Red/Amber/Green/Blue traffic-light rating indicating site viability. RED = not viable, AMBER = marginal, GREEN = feasible, BLUE = excellent.</w:t>
      </w:r>
    </w:p>
    <w:p>
      <w:pPr>
        <w:pStyle w:val="ListParagraph"/>
        <w:numPr>
          <w:ilvl w:val="0"/>
          <w:numId w:val="2"/>
        </w:numPr>
      </w:pPr>
      <w:r>
        <w:rPr>
          <w:b/>
          <w:bCs/>
        </w:rPr>
        <w:t xml:space="preserve">Composite Score: </w:t>
      </w:r>
      <w:r>
        <w:t xml:space="preserve">A 0–100 weighted score combining PUE efficiency, IT capacity, space utilization, rack deployment ratio, and RAG status.</w:t>
      </w:r>
    </w:p>
    <w:p>
      <w:pPr>
        <w:pStyle w:val="ListParagraph"/>
        <w:numPr>
          <w:ilvl w:val="0"/>
          <w:numId w:val="2"/>
        </w:numPr>
      </w:pPr>
      <w:r>
        <w:rPr>
          <w:b/>
          <w:bCs/>
        </w:rPr>
        <w:t xml:space="preserve">Committed IT (P99): </w:t>
      </w:r>
      <w:r>
        <w:t xml:space="preserve">In hourly mode, the IT load you can contractually guarantee 99% of hours in the year. In static mode, the nominal IT load from the power model.</w:t>
      </w:r>
    </w:p>
    <w:p>
      <w:pPr>
        <w:pStyle w:val="ListParagraph"/>
        <w:numPr>
          <w:ilvl w:val="0"/>
          <w:numId w:val="2"/>
        </w:numPr>
      </w:pPr>
      <w:r>
        <w:rPr>
          <w:b/>
          <w:bCs/>
        </w:rPr>
        <w:t xml:space="preserve">Binding Constraint: </w:t>
      </w:r>
      <w:r>
        <w:t xml:space="preserve">Whether the scenario is limited by available electrical POWER or physical SPACE. This determines which expansion strategies are effective.</w:t>
      </w:r>
    </w:p>
    <w:p>
      <w:r>
        <w:br w:type="page"/>
      </w:r>
    </w:p>
    <w:p>
      <w:pPr>
        <w:pStyle w:val="Heading1"/>
      </w:pPr>
      <w:r>
        <w:t xml:space="preserve">2. Results Table</w:t>
      </w:r>
    </w:p>
    <w:p>
      <w:pPr>
        <w:spacing w:after="200"/>
      </w:pPr>
      <w:r>
        <w:t xml:space="preserve">The full-width results table displays all scenarios from the most recent batch run. Results are pre-sorted by composite score (highest first). Clicking any row opens the detail panel below.</w:t>
      </w:r>
    </w:p>
    <w:p>
      <w:pPr>
        <w:pStyle w:val="Heading2"/>
      </w:pPr>
      <w:r>
        <w:t xml:space="preserve">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(Rank)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in the score-ranked list. Rank 1 = best composite score.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Site</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site name as entered in Site Manager.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Load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type (e.g., Colocation Standard, AI/GPU, HPC, Hyperscale, Edge/Telco).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Cooling</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Cooling topology used (e.g., Air-Cooled Chiller + Economizer, DLC, RDHx, Dry Cooler).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IT Commit (MW)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committable IT load in megawatts. Uses P99 from hourly simulation when available, otherwise nominal static IT load.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PUE</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Power Usage Effectiveness. Energy-weighted annual PUE from hourly simulation, or static lookup PUE.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Racks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racks deployed based on whitespace, floor count, and rack density.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RAG</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Traffic-light status: RED (not viable), AMBER (warning), GREEN (good), BLUE (excellent).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feasibility score (0–100). Higher is better.</w:t>
            </w:r>
          </w:p>
        </w:tc>
      </w:tr>
    </w:tbl>
    <w:p>
      <w:r>
        <w:br w:type="page"/>
      </w:r>
    </w:p>
    <w:p>
      <w:pPr>
        <w:pStyle w:val="Heading1"/>
      </w:pPr>
      <w:r>
        <w:t xml:space="preserve">3. Tab 1: Overview</w:t>
      </w:r>
    </w:p>
    <w:p>
      <w:pPr>
        <w:spacing w:after="200"/>
      </w:pPr>
      <w:r>
        <w:t xml:space="preserve">The Overview tab provides a snapshot of the selected scenario’s key metrics. It is the default view when you click a result row.</w:t>
      </w:r>
    </w:p>
    <w:p>
      <w:pPr>
        <w:pStyle w:val="Heading2"/>
      </w:pPr>
      <w:r>
        <w:t xml:space="preserve">Key Metrics Grid</w:t>
      </w:r>
    </w:p>
    <w:p>
      <w:pPr>
        <w:spacing w:after="100"/>
      </w:pPr>
      <w:r>
        <w:t xml:space="preserve">Displays a responsive grid of metric cards:</w:t>
      </w:r>
    </w:p>
    <w:p>
      <w:pPr>
        <w:pStyle w:val="ListParagraph"/>
        <w:numPr>
          <w:ilvl w:val="0"/>
          <w:numId w:val="3"/>
        </w:numPr>
      </w:pPr>
      <w:r>
        <w:rPr>
          <w:b/>
          <w:bCs/>
        </w:rPr>
        <w:t xml:space="preserve">Committed IT (P99) / IT Load: </w:t>
      </w:r>
      <w:r>
        <w:t xml:space="preserve">The sellable IT capacity. In hourly mode, this is the P99 value (guaranteed 99% of hours). In static mode, the nominal IT load.</w:t>
      </w:r>
    </w:p>
    <w:p>
      <w:pPr>
        <w:pStyle w:val="ListParagraph"/>
        <w:numPr>
          <w:ilvl w:val="0"/>
          <w:numId w:val="3"/>
        </w:numPr>
      </w:pPr>
      <w:r>
        <w:rPr>
          <w:b/>
          <w:bCs/>
        </w:rPr>
        <w:t xml:space="preserve">Worst-Hour IT: </w:t>
      </w:r>
      <w:r>
        <w:t xml:space="preserve">The minimum IT capacity across all 8,760 hours (hourly mode only). Represents the absolute worst case.</w:t>
      </w:r>
    </w:p>
    <w:p>
      <w:pPr>
        <w:pStyle w:val="ListParagraph"/>
        <w:numPr>
          <w:ilvl w:val="0"/>
          <w:numId w:val="3"/>
        </w:numPr>
      </w:pPr>
      <w:r>
        <w:rPr>
          <w:b/>
          <w:bCs/>
        </w:rPr>
        <w:t xml:space="preserve">Annual Mean IT: </w:t>
      </w:r>
      <w:r>
        <w:t xml:space="preserve">Average IT capacity across the year (hourly mode only).</w:t>
      </w:r>
    </w:p>
    <w:p>
      <w:pPr>
        <w:pStyle w:val="ListParagraph"/>
        <w:numPr>
          <w:ilvl w:val="0"/>
          <w:numId w:val="3"/>
        </w:numPr>
      </w:pPr>
      <w:r>
        <w:rPr>
          <w:b/>
          <w:bCs/>
        </w:rPr>
        <w:t xml:space="preserve">Nominal IT: </w:t>
      </w:r>
      <w:r>
        <w:t xml:space="preserve">The static-model IT load, shown for comparison with hourly results.</w:t>
      </w:r>
    </w:p>
    <w:p>
      <w:pPr>
        <w:pStyle w:val="ListParagraph"/>
        <w:numPr>
          <w:ilvl w:val="0"/>
          <w:numId w:val="3"/>
        </w:numPr>
      </w:pPr>
      <w:r>
        <w:rPr>
          <w:b/>
          <w:bCs/>
        </w:rPr>
        <w:t xml:space="preserve">Facility Power: </w:t>
      </w:r>
      <w:r>
        <w:t xml:space="preserve">Total electrical load including IT, cooling, lighting, and losses.</w:t>
      </w:r>
    </w:p>
    <w:p>
      <w:pPr>
        <w:pStyle w:val="ListParagraph"/>
        <w:numPr>
          <w:ilvl w:val="0"/>
          <w:numId w:val="3"/>
        </w:numPr>
      </w:pPr>
      <w:r>
        <w:rPr>
          <w:b/>
          <w:bCs/>
        </w:rPr>
        <w:t xml:space="preserve">Procurement Power: </w:t>
      </w:r>
      <w:r>
        <w:t xml:space="preserve">Grid capacity needed, including procurement safety factor.</w:t>
      </w:r>
    </w:p>
    <w:p>
      <w:pPr>
        <w:pStyle w:val="ListParagraph"/>
        <w:numPr>
          <w:ilvl w:val="0"/>
          <w:numId w:val="3"/>
        </w:numPr>
      </w:pPr>
      <w:r>
        <w:rPr>
          <w:b/>
          <w:bCs/>
        </w:rPr>
        <w:t xml:space="preserve">PUE: </w:t>
      </w:r>
      <w:r>
        <w:t xml:space="preserve">Power Usage Effectiveness with source label (hourly or static).</w:t>
      </w:r>
    </w:p>
    <w:p>
      <w:pPr>
        <w:pStyle w:val="ListParagraph"/>
        <w:numPr>
          <w:ilvl w:val="0"/>
          <w:numId w:val="3"/>
        </w:numPr>
      </w:pPr>
      <w:r>
        <w:rPr>
          <w:b/>
          <w:bCs/>
        </w:rPr>
        <w:t xml:space="preserve">Racks, Rack Density, Constraint, Score: </w:t>
      </w:r>
      <w:r>
        <w:t xml:space="preserve">Deployed rack count, per-rack power density (kW), binding constraint type, and composite score.</w:t>
      </w:r>
    </w:p>
    <w:p>
      <w:pPr>
        <w:pStyle w:val="Heading2"/>
      </w:pPr>
      <w:r>
        <w:t xml:space="preserve">Space Summary</w:t>
      </w:r>
    </w:p>
    <w:p>
      <w:pPr>
        <w:spacing w:after="100"/>
      </w:pPr>
      <w:r>
        <w:t xml:space="preserve">Shows physical space metrics: buildable footprint (m²), active floors, effective racks possible, whitespace ratio (% of floor used for IT), and site coverage ratio (% of land used by building).</w:t>
      </w:r>
    </w:p>
    <w:p>
      <w:pPr>
        <w:pStyle w:val="Heading2"/>
      </w:pPr>
      <w:r>
        <w:t xml:space="preserve">IT Capacity Spectrum Chart</w:t>
      </w:r>
    </w:p>
    <w:p>
      <w:pPr>
        <w:spacing w:after="200"/>
      </w:pPr>
      <w:r>
        <w:t xml:space="preserve">Visible only in hourly mode. A bar chart showing the distribution of IT capacity across 8,760 hours: worst hour, P1, P5, P50 (median), P95, P99, and best hour. This visualizes how much the site’s IT capacity varies with weather conditions throughout the year.</w:t>
      </w:r>
    </w:p>
    <w:p>
      <w:r>
        <w:br w:type="page"/>
      </w:r>
    </w:p>
    <w:p>
      <w:pPr>
        <w:pStyle w:val="Heading1"/>
      </w:pPr>
      <w:r>
        <w:t xml:space="preserve">4. Tab 2: Capacity &amp; PUE</w:t>
      </w:r>
    </w:p>
    <w:p>
      <w:pPr>
        <w:spacing w:after="200"/>
      </w:pPr>
      <w:r>
        <w:t xml:space="preserve">This tab provides detailed analysis of how IT capacity and PUE fluctuate throughout the year. Both features require hourly weather simulation (not available in static PUE mode).</w:t>
      </w:r>
    </w:p>
    <w:p>
      <w:pPr>
        <w:pStyle w:val="Heading2"/>
      </w:pPr>
      <w:r>
        <w:t xml:space="preserve">Daily Operating Profiles</w:t>
      </w:r>
    </w:p>
    <w:p>
      <w:pPr>
        <w:spacing w:after="100"/>
      </w:pPr>
      <w:r>
        <w:t xml:space="preserve">Click "Load" to fetch daily aggregated profiles. The engine groups 8,760 hourly values into representative days and displays two side-by-side charts:</w:t>
      </w:r>
    </w:p>
    <w:p>
      <w:pPr>
        <w:pStyle w:val="ListParagraph"/>
        <w:numPr>
          <w:ilvl w:val="0"/>
          <w:numId w:val="4"/>
        </w:numPr>
      </w:pPr>
      <w:r>
        <w:rPr>
          <w:b/>
          <w:bCs/>
        </w:rPr>
        <w:t xml:space="preserve">Daily IT Load Chart: </w:t>
      </w:r>
      <w:r>
        <w:t xml:space="preserve">Shows min/mean/max IT capacity per representative day, with a reference line at the P99 committed IT level.</w:t>
      </w:r>
    </w:p>
    <w:p>
      <w:pPr>
        <w:pStyle w:val="ListParagraph"/>
        <w:numPr>
          <w:ilvl w:val="0"/>
          <w:numId w:val="4"/>
        </w:numPr>
      </w:pPr>
      <w:r>
        <w:rPr>
          <w:b/>
          <w:bCs/>
        </w:rPr>
        <w:t xml:space="preserve">Daily PUE Chart: </w:t>
      </w:r>
      <w:r>
        <w:t xml:space="preserve">Shows min/mean/max PUE per representative day, with a reference line at the annual energy-weighted PUE.</w:t>
      </w:r>
    </w:p>
    <w:p>
      <w:pPr>
        <w:spacing w:after="100"/>
      </w:pPr>
      <w:r>
        <w:t xml:space="preserve">Summary metrics include committed IT, annual mean IT, peak daily IT, worst/best hour IT, peak daily PUE, annual PUE, and the number of representative days.</w:t>
      </w:r>
    </w:p>
    <w:p>
      <w:pPr>
        <w:pStyle w:val="Heading2"/>
      </w:pPr>
      <w:r>
        <w:t xml:space="preserve">PUE Overhead Decomposition</w:t>
      </w:r>
    </w:p>
    <w:p>
      <w:pPr>
        <w:spacing w:after="200"/>
      </w:pPr>
      <w:r>
        <w:t xml:space="preserve">Click "Compute" to break down the annual PUE overhead into its constituent components. Shows total overhead energy (kWh), total facility energy, and total IT energy. Each component (mechanical cooling, economizer, pumps, lighting, UPS losses, misc fixed loads) is displayed as a labeled bar with its share of total overhead as a percentage. Also shows the number of hours spent in each cooling mode: mechanical-only (MECH), partial economizer (ECON_PART), full economizer (ECON_FULL), and overtemperature hours.</w:t>
      </w:r>
    </w:p>
    <w:p>
      <w:r>
        <w:br w:type="page"/>
      </w:r>
    </w:p>
    <w:p>
      <w:pPr>
        <w:pStyle w:val="Heading1"/>
      </w:pPr>
      <w:r>
        <w:t xml:space="preserve">5. Tab 3: Infrastructure</w:t>
      </w:r>
    </w:p>
    <w:p>
      <w:pPr>
        <w:spacing w:after="200"/>
      </w:pPr>
      <w:r>
        <w:t xml:space="preserve">The Infrastructure tab calculates physical space requirements for all major data center equipment and compares backup power technologies.</w:t>
      </w:r>
    </w:p>
    <w:p>
      <w:pPr>
        <w:pStyle w:val="Heading2"/>
      </w:pPr>
      <w:r>
        <w:t xml:space="preserve">Infrastructure Footprint</w:t>
      </w:r>
    </w:p>
    <w:p>
      <w:pPr>
        <w:spacing w:after="100"/>
      </w:pPr>
      <w:r>
        <w:t xml:space="preserve">Calculates the ground-level and rooftop area needed for transformers, switchgear, cooling equipment, backup generators, fuel storage, and other infrastructure. Inputs:</w:t>
      </w:r>
    </w:p>
    <w:p>
      <w:pPr>
        <w:pStyle w:val="ListParagraph"/>
        <w:numPr>
          <w:ilvl w:val="0"/>
          <w:numId w:val="5"/>
        </w:numPr>
      </w:pPr>
      <w:r>
        <w:rPr>
          <w:b/>
          <w:bCs/>
        </w:rPr>
        <w:t xml:space="preserve">Backup Technology: </w:t>
      </w:r>
      <w:r>
        <w:t xml:space="preserve">Select from Diesel Genset, Natural Gas Genset, SOFC Fuel Cell, PEM Fuel Cell (H₂), or Rotary UPS + Flywheel. Each has different footprint, emissions, and unit sizing.</w:t>
      </w:r>
    </w:p>
    <w:p>
      <w:pPr>
        <w:pStyle w:val="ListParagraph"/>
        <w:numPr>
          <w:ilvl w:val="0"/>
          <w:numId w:val="5"/>
        </w:numPr>
      </w:pPr>
      <w:r>
        <w:rPr>
          <w:b/>
          <w:bCs/>
        </w:rPr>
        <w:t xml:space="preserve">Cooling Factor Override: </w:t>
      </w:r>
      <w:r>
        <w:t xml:space="preserve">Optionally override the default m²/kW factor for cooling equipment area calculation.</w:t>
      </w:r>
    </w:p>
    <w:p>
      <w:pPr>
        <w:spacing w:after="100"/>
      </w:pPr>
      <w:r>
        <w:t xml:space="preserve">Results show: total ground/roof area needed, utilization ratios, whether equipment fits (green/red badges), number of backup units, and a detailed element-by-element breakdown table with sizing basis, area factor, and source citation for each piece of equipment.</w:t>
      </w:r>
    </w:p>
    <w:p>
      <w:pPr>
        <w:pStyle w:val="Heading2"/>
      </w:pPr>
      <w:r>
        <w:t xml:space="preserve">Backup Power Comparison</w:t>
      </w:r>
    </w:p>
    <w:p>
      <w:pPr>
        <w:spacing w:after="200"/>
      </w:pPr>
      <w:r>
        <w:t xml:space="preserve">Click "Compare" to see all five backup power technologies side by side. The comparison table shows unit count, unit size (kW), annual CO₂ emissions (tonnes/year), and physical footprint (m²) for each technology. Summary highlights identify the lowest CO₂, smallest footprint, and fastest ramp-up technologies.</w:t>
      </w:r>
    </w:p>
    <w:p>
      <w:r>
        <w:br w:type="page"/>
      </w:r>
    </w:p>
    <w:p>
      <w:pPr>
        <w:pStyle w:val="Heading1"/>
      </w:pPr>
      <w:r>
        <w:t xml:space="preserve">6. Tab 4: Sensitivity</w:t>
      </w:r>
    </w:p>
    <w:p>
      <w:pPr>
        <w:spacing w:after="200"/>
      </w:pPr>
      <w:r>
        <w:t xml:space="preserve">The Sensitivity tab helps answer "what if" questions about how changes in key parameters affect IT capacity.</w:t>
      </w:r>
    </w:p>
    <w:p>
      <w:pPr>
        <w:pStyle w:val="Heading2"/>
      </w:pPr>
      <w:r>
        <w:t xml:space="preserve">Tornado Chart (±10% Sensitivity)</w:t>
      </w:r>
    </w:p>
    <w:p>
      <w:pPr>
        <w:spacing w:after="100"/>
      </w:pPr>
      <w:r>
        <w:t xml:space="preserve">Click "Compute" to generate a tornado diagram. The engine varies each input parameter by ±10% from its current value (one at a time, holding others constant) and measures the impact on IT load output. Parameters analyzed include:</w:t>
      </w:r>
    </w:p>
    <w:p>
      <w:pPr>
        <w:pStyle w:val="ListParagraph"/>
        <w:numPr>
          <w:ilvl w:val="0"/>
          <w:numId w:val="6"/>
        </w:numPr>
      </w:pPr>
      <w:r>
        <w:t xml:space="preserve">PUE (Power Usage Effectiveness)</w:t>
      </w:r>
    </w:p>
    <w:p>
      <w:pPr>
        <w:pStyle w:val="ListParagraph"/>
        <w:numPr>
          <w:ilvl w:val="0"/>
          <w:numId w:val="6"/>
        </w:numPr>
      </w:pPr>
      <w:r>
        <w:t xml:space="preserve">Eta Chain (power distribution efficiency)</w:t>
      </w:r>
    </w:p>
    <w:p>
      <w:pPr>
        <w:pStyle w:val="ListParagraph"/>
        <w:numPr>
          <w:ilvl w:val="0"/>
          <w:numId w:val="6"/>
        </w:numPr>
      </w:pPr>
      <w:r>
        <w:t xml:space="preserve">Rack Density (kW per rack)</w:t>
      </w:r>
    </w:p>
    <w:p>
      <w:pPr>
        <w:pStyle w:val="ListParagraph"/>
        <w:numPr>
          <w:ilvl w:val="0"/>
          <w:numId w:val="6"/>
        </w:numPr>
      </w:pPr>
      <w:r>
        <w:t xml:space="preserve">Whitespace Ratio, Site Coverage Ratio</w:t>
      </w:r>
    </w:p>
    <w:p>
      <w:pPr>
        <w:pStyle w:val="ListParagraph"/>
        <w:numPr>
          <w:ilvl w:val="0"/>
          <w:numId w:val="6"/>
        </w:numPr>
      </w:pPr>
      <w:r>
        <w:t xml:space="preserve">Available Power (MW), Land Area, Number of Floors</w:t>
      </w:r>
    </w:p>
    <w:p>
      <w:pPr>
        <w:spacing w:after="100"/>
      </w:pPr>
      <w:r>
        <w:t xml:space="preserve">The chart ranks parameters by impact magnitude. Wider bars indicate parameters that have the greatest effect on output. This identifies which assumptions or design choices matter most for your site.</w:t>
      </w:r>
    </w:p>
    <w:p>
      <w:pPr>
        <w:pStyle w:val="Heading2"/>
      </w:pPr>
      <w:r>
        <w:t xml:space="preserve">Break-Even Solver</w:t>
      </w:r>
    </w:p>
    <w:p>
      <w:pPr>
        <w:spacing w:after="200"/>
      </w:pPr>
      <w:r>
        <w:t xml:space="preserve">Enter a target IT load (MW) and select a parameter to solve for. The engine uses bisection to find the exact parameter value needed to achieve your target. For example: "What PUE would I need to reach 15 MW IT?" or "How much available power do I need for 20 MW IT?" The solver reports whether the target is feasible, the required parameter value, and the percentage change from baseline.</w:t>
      </w:r>
    </w:p>
    <w:p>
      <w:r>
        <w:br w:type="page"/>
      </w:r>
    </w:p>
    <w:p>
      <w:pPr>
        <w:pStyle w:val="Heading1"/>
      </w:pPr>
      <w:r>
        <w:t xml:space="preserve">7. Tab 5: Expansion</w:t>
      </w:r>
    </w:p>
    <w:p>
      <w:pPr>
        <w:spacing w:after="200"/>
      </w:pPr>
      <w:r>
        <w:t xml:space="preserve">The Expansion tab assesses future growth potential and includes a load mix optimization tool. This is advisory only — expansion results do not change the main scenario score.</w:t>
      </w:r>
    </w:p>
    <w:p>
      <w:pPr>
        <w:pStyle w:val="Heading2"/>
      </w:pPr>
      <w:r>
        <w:t xml:space="preserve">Expansion Advisory</w:t>
      </w:r>
    </w:p>
    <w:p>
      <w:pPr>
        <w:spacing w:after="100"/>
      </w:pPr>
      <w:r>
        <w:t xml:space="preserve">Click "Compute" to analyze three capacity tiers:</w:t>
      </w:r>
    </w:p>
    <w:p>
      <w:pPr>
        <w:pStyle w:val="ListParagraph"/>
        <w:numPr>
          <w:ilvl w:val="0"/>
          <w:numId w:val="7"/>
        </w:numPr>
      </w:pPr>
      <w:r>
        <w:rPr>
          <w:b/>
          <w:bCs/>
        </w:rPr>
        <w:t xml:space="preserve">Current Feasible: </w:t>
      </w:r>
      <w:r>
        <w:t xml:space="preserve">What the site can deliver today with active floors and current grid connection.</w:t>
      </w:r>
    </w:p>
    <w:p>
      <w:pPr>
        <w:pStyle w:val="ListParagraph"/>
        <w:numPr>
          <w:ilvl w:val="0"/>
          <w:numId w:val="7"/>
        </w:numPr>
      </w:pPr>
      <w:r>
        <w:rPr>
          <w:b/>
          <w:bCs/>
        </w:rPr>
        <w:t xml:space="preserve">Future Expandable: </w:t>
      </w:r>
      <w:r>
        <w:t xml:space="preserve">Additional capacity from reserved expansion floors (declared by the user in Site Manager) and any latent height-based floors (calculated from max building height minus active floors).</w:t>
      </w:r>
    </w:p>
    <w:p>
      <w:pPr>
        <w:pStyle w:val="ListParagraph"/>
        <w:numPr>
          <w:ilvl w:val="0"/>
          <w:numId w:val="7"/>
        </w:numPr>
      </w:pPr>
      <w:r>
        <w:rPr>
          <w:b/>
          <w:bCs/>
        </w:rPr>
        <w:t xml:space="preserve">Total Site Potential: </w:t>
      </w:r>
      <w:r>
        <w:t xml:space="preserve">Sum of current + future, representing the theoretical maximum if all floors are built out and additional grid capacity is secured.</w:t>
      </w:r>
    </w:p>
    <w:p>
      <w:pPr>
        <w:spacing w:after="100"/>
      </w:pPr>
      <w:r>
        <w:t xml:space="preserve">Key metrics include: active floors, reserved/height-uplift floors, max total floors, unused active racks, expansion racks, total additional racks, current facility/procurement envelope, extra grid request needed, and the binding constraint. Engineering notes flag important considerations such as structural limits or grid application requirements.</w:t>
      </w:r>
    </w:p>
    <w:p>
      <w:pPr>
        <w:pStyle w:val="Heading2"/>
      </w:pPr>
      <w:r>
        <w:t xml:space="preserve">Load Mix Planner</w:t>
      </w:r>
    </w:p>
    <w:p>
      <w:pPr>
        <w:spacing w:after="100"/>
      </w:pPr>
      <w:r>
        <w:t xml:space="preserve">The Load Mix Planner explores blended workload allocations within a single IT envelope. For example, you might want to know the optimal split between HPC, colocation, and AI/GPU workloads given your site’s cooling topology and total IT power.</w:t>
      </w:r>
    </w:p>
    <w:p>
      <w:pPr>
        <w:spacing w:after="100"/>
      </w:pPr>
      <w:r>
        <w:t xml:space="preserve">Inputs (pre-filled from the selected scenario):</w:t>
      </w:r>
    </w:p>
    <w:p>
      <w:pPr>
        <w:pStyle w:val="ListParagraph"/>
        <w:numPr>
          <w:ilvl w:val="0"/>
          <w:numId w:val="8"/>
        </w:numPr>
      </w:pPr>
      <w:r>
        <w:rPr>
          <w:b/>
          <w:bCs/>
        </w:rPr>
        <w:t xml:space="preserve">Total IT (MW): </w:t>
      </w:r>
      <w:r>
        <w:t xml:space="preserve">The total IT power envelope to allocate across load types.</w:t>
      </w:r>
    </w:p>
    <w:p>
      <w:pPr>
        <w:pStyle w:val="ListParagraph"/>
        <w:numPr>
          <w:ilvl w:val="0"/>
          <w:numId w:val="8"/>
        </w:numPr>
      </w:pPr>
      <w:r>
        <w:rPr>
          <w:b/>
          <w:bCs/>
        </w:rPr>
        <w:t xml:space="preserve">Cooling Type: </w:t>
      </w:r>
      <w:r>
        <w:t xml:space="preserve">The cooling topology (determines compatibility with each load type).</w:t>
      </w:r>
    </w:p>
    <w:p>
      <w:pPr>
        <w:pStyle w:val="ListParagraph"/>
        <w:numPr>
          <w:ilvl w:val="0"/>
          <w:numId w:val="8"/>
        </w:numPr>
      </w:pPr>
      <w:r>
        <w:rPr>
          <w:b/>
          <w:bCs/>
        </w:rPr>
        <w:t xml:space="preserve">Density Scenario: </w:t>
      </w:r>
      <w:r>
        <w:t xml:space="preserve">Low, typical, or high rack density.</w:t>
      </w:r>
    </w:p>
    <w:p>
      <w:pPr>
        <w:pStyle w:val="ListParagraph"/>
        <w:numPr>
          <w:ilvl w:val="0"/>
          <w:numId w:val="8"/>
        </w:numPr>
      </w:pPr>
      <w:r>
        <w:rPr>
          <w:b/>
          <w:bCs/>
        </w:rPr>
        <w:t xml:space="preserve">Step %: </w:t>
      </w:r>
      <w:r>
        <w:t xml:space="preserve">Granularity of share combinations (e.g., 10% = 0%, 10%, 20%... 100%).</w:t>
      </w:r>
    </w:p>
    <w:p>
      <w:pPr>
        <w:pStyle w:val="ListParagraph"/>
        <w:numPr>
          <w:ilvl w:val="0"/>
          <w:numId w:val="8"/>
        </w:numPr>
      </w:pPr>
      <w:r>
        <w:rPr>
          <w:b/>
          <w:bCs/>
        </w:rPr>
        <w:t xml:space="preserve">Min Racks: </w:t>
      </w:r>
      <w:r>
        <w:t xml:space="preserve">Minimum rack count per load type to be included in a candidate.</w:t>
      </w:r>
    </w:p>
    <w:p>
      <w:pPr>
        <w:pStyle w:val="ListParagraph"/>
        <w:numPr>
          <w:ilvl w:val="0"/>
          <w:numId w:val="8"/>
        </w:numPr>
      </w:pPr>
      <w:r>
        <w:rPr>
          <w:b/>
          <w:bCs/>
        </w:rPr>
        <w:t xml:space="preserve">Top N: </w:t>
      </w:r>
      <w:r>
        <w:t xml:space="preserve">Number of top-ranked candidates to display.</w:t>
      </w:r>
    </w:p>
    <w:p>
      <w:pPr>
        <w:pStyle w:val="ListParagraph"/>
        <w:numPr>
          <w:ilvl w:val="0"/>
          <w:numId w:val="8"/>
        </w:numPr>
      </w:pPr>
      <w:r>
        <w:rPr>
          <w:b/>
          <w:bCs/>
        </w:rPr>
        <w:t xml:space="preserve">Allowed Load Types: </w:t>
      </w:r>
      <w:r>
        <w:t xml:space="preserve">Select at least two load types to blend.</w:t>
      </w:r>
    </w:p>
    <w:p>
      <w:pPr>
        <w:spacing w:after="200"/>
      </w:pPr>
      <w:r>
        <w:t xml:space="preserve">The optimizer evaluates all deterministic share combinations that sum to 100%, ranks them by a composite score (considering blended PUE, total racks, and compatibility), and displays the top candidates. Each candidate shows its allocation table, compatibility status, and trade-off notes.</w:t>
      </w:r>
    </w:p>
    <w:p>
      <w:r>
        <w:br w:type="page"/>
      </w:r>
    </w:p>
    <w:p>
      <w:pPr>
        <w:pStyle w:val="Heading1"/>
      </w:pPr>
      <w:r>
        <w:t xml:space="preserve">8. Tab 6: Firm Capacity</w:t>
      </w:r>
    </w:p>
    <w:p>
      <w:pPr>
        <w:spacing w:after="200"/>
      </w:pPr>
      <w:r>
        <w:t xml:space="preserve">The Firm Capacity tab answers: "With this site’s fixed grid limit, what constant IT load can I guarantee all year?" It requires hourly weather simulation and models peak-support assets that fill the hottest-hour cooling deficits.</w:t>
      </w:r>
    </w:p>
    <w:p>
      <w:pPr>
        <w:pStyle w:val="Heading2"/>
      </w:pPr>
      <w:r>
        <w:t xml:space="preserve">Support Asset Inputs</w:t>
      </w:r>
    </w:p>
    <w:p>
      <w:pPr>
        <w:pStyle w:val="ListParagraph"/>
        <w:numPr>
          <w:ilvl w:val="0"/>
          <w:numId w:val="9"/>
        </w:numPr>
      </w:pPr>
      <w:r>
        <w:rPr>
          <w:b/>
          <w:bCs/>
        </w:rPr>
        <w:t xml:space="preserve">BESS (kWh): </w:t>
      </w:r>
      <w:r>
        <w:t xml:space="preserve">Battery Energy Storage System capacity. Used to time-shift grid power: charges during cool hours, discharges during hot hours when cooling demand spikes.</w:t>
      </w:r>
    </w:p>
    <w:p>
      <w:pPr>
        <w:pStyle w:val="ListParagraph"/>
        <w:numPr>
          <w:ilvl w:val="0"/>
          <w:numId w:val="9"/>
        </w:numPr>
      </w:pPr>
      <w:r>
        <w:rPr>
          <w:b/>
          <w:bCs/>
        </w:rPr>
        <w:t xml:space="preserve">Fuel Cell (kW): </w:t>
      </w:r>
      <w:r>
        <w:t xml:space="preserve">On-site fuel cell generation capacity. Provides continuous supplemental power during peak periods.</w:t>
      </w:r>
    </w:p>
    <w:p>
      <w:pPr>
        <w:pStyle w:val="ListParagraph"/>
        <w:numPr>
          <w:ilvl w:val="0"/>
          <w:numId w:val="9"/>
        </w:numPr>
      </w:pPr>
      <w:r>
        <w:rPr>
          <w:b/>
          <w:bCs/>
        </w:rPr>
        <w:t xml:space="preserve">Backup Dispatch (kW): </w:t>
      </w:r>
      <w:r>
        <w:t xml:space="preserve">Diesel/gas generator dispatch for peak shaving (separate from N+1 backup; this is active load support).</w:t>
      </w:r>
    </w:p>
    <w:p>
      <w:pPr>
        <w:pStyle w:val="ListParagraph"/>
        <w:numPr>
          <w:ilvl w:val="0"/>
          <w:numId w:val="9"/>
        </w:numPr>
      </w:pPr>
      <w:r>
        <w:rPr>
          <w:b/>
          <w:bCs/>
        </w:rPr>
        <w:t xml:space="preserve">Target IT (MW): </w:t>
      </w:r>
      <w:r>
        <w:t xml:space="preserve">Optional. If set, the engine evaluates whether this specific target is achievable with the given support assets.</w:t>
      </w:r>
    </w:p>
    <w:p>
      <w:pPr>
        <w:pStyle w:val="Heading2"/>
      </w:pPr>
      <w:r>
        <w:t xml:space="preserve">Output Metrics</w:t>
      </w:r>
    </w:p>
    <w:p>
      <w:pPr>
        <w:spacing w:after="100"/>
      </w:pPr>
      <w:r>
        <w:t xml:space="preserve">Results are split into baseline (grid-only) and supported (with assets)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Nominal 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Static-model IT load (no hourly variation)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Grid-Only Worst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Minimum IT capacity without any support assets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Grid-Only P99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capacity achievable 99% of hours without support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Supported Firm IT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Maximum constant IT load achievable with support assets filling deficits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Gain vs Worst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 improvement over grid-only worst hour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Gain vs P99</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MW improvement over grid-only P99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Peak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simultaneous support power needed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Hours Above Grid Cap</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Number of hours where facility demand exceeds grid capacity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BESS Cycle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cyclic year solve converged (BESS returns to starting state)</w:t>
            </w:r>
          </w:p>
        </w:tc>
      </w:tr>
    </w:tbl>
    <w:p>
      <w:pPr>
        <w:spacing w:after="200" w:before="200"/>
      </w:pPr>
      <w:r>
        <w:t xml:space="preserve">The system also provides recommended compensation packages: pre-configured asset combinations designed to bridge the gap between P99 and worst-hour IT capacity. Each recommendation shows its BESS, fuel cell, and backup sizing, feasibility status, and dispatch breakdown.</w:t>
      </w:r>
    </w:p>
    <w:p>
      <w:r>
        <w:br w:type="page"/>
      </w:r>
    </w:p>
    <w:p>
      <w:pPr>
        <w:pStyle w:val="Heading1"/>
      </w:pPr>
      <w:r>
        <w:t xml:space="preserve">9. Scoring System</w:t>
      </w:r>
    </w:p>
    <w:p>
      <w:pPr>
        <w:spacing w:after="200"/>
      </w:pPr>
      <w:r>
        <w:t xml:space="preserve">Every scenario receives a composite feasibility score from 0 to 100. The score is computed by the backend engine using weighted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PUE Efficiency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PUE = better score. Normalized against reference range.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IT Capacity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Higher IT capacity relative to best scenario in batch = better score.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Rack Deployment Ratio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Racks deployed vs effective racks possible. Higher utilization = better.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RAG Status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BLUE=100%, GREEN=75%, AMBER=40%, RED=0%.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Utilization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equipment area vs available outdoor area. Moderate utilization preferred.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Roof Utilization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Roof equipment area vs available roof area.</w:t>
            </w:r>
          </w:p>
        </w:tc>
      </w:tr>
    </w:tbl>
    <w:p>
      <w:r>
        <w:br w:type="page"/>
      </w:r>
    </w:p>
    <w:p>
      <w:pPr>
        <w:pStyle w:val="Heading1"/>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Usage Effectiveness. Total facility power / IT equipment power. Ideal = 1.0.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P99</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99th percentile value from 8,760 hourly simulations. 1% of hours may fall below this.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Eta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distribution chain efficiency (transformer, UPS, PDU losses). Typically 0.85–0.95.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BESS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Battery Energy Storage System. Stores and releases electrical energy for peak shaving.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DLC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Liquid Cooling. Coolant flows directly to server components. Best PUE for high-density.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RDHx</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Rear Door Heat Exchanger. Water-cooled door on the back of each rack.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Economizer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cooling using outside air when ambient temperature is low enough.</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Whitespace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portion of each floor dedicated to IT racks (vs corridors, mechanical rooms).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Procurement Factor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multiplier on grid capacity request (typically 1.1–1.15).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Binding Constraint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Whether site capacity is limited by POWER (grid) or SPACE (physical footprint).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Tornado Chart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bar chart showing which input parameters most affect the output.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Firm Capacity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 constant IT load guaranteed 100% of hours with support asset compensation.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DC Feasibility Tool v4 — Results Dashboard Features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2026-03-16T21:22:59.468Z</dcterms:created>
  <dcterms:modified xsi:type="dcterms:W3CDTF">2026-03-16T21:22:59.469Z</dcterms:modified>
</cp:coreProperties>
</file>

<file path=docProps/custom.xml><?xml version="1.0" encoding="utf-8"?>
<Properties xmlns="http://schemas.openxmlformats.org/officeDocument/2006/custom-properties" xmlns:vt="http://schemas.openxmlformats.org/officeDocument/2006/docPropsVTypes"/>
</file>