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190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echo -e “Mostafa\nReza\nAli” &gt;&gt; list.txt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sort list.txt &gt; list1.txt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 list1.txt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490839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908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netstat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right"/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0E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4524375" cy="1504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3609975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ترمینال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