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Noto Sans Arabic" w:cs="Noto Sans Arabic" w:eastAsia="Noto Sans Arabic" w:hAnsi="Noto Sans Arabic"/>
          <w:b w:val="1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منطقی</w:t>
      </w:r>
    </w:p>
    <w:p w:rsidR="00000000" w:rsidDel="00000000" w:rsidP="00000000" w:rsidRDefault="00000000" w:rsidRPr="00000000" w14:paraId="00000002">
      <w:pPr>
        <w:bidi w:val="1"/>
        <w:rPr>
          <w:rFonts w:ascii="Noto Sans Arabic" w:cs="Noto Sans Arabic" w:eastAsia="Noto Sans Arabic" w:hAnsi="Noto Sans Arabic"/>
          <w:b w:val="1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استاد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دکتر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لآلی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rFonts w:ascii="Noto Sans Arabic" w:cs="Noto Sans Arabic" w:eastAsia="Noto Sans Arabic" w:hAnsi="Noto Sans Arabic"/>
          <w:b w:val="1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مصطفی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خوشنود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حسین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برقعی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۱- </w:t>
      </w:r>
    </w:p>
    <w:p w:rsidR="00000000" w:rsidDel="00000000" w:rsidP="00000000" w:rsidRDefault="00000000" w:rsidRPr="00000000" w14:paraId="0000000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5943600" cy="438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همانطور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مرکزی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تشکیل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مرکزی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اتصال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اتصالات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vcc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ground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0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نکته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تقسیم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حرف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w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تبدیل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کامپوننت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کاملا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مجزا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ستونی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وصل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مرکزی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ردیفی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وصل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0A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۲: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مجتمع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استاندار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جهانی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بسته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خانواده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نامگذاری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مختلفی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0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۷۴۰۰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۴۸۰۰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عموما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میگیرد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نامگذاری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حرف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عموما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سازنده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کتگوری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خانواده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انتها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دوباره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عبارت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عموما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پکیج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آپشن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خاصی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رنج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تحمل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گواهی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کیفیت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0F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3409950" cy="1343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۷۴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!</w:t>
      </w:r>
    </w:p>
    <w:p w:rsidR="00000000" w:rsidDel="00000000" w:rsidP="00000000" w:rsidRDefault="00000000" w:rsidRPr="00000000" w14:paraId="00000011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مثال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hyperlink r:id="rId8">
        <w:r w:rsidDel="00000000" w:rsidR="00000000" w:rsidRPr="00000000">
          <w:rPr>
            <w:rFonts w:ascii="Noto Sans Arabic" w:cs="Noto Sans Arabic" w:eastAsia="Noto Sans Arabic" w:hAnsi="Noto Sans Arabic"/>
            <w:sz w:val="26"/>
            <w:szCs w:val="26"/>
            <w:rtl w:val="0"/>
          </w:rPr>
          <w:t xml:space="preserve">LM117/317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18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5943600" cy="2159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کاربرد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IC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متفاوتی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بعضی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bidi w:val="1"/>
        <w:spacing w:after="40" w:before="240" w:lineRule="auto"/>
        <w:jc w:val="both"/>
        <w:rPr>
          <w:rFonts w:ascii="Noto Sans Arabic" w:cs="Noto Sans Arabic" w:eastAsia="Noto Sans Arabic" w:hAnsi="Noto Sans Arabic"/>
          <w:sz w:val="26"/>
          <w:szCs w:val="26"/>
        </w:rPr>
      </w:pPr>
      <w:bookmarkStart w:colFirst="0" w:colLast="0" w:name="_qs2ppcbvofkd" w:id="0"/>
      <w:bookmarkEnd w:id="0"/>
      <w:r w:rsidDel="00000000" w:rsidR="00000000" w:rsidRPr="00000000">
        <w:rPr>
          <w:rFonts w:ascii="Noto Sans Arabic" w:cs="Noto Sans Arabic" w:eastAsia="Noto Sans Arabic" w:hAnsi="Noto Sans Arabic"/>
          <w:b w:val="1"/>
          <w:color w:val="000000"/>
          <w:sz w:val="22"/>
          <w:szCs w:val="22"/>
          <w:rtl w:val="0"/>
        </w:rPr>
        <w:t xml:space="preserve">Comparators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IC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1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2828925" cy="14287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bidi w:val="1"/>
        <w:spacing w:after="40" w:before="240" w:lineRule="auto"/>
        <w:jc w:val="both"/>
        <w:rPr>
          <w:rFonts w:ascii="Noto Sans Arabic" w:cs="Noto Sans Arabic" w:eastAsia="Noto Sans Arabic" w:hAnsi="Noto Sans Arabic"/>
          <w:b w:val="1"/>
          <w:color w:val="000000"/>
          <w:sz w:val="22"/>
          <w:szCs w:val="22"/>
        </w:rPr>
      </w:pPr>
      <w:bookmarkStart w:colFirst="0" w:colLast="0" w:name="_ghd4vrmvlftz" w:id="1"/>
      <w:bookmarkEnd w:id="1"/>
      <w:r w:rsidDel="00000000" w:rsidR="00000000" w:rsidRPr="00000000">
        <w:rPr>
          <w:rFonts w:ascii="Noto Sans Arabic" w:cs="Noto Sans Arabic" w:eastAsia="Noto Sans Arabic" w:hAnsi="Noto Sans Arabic"/>
          <w:b w:val="1"/>
          <w:color w:val="000000"/>
          <w:sz w:val="22"/>
          <w:szCs w:val="22"/>
          <w:rtl w:val="0"/>
        </w:rPr>
        <w:t xml:space="preserve">Switching ICs</w:t>
      </w:r>
    </w:p>
    <w:p w:rsidR="00000000" w:rsidDel="00000000" w:rsidP="00000000" w:rsidRDefault="00000000" w:rsidRPr="00000000" w14:paraId="0000001F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switch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اند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bidi w:val="1"/>
        <w:spacing w:after="40" w:before="240" w:lineRule="auto"/>
        <w:jc w:val="both"/>
        <w:rPr>
          <w:rFonts w:ascii="Noto Sans Arabic" w:cs="Noto Sans Arabic" w:eastAsia="Noto Sans Arabic" w:hAnsi="Noto Sans Arabic"/>
          <w:b w:val="1"/>
          <w:color w:val="000000"/>
          <w:sz w:val="22"/>
          <w:szCs w:val="22"/>
        </w:rPr>
      </w:pPr>
      <w:bookmarkStart w:colFirst="0" w:colLast="0" w:name="_ifss6f1pght4" w:id="2"/>
      <w:bookmarkEnd w:id="2"/>
      <w:r w:rsidDel="00000000" w:rsidR="00000000" w:rsidRPr="00000000">
        <w:rPr>
          <w:rFonts w:ascii="Noto Sans Arabic" w:cs="Noto Sans Arabic" w:eastAsia="Noto Sans Arabic" w:hAnsi="Noto Sans Arabic"/>
          <w:b w:val="1"/>
          <w:color w:val="000000"/>
          <w:sz w:val="22"/>
          <w:szCs w:val="22"/>
        </w:rPr>
        <w:drawing>
          <wp:inline distB="114300" distT="114300" distL="114300" distR="114300">
            <wp:extent cx="2857500" cy="752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bidi w:val="1"/>
        <w:spacing w:after="40" w:before="240" w:lineRule="auto"/>
        <w:jc w:val="both"/>
        <w:rPr>
          <w:rFonts w:ascii="Noto Sans Arabic" w:cs="Noto Sans Arabic" w:eastAsia="Noto Sans Arabic" w:hAnsi="Noto Sans Arabic"/>
          <w:b w:val="1"/>
          <w:color w:val="000000"/>
          <w:sz w:val="22"/>
          <w:szCs w:val="22"/>
        </w:rPr>
      </w:pPr>
      <w:bookmarkStart w:colFirst="0" w:colLast="0" w:name="_vnmrcyfkcnd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bidi w:val="1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kqf94c0lhj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Audio Amplifiers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آمپلی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تراشه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bidi w:val="1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6j2zpmwurof" w:id="5"/>
      <w:bookmarkEnd w:id="5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3009900" cy="2438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گاهی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اوقات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IC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تایمر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!\</w:t>
      </w:r>
    </w:p>
    <w:p w:rsidR="00000000" w:rsidDel="00000000" w:rsidP="00000000" w:rsidRDefault="00000000" w:rsidRPr="00000000" w14:paraId="0000002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2857500" cy="21621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۳:</w:t>
      </w:r>
    </w:p>
    <w:p w:rsidR="00000000" w:rsidDel="00000000" w:rsidP="00000000" w:rsidRDefault="00000000" w:rsidRPr="00000000" w14:paraId="0000002E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5943600" cy="3314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۷۴۰۴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همانطور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۱۴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vcc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gnd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بقیه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not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زوج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۱۴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30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۴:</w:t>
      </w:r>
    </w:p>
    <w:p w:rsidR="00000000" w:rsidDel="00000000" w:rsidP="00000000" w:rsidRDefault="00000000" w:rsidRPr="00000000" w14:paraId="00000032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3495675" cy="1752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۷۴۰۰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همانطور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۱۴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۱۴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vcc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gnd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بقیه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nand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مطابق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تعیین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</w:p>
    <w:p w:rsidR="00000000" w:rsidDel="00000000" w:rsidP="00000000" w:rsidRDefault="00000000" w:rsidRPr="00000000" w14:paraId="0000003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پورت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خروجی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پین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های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ورودی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۱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۴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۱۱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۱۲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۱۳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۹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۱۰</w:t>
            </w:r>
          </w:p>
        </w:tc>
      </w:tr>
    </w:tbl>
    <w:p w:rsidR="00000000" w:rsidDel="00000000" w:rsidP="00000000" w:rsidRDefault="00000000" w:rsidRPr="00000000" w14:paraId="00000040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۵:</w:t>
      </w:r>
    </w:p>
    <w:p w:rsidR="00000000" w:rsidDel="00000000" w:rsidP="00000000" w:rsidRDefault="00000000" w:rsidRPr="00000000" w14:paraId="00000043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1 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1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1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3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۶:</w:t>
      </w:r>
    </w:p>
    <w:p w:rsidR="00000000" w:rsidDel="00000000" w:rsidP="00000000" w:rsidRDefault="00000000" w:rsidRPr="00000000" w14:paraId="0000005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باز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باز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باز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5v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باز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باز</w:t>
            </w:r>
          </w:p>
        </w:tc>
      </w:tr>
    </w:tbl>
    <w:p w:rsidR="00000000" w:rsidDel="00000000" w:rsidP="00000000" w:rsidRDefault="00000000" w:rsidRPr="00000000" w14:paraId="0000006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منابع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9">
      <w:pPr>
        <w:rPr>
          <w:rFonts w:ascii="Noto Sans Arabic" w:cs="Noto Sans Arabic" w:eastAsia="Noto Sans Arabic" w:hAnsi="Noto Sans Arabic"/>
          <w:sz w:val="26"/>
          <w:szCs w:val="26"/>
        </w:rPr>
      </w:pPr>
      <w:hyperlink r:id="rId16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https://www.elprocus.com/different-types-of-integrated-circuits/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Noto Sans Arabic" w:cs="Noto Sans Arabic" w:eastAsia="Noto Sans Arabic" w:hAnsi="Noto Sans Arabic"/>
          <w:sz w:val="26"/>
          <w:szCs w:val="26"/>
        </w:rPr>
      </w:pPr>
      <w:hyperlink r:id="rId17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https://electronics.stackexchange.com/questions/225557/how-are-ics-named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Noto Sans Arabic" w:cs="Noto Sans Arabic" w:eastAsia="Noto Sans Arabic" w:hAnsi="Noto Sans Arabic"/>
          <w:sz w:val="26"/>
          <w:szCs w:val="26"/>
        </w:rPr>
      </w:pPr>
      <w:hyperlink r:id="rId18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https://www.electronics-notes.com/articles/electronic_components/logic-ic-families-technologies/ic-numbering-schemes.php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Arabi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hyperlink" Target="https://electronics.stackexchange.com/questions/225557/how-are-ics-named" TargetMode="External"/><Relationship Id="rId16" Type="http://schemas.openxmlformats.org/officeDocument/2006/relationships/hyperlink" Target="https://www.elprocus.com/different-types-of-integrated-circuit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electronics-notes.com/articles/electronic_components/logic-ic-families-technologies/ic-numbering-schemes.php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www.ti.com/lit/gpn/lm1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Arabic-regular.ttf"/><Relationship Id="rId2" Type="http://schemas.openxmlformats.org/officeDocument/2006/relationships/font" Target="fonts/NotoSansArab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