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20.jpg" ContentType="image/jpeg"/>
  <Override PartName="/word/media/rId40.png" ContentType="image/png"/>
  <Override PartName="/word/media/rId28.png" ContentType="image/png"/>
  <Override PartName="/word/media/rId37.png" ContentType="image/png"/>
  <Override PartName="/word/media/rId25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Basic</w:t>
      </w:r>
      <w:r>
        <w:t xml:space="preserve"> </w:t>
      </w:r>
      <w:r>
        <w:t xml:space="preserve">Principles</w:t>
      </w:r>
      <w:r>
        <w:t xml:space="preserve"> </w:t>
      </w:r>
      <w:r>
        <w:t xml:space="preserve">of</w:t>
      </w:r>
      <w:r>
        <w:t xml:space="preserve"> </w:t>
      </w:r>
      <w:r>
        <w:t xml:space="preserve">Synthetic</w:t>
      </w:r>
      <w:r>
        <w:t xml:space="preserve"> </w:t>
      </w:r>
      <w:r>
        <w:t xml:space="preserve">Biology</w:t>
      </w:r>
    </w:p>
    <w:p>
      <w:pPr>
        <w:pStyle w:val="Subtitle"/>
      </w:pPr>
      <w:r>
        <w:t xml:space="preserve">Engineering</w:t>
      </w:r>
      <w:r>
        <w:t xml:space="preserve"> </w:t>
      </w:r>
      <w:r>
        <w:t xml:space="preserve">Biology</w:t>
      </w:r>
      <w:r>
        <w:t xml:space="preserve"> </w:t>
      </w:r>
      <w:r>
        <w:t xml:space="preserve">for</w:t>
      </w:r>
      <w:r>
        <w:t xml:space="preserve"> </w:t>
      </w:r>
      <w:r>
        <w:t xml:space="preserve">Innovation</w:t>
      </w:r>
    </w:p>
    <w:p>
      <w:pPr>
        <w:pStyle w:val="Author"/>
      </w:pPr>
      <w:r>
        <w:t xml:space="preserve">Magnus</w:t>
      </w:r>
      <w:r>
        <w:t xml:space="preserve"> </w:t>
      </w:r>
      <w:r>
        <w:t xml:space="preserve">Stefansson,</w:t>
      </w:r>
      <w:r>
        <w:t xml:space="preserve"> </w:t>
      </w:r>
      <w:r>
        <w:t xml:space="preserve">MBA,</w:t>
      </w:r>
      <w:r>
        <w:t xml:space="preserve"> </w:t>
      </w:r>
      <w:r>
        <w:t xml:space="preserve">Ph.D.</w:t>
      </w:r>
    </w:p>
    <w:p>
      <w:pPr>
        <w:pStyle w:val="Date"/>
      </w:pPr>
      <w:r>
        <w:t xml:space="preserve">2025-06-13</w:t>
      </w:r>
    </w:p>
    <w:bookmarkStart w:id="23" w:name="course-overview"/>
    <w:p>
      <w:pPr>
        <w:pStyle w:val="Heading2"/>
      </w:pPr>
      <w:r>
        <w:t xml:space="preserve">Course Overview</w:t>
      </w:r>
    </w:p>
    <w:p>
      <w:pPr>
        <w:pStyle w:val="FirstParagraph"/>
      </w:pPr>
      <w:r>
        <w:rPr>
          <w:b/>
          <w:bCs/>
        </w:rPr>
        <w:t xml:space="preserve">Today’s Learning Objectives:</w:t>
      </w:r>
    </w:p>
    <w:p>
      <w:pPr>
        <w:pStyle w:val="Compact"/>
        <w:numPr>
          <w:ilvl w:val="0"/>
          <w:numId w:val="1001"/>
        </w:numPr>
      </w:pPr>
      <w:r>
        <w:t xml:space="preserve">Define synthetic biology and its core principles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Understand key engineering approaches in biology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Explore standardization and modularity concepts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Examine commercial applications and market potential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Discuss ethical considerations and future directions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Gemini_Generated_Image_mzd6rsmzd6rsmzd6.jpe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what-is-synthetic-biology"/>
    <w:p>
      <w:pPr>
        <w:pStyle w:val="Heading2"/>
      </w:pPr>
      <w:r>
        <w:t xml:space="preserve">What is Synthetic Biology?</w:t>
      </w:r>
    </w:p>
    <w:p>
      <w:pPr>
        <w:numPr>
          <w:ilvl w:val="0"/>
          <w:numId w:val="1002"/>
        </w:numPr>
      </w:pPr>
      <w:r>
        <w:t xml:space="preserve">Definition: Engineering approach to biology that applies engineering</w:t>
      </w:r>
      <w:r>
        <w:t xml:space="preserve"> </w:t>
      </w:r>
      <w:r>
        <w:t xml:space="preserve">principles to biological systems</w:t>
      </w:r>
    </w:p>
    <w:p>
      <w:pPr>
        <w:numPr>
          <w:ilvl w:val="0"/>
          <w:numId w:val="1002"/>
        </w:numPr>
      </w:pPr>
      <w:r>
        <w:t xml:space="preserve">Goal: Design and construct new biological parts, devices, and</w:t>
      </w:r>
      <w:r>
        <w:t xml:space="preserve"> </w:t>
      </w:r>
      <w:r>
        <w:t xml:space="preserve">systems</w:t>
      </w:r>
    </w:p>
    <w:p>
      <w:pPr>
        <w:numPr>
          <w:ilvl w:val="0"/>
          <w:numId w:val="1002"/>
        </w:numPr>
      </w:pPr>
      <w:r>
        <w:t xml:space="preserve">Approach: Redesign existing natural biological systems for useful</w:t>
      </w:r>
      <w:r>
        <w:t xml:space="preserve"> </w:t>
      </w:r>
      <w:r>
        <w:t xml:space="preserve">purposes</w:t>
      </w:r>
    </w:p>
    <w:p>
      <w:pPr>
        <w:numPr>
          <w:ilvl w:val="0"/>
          <w:numId w:val="1002"/>
        </w:numPr>
      </w:pPr>
      <w:r>
        <w:t xml:space="preserve">Interdisciplinary field: Combines biology, engineering, computer</w:t>
      </w:r>
      <w:r>
        <w:t xml:space="preserve"> </w:t>
      </w:r>
      <w:r>
        <w:t xml:space="preserve">science, and chemistry</w:t>
      </w:r>
    </w:p>
    <w:p>
      <w:pPr>
        <w:numPr>
          <w:ilvl w:val="0"/>
          <w:numId w:val="1002"/>
        </w:numPr>
      </w:pPr>
      <w:r>
        <w:t xml:space="preserve">Bottom-up construction: Building biological systems from</w:t>
      </w:r>
      <w:r>
        <w:t xml:space="preserve"> </w:t>
      </w:r>
      <w:r>
        <w:t xml:space="preserve">well-characterized parts</w:t>
      </w:r>
    </w:p>
    <w:p>
      <w:pPr>
        <w:pStyle w:val="FirstParagraph"/>
      </w:pPr>
      <w:r>
        <w:t xml:space="preserve">Source: Nature Reviews Molecular Cell Biology (2016)</w:t>
      </w:r>
    </w:p>
    <w:bookmarkEnd w:id="24"/>
    <w:bookmarkStart w:id="43" w:name="historical-context-and-key-milestones"/>
    <w:p>
      <w:pPr>
        <w:pStyle w:val="Heading2"/>
      </w:pPr>
      <w:r>
        <w:t xml:space="preserve">Historical Context and Key Milestones</w:t>
      </w:r>
    </w:p>
    <w:p>
      <w:pPr>
        <w:pStyle w:val="FirstParagraph"/>
      </w:pPr>
      <w:r>
        <w:rPr>
          <w:b/>
          <w:bCs/>
        </w:rPr>
        <w:t xml:space="preserve">Key Milestones:</w:t>
      </w:r>
    </w:p>
    <w:p>
      <w:pPr>
        <w:numPr>
          <w:ilvl w:val="0"/>
          <w:numId w:val="1003"/>
        </w:numPr>
      </w:pPr>
      <w:r>
        <w:t xml:space="preserve">1970s: Recombinant DNA technology foundations</w:t>
      </w:r>
    </w:p>
    <w:p>
      <w:pPr>
        <w:numPr>
          <w:ilvl w:val="0"/>
          <w:numId w:val="1003"/>
        </w:numPr>
      </w:pPr>
      <w:r>
        <w:t xml:space="preserve">2000: First synthetic genome (φX174 bacteriophage)</w:t>
      </w:r>
    </w:p>
    <w:p>
      <w:pPr>
        <w:numPr>
          <w:ilvl w:val="0"/>
          <w:numId w:val="1003"/>
        </w:numPr>
      </w:pPr>
      <w:r>
        <w:t xml:space="preserve">2003: BioBricks and standardized parts concept</w:t>
      </w:r>
    </w:p>
    <w:p>
      <w:pPr>
        <w:numPr>
          <w:ilvl w:val="0"/>
          <w:numId w:val="1003"/>
        </w:numPr>
      </w:pPr>
      <w:r>
        <w:t xml:space="preserve">2010: First synthetic bacterial genome (</w:t>
      </w:r>
      <w:r>
        <w:rPr>
          <w:i/>
          <w:iCs/>
        </w:rPr>
        <w:t xml:space="preserve">Mycoplasma mycoides</w:t>
      </w:r>
      <w:r>
        <w:t xml:space="preserve">)</w:t>
      </w:r>
    </w:p>
    <w:p>
      <w:pPr>
        <w:numPr>
          <w:ilvl w:val="0"/>
          <w:numId w:val="1003"/>
        </w:numPr>
      </w:pPr>
      <w:r>
        <w:t xml:space="preserve">2016: Synthetic yeast chromosome project</w:t>
      </w:r>
    </w:p>
    <w:p>
      <w:pPr>
        <w:numPr>
          <w:ilvl w:val="0"/>
          <w:numId w:val="1003"/>
        </w:numPr>
      </w:pPr>
      <w:r>
        <w:t xml:space="preserve">2020s: CRISPR integration and advanced gene circuits</w:t>
      </w:r>
    </w:p>
    <w:p>
      <w:pPr>
        <w:pStyle w:val="FirstParagraph"/>
      </w:pPr>
      <w:r>
        <w:drawing>
          <wp:inline>
            <wp:extent cx="289179" cy="5238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Simple-DNA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6757" cy="523875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hage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7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4622" cy="523875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Blocks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22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8864" cy="5238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Simple-Mycoplasma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4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61723" cy="523875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Simple-Chromosome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3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8540" cy="523875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Gene-circuits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X9a4625c63475eaeb1ac5cdc3fb74f99cf50b386"/>
    <w:p>
      <w:pPr>
        <w:pStyle w:val="Heading2"/>
      </w:pPr>
      <w:r>
        <w:t xml:space="preserve">Core Principle 1: Engineering Design Cycle</w:t>
      </w:r>
    </w:p>
    <w:p>
      <w:pPr>
        <w:pStyle w:val="FirstParagraph"/>
      </w:pPr>
      <w:r>
        <w:rPr>
          <w:b/>
          <w:bCs/>
        </w:rPr>
        <w:t xml:space="preserve">Traditional Engineering Approach:</w:t>
      </w:r>
    </w:p>
    <w:p>
      <w:pPr>
        <w:pStyle w:val="Compact"/>
        <w:numPr>
          <w:ilvl w:val="0"/>
          <w:numId w:val="1004"/>
        </w:numPr>
      </w:pPr>
      <w:r>
        <w:t xml:space="preserve">Design: Specify system requirements</w:t>
      </w:r>
    </w:p>
    <w:p>
      <w:pPr>
        <w:pStyle w:val="Compact"/>
        <w:numPr>
          <w:ilvl w:val="0"/>
          <w:numId w:val="1004"/>
        </w:numPr>
      </w:pPr>
      <w:r>
        <w:t xml:space="preserve">Build: Construct the system</w:t>
      </w:r>
    </w:p>
    <w:p>
      <w:pPr>
        <w:pStyle w:val="Compact"/>
        <w:numPr>
          <w:ilvl w:val="0"/>
          <w:numId w:val="1004"/>
        </w:numPr>
      </w:pPr>
      <w:r>
        <w:t xml:space="preserve">Test: Measure performance</w:t>
      </w:r>
    </w:p>
    <w:p>
      <w:pPr>
        <w:pStyle w:val="Compact"/>
        <w:numPr>
          <w:ilvl w:val="0"/>
          <w:numId w:val="1004"/>
        </w:numPr>
      </w:pPr>
      <w:r>
        <w:t xml:space="preserve">Learn: Analyze results and iterate</w:t>
      </w:r>
    </w:p>
    <w:p>
      <w:pPr>
        <w:pStyle w:val="FirstParagraph"/>
      </w:pPr>
      <w:r>
        <w:rPr>
          <w:b/>
          <w:bCs/>
        </w:rPr>
        <w:t xml:space="preserve">Applied to Biology:</w:t>
      </w:r>
    </w:p>
    <w:p>
      <w:pPr>
        <w:pStyle w:val="Compact"/>
        <w:numPr>
          <w:ilvl w:val="0"/>
          <w:numId w:val="1005"/>
        </w:numPr>
      </w:pPr>
      <w:r>
        <w:t xml:space="preserve">Design: Define biological function</w:t>
      </w:r>
    </w:p>
    <w:p>
      <w:pPr>
        <w:pStyle w:val="Compact"/>
        <w:numPr>
          <w:ilvl w:val="0"/>
          <w:numId w:val="1005"/>
        </w:numPr>
      </w:pPr>
      <w:r>
        <w:t xml:space="preserve">Build: Assemble genetic circuits</w:t>
      </w:r>
    </w:p>
    <w:p>
      <w:pPr>
        <w:pStyle w:val="Compact"/>
        <w:numPr>
          <w:ilvl w:val="0"/>
          <w:numId w:val="1005"/>
        </w:numPr>
      </w:pPr>
      <w:r>
        <w:t xml:space="preserve">Test: Measure biological output</w:t>
      </w:r>
    </w:p>
    <w:p>
      <w:pPr>
        <w:pStyle w:val="Compact"/>
        <w:numPr>
          <w:ilvl w:val="0"/>
          <w:numId w:val="1005"/>
        </w:numPr>
      </w:pPr>
      <w:r>
        <w:t xml:space="preserve">Learn: Optimize and redesign</w:t>
      </w:r>
    </w:p>
    <w:p>
      <w:pPr>
        <w:pStyle w:val="FirstParagraph"/>
      </w:pPr>
      <w:r>
        <w:t xml:space="preserve">Source: Nature Biotechnology (2018)</w:t>
      </w:r>
    </w:p>
    <w:bookmarkEnd w:id="44"/>
    <w:bookmarkStart w:id="45" w:name="core-principle-2-standardization"/>
    <w:p>
      <w:pPr>
        <w:pStyle w:val="Heading2"/>
      </w:pPr>
      <w:r>
        <w:t xml:space="preserve">Core Principle 2: Standardization</w:t>
      </w:r>
    </w:p>
    <w:p>
      <w:pPr>
        <w:pStyle w:val="Compact"/>
        <w:numPr>
          <w:ilvl w:val="0"/>
          <w:numId w:val="1006"/>
        </w:numPr>
      </w:pPr>
      <w:r>
        <w:t xml:space="preserve">BioBricks: Standardized biological parts with defined interfaces</w:t>
      </w:r>
    </w:p>
    <w:p>
      <w:pPr>
        <w:pStyle w:val="Compact"/>
        <w:numPr>
          <w:ilvl w:val="0"/>
          <w:numId w:val="1006"/>
        </w:numPr>
      </w:pPr>
      <w:r>
        <w:t xml:space="preserve">RFC Standards: Request for Comments defining part specifications</w:t>
      </w:r>
    </w:p>
    <w:p>
      <w:pPr>
        <w:pStyle w:val="Compact"/>
        <w:numPr>
          <w:ilvl w:val="0"/>
          <w:numId w:val="1006"/>
        </w:numPr>
      </w:pPr>
      <w:r>
        <w:t xml:space="preserve">Interchangeable components: Parts that work together predictably</w:t>
      </w:r>
    </w:p>
    <w:p>
      <w:pPr>
        <w:pStyle w:val="Compact"/>
        <w:numPr>
          <w:ilvl w:val="0"/>
          <w:numId w:val="1006"/>
        </w:numPr>
      </w:pPr>
      <w:r>
        <w:t xml:space="preserve">Characterization: Quantitative description of part behavior</w:t>
      </w:r>
    </w:p>
    <w:p>
      <w:pPr>
        <w:pStyle w:val="Compact"/>
        <w:numPr>
          <w:ilvl w:val="0"/>
          <w:numId w:val="1006"/>
        </w:numPr>
      </w:pPr>
      <w:r>
        <w:t xml:space="preserve">Registries: Databases of characterized biological parts</w:t>
      </w:r>
    </w:p>
    <w:p>
      <w:pPr>
        <w:pStyle w:val="FirstParagraph"/>
      </w:pPr>
      <w:r>
        <w:t xml:space="preserve">Source: iGEM Foundation, Registry of Standard Biological Parts</w:t>
      </w:r>
    </w:p>
    <w:bookmarkEnd w:id="45"/>
    <w:bookmarkStart w:id="46" w:name="core-principle-3-modularity"/>
    <w:p>
      <w:pPr>
        <w:pStyle w:val="Heading2"/>
      </w:pPr>
      <w:r>
        <w:t xml:space="preserve">Core Principle 3: Modularity</w:t>
      </w:r>
    </w:p>
    <w:p>
      <w:pPr>
        <w:pStyle w:val="FirstParagraph"/>
      </w:pPr>
      <w:r>
        <w:rPr>
          <w:b/>
          <w:bCs/>
        </w:rPr>
        <w:t xml:space="preserve">Hierarchical Organization:</w:t>
      </w:r>
    </w:p>
    <w:p>
      <w:pPr>
        <w:pStyle w:val="Compact"/>
        <w:numPr>
          <w:ilvl w:val="0"/>
          <w:numId w:val="1007"/>
        </w:numPr>
      </w:pPr>
      <w:r>
        <w:t xml:space="preserve">Parts: Basic functional units (promoters, genes, terminators)</w:t>
      </w:r>
    </w:p>
    <w:p>
      <w:pPr>
        <w:pStyle w:val="Compact"/>
        <w:numPr>
          <w:ilvl w:val="0"/>
          <w:numId w:val="1007"/>
        </w:numPr>
      </w:pPr>
      <w:r>
        <w:t xml:space="preserve">Devices: Combinations of parts with specific functions</w:t>
      </w:r>
    </w:p>
    <w:p>
      <w:pPr>
        <w:pStyle w:val="Compact"/>
        <w:numPr>
          <w:ilvl w:val="0"/>
          <w:numId w:val="1007"/>
        </w:numPr>
      </w:pPr>
      <w:r>
        <w:t xml:space="preserve">Systems: Multiple devices working together</w:t>
      </w:r>
    </w:p>
    <w:p>
      <w:pPr>
        <w:pStyle w:val="Compact"/>
        <w:numPr>
          <w:ilvl w:val="0"/>
          <w:numId w:val="1007"/>
        </w:numPr>
      </w:pPr>
      <w:r>
        <w:t xml:space="preserve">Chassis: Host organisms containing the systems</w:t>
      </w:r>
    </w:p>
    <w:p>
      <w:pPr>
        <w:pStyle w:val="FirstParagraph"/>
      </w:pPr>
      <w:r>
        <w:t xml:space="preserve">AI-generated modular system diagram</w:t>
      </w:r>
    </w:p>
    <w:bookmarkEnd w:id="46"/>
    <w:bookmarkStart w:id="47" w:name="core-principle-4-abstraction"/>
    <w:p>
      <w:pPr>
        <w:pStyle w:val="Heading2"/>
      </w:pPr>
      <w:r>
        <w:t xml:space="preserve">Core Principle 4: Abstraction</w:t>
      </w:r>
    </w:p>
    <w:p>
      <w:pPr>
        <w:pStyle w:val="Compact"/>
        <w:numPr>
          <w:ilvl w:val="0"/>
          <w:numId w:val="1008"/>
        </w:numPr>
      </w:pPr>
      <w:r>
        <w:t xml:space="preserve">Physical Layer: DNA sequences, proteins, metabolites</w:t>
      </w:r>
    </w:p>
    <w:p>
      <w:pPr>
        <w:pStyle w:val="Compact"/>
        <w:numPr>
          <w:ilvl w:val="0"/>
          <w:numId w:val="1008"/>
        </w:numPr>
      </w:pPr>
      <w:r>
        <w:t xml:space="preserve">Device Layer: Functional units (sensors, actuators, logic gates)</w:t>
      </w:r>
    </w:p>
    <w:p>
      <w:pPr>
        <w:pStyle w:val="Compact"/>
        <w:numPr>
          <w:ilvl w:val="0"/>
          <w:numId w:val="1008"/>
        </w:numPr>
      </w:pPr>
      <w:r>
        <w:t xml:space="preserve">System Layer: Complete biological programs</w:t>
      </w:r>
    </w:p>
    <w:p>
      <w:pPr>
        <w:pStyle w:val="Compact"/>
        <w:numPr>
          <w:ilvl w:val="0"/>
          <w:numId w:val="1008"/>
        </w:numPr>
      </w:pPr>
      <w:r>
        <w:t xml:space="preserve">Application Layer: Real-world functions and purposes</w:t>
      </w:r>
    </w:p>
    <w:p>
      <w:pPr>
        <w:pStyle w:val="Compact"/>
        <w:numPr>
          <w:ilvl w:val="0"/>
          <w:numId w:val="1008"/>
        </w:numPr>
      </w:pPr>
      <w:r>
        <w:t xml:space="preserve">Benefit: Enables specialists to work at different levels without</w:t>
      </w:r>
      <w:r>
        <w:t xml:space="preserve"> </w:t>
      </w:r>
      <w:r>
        <w:t xml:space="preserve">understanding all details</w:t>
      </w:r>
    </w:p>
    <w:p>
      <w:pPr>
        <w:pStyle w:val="FirstParagraph"/>
      </w:pPr>
      <w:r>
        <w:t xml:space="preserve">Source: Molecular Systems Biology (2017)</w:t>
      </w:r>
    </w:p>
    <w:bookmarkEnd w:id="47"/>
    <w:bookmarkStart w:id="48" w:name="genetic-circuits-and-logic-gates"/>
    <w:p>
      <w:pPr>
        <w:pStyle w:val="Heading2"/>
      </w:pPr>
      <w:r>
        <w:t xml:space="preserve">Genetic Circuits and Logic Gates</w:t>
      </w:r>
    </w:p>
    <w:p>
      <w:pPr>
        <w:pStyle w:val="FirstParagraph"/>
      </w:pPr>
      <w:r>
        <w:rPr>
          <w:b/>
          <w:bCs/>
        </w:rPr>
        <w:t xml:space="preserve">Boolean Logic in Biology:</w:t>
      </w:r>
    </w:p>
    <w:p>
      <w:pPr>
        <w:pStyle w:val="Compact"/>
        <w:numPr>
          <w:ilvl w:val="0"/>
          <w:numId w:val="1009"/>
        </w:numPr>
      </w:pPr>
      <w:r>
        <w:t xml:space="preserve">AND gates: Multiple inputs required</w:t>
      </w:r>
    </w:p>
    <w:p>
      <w:pPr>
        <w:pStyle w:val="Compact"/>
        <w:numPr>
          <w:ilvl w:val="0"/>
          <w:numId w:val="1009"/>
        </w:numPr>
      </w:pPr>
      <w:r>
        <w:t xml:space="preserve">OR gates: Any input sufficient</w:t>
      </w:r>
    </w:p>
    <w:p>
      <w:pPr>
        <w:pStyle w:val="Compact"/>
        <w:numPr>
          <w:ilvl w:val="0"/>
          <w:numId w:val="1009"/>
        </w:numPr>
      </w:pPr>
      <w:r>
        <w:t xml:space="preserve">NOT gates: Inverter circuits</w:t>
      </w:r>
    </w:p>
    <w:p>
      <w:pPr>
        <w:pStyle w:val="Compact"/>
        <w:numPr>
          <w:ilvl w:val="0"/>
          <w:numId w:val="1009"/>
        </w:numPr>
      </w:pPr>
      <w:r>
        <w:t xml:space="preserve">Toggle switches: Bistable systems</w:t>
      </w:r>
    </w:p>
    <w:p>
      <w:pPr>
        <w:pStyle w:val="Compact"/>
        <w:numPr>
          <w:ilvl w:val="0"/>
          <w:numId w:val="1009"/>
        </w:numPr>
      </w:pPr>
      <w:r>
        <w:t xml:space="preserve">Oscillators: Periodic behavior</w:t>
      </w:r>
    </w:p>
    <w:p>
      <w:pPr>
        <w:pStyle w:val="FirstParagraph"/>
      </w:pPr>
      <w:r>
        <w:rPr>
          <w:b/>
          <w:bCs/>
        </w:rPr>
        <w:t xml:space="preserve">Applications:</w:t>
      </w:r>
    </w:p>
    <w:p>
      <w:pPr>
        <w:pStyle w:val="Compact"/>
        <w:numPr>
          <w:ilvl w:val="0"/>
          <w:numId w:val="1010"/>
        </w:numPr>
      </w:pPr>
      <w:r>
        <w:t xml:space="preserve">Biosensors for environmental monitoring</w:t>
      </w:r>
    </w:p>
    <w:p>
      <w:pPr>
        <w:pStyle w:val="Compact"/>
        <w:numPr>
          <w:ilvl w:val="0"/>
          <w:numId w:val="1010"/>
        </w:numPr>
      </w:pPr>
      <w:r>
        <w:t xml:space="preserve">Therapeutic circuits in medicine</w:t>
      </w:r>
    </w:p>
    <w:p>
      <w:pPr>
        <w:pStyle w:val="Compact"/>
        <w:numPr>
          <w:ilvl w:val="0"/>
          <w:numId w:val="1010"/>
        </w:numPr>
      </w:pPr>
      <w:r>
        <w:t xml:space="preserve">Metabolic pathway control</w:t>
      </w:r>
    </w:p>
    <w:p>
      <w:pPr>
        <w:pStyle w:val="Compact"/>
        <w:numPr>
          <w:ilvl w:val="0"/>
          <w:numId w:val="1010"/>
        </w:numPr>
      </w:pPr>
      <w:r>
        <w:t xml:space="preserve">Cell fate determination</w:t>
      </w:r>
    </w:p>
    <w:p>
      <w:pPr>
        <w:pStyle w:val="FirstParagraph"/>
      </w:pPr>
      <w:r>
        <w:t xml:space="preserve">Source: Science (2013) - Genetic logic circuits</w:t>
      </w:r>
    </w:p>
    <w:bookmarkEnd w:id="48"/>
    <w:bookmarkStart w:id="49" w:name="chassis-organisms"/>
    <w:p>
      <w:pPr>
        <w:pStyle w:val="Heading2"/>
      </w:pPr>
      <w:r>
        <w:t xml:space="preserve">Chassis Organisms</w:t>
      </w:r>
    </w:p>
    <w:p>
      <w:pPr>
        <w:pStyle w:val="Compact"/>
        <w:numPr>
          <w:ilvl w:val="0"/>
          <w:numId w:val="1011"/>
        </w:numPr>
      </w:pPr>
      <w:r>
        <w:t xml:space="preserve">Escherichia coli: Most common, well-characterized, fast growth</w:t>
      </w:r>
    </w:p>
    <w:p>
      <w:pPr>
        <w:pStyle w:val="Compact"/>
        <w:numPr>
          <w:ilvl w:val="0"/>
          <w:numId w:val="1011"/>
        </w:numPr>
      </w:pPr>
      <w:r>
        <w:t xml:space="preserve">Saccharomyces cerevisiae: Eukaryotic system, post-translational</w:t>
      </w:r>
      <w:r>
        <w:t xml:space="preserve"> </w:t>
      </w:r>
      <w:r>
        <w:t xml:space="preserve">modifications</w:t>
      </w:r>
    </w:p>
    <w:p>
      <w:pPr>
        <w:pStyle w:val="Compact"/>
        <w:numPr>
          <w:ilvl w:val="0"/>
          <w:numId w:val="1011"/>
        </w:numPr>
      </w:pPr>
      <w:r>
        <w:t xml:space="preserve">Bacillus subtilis: Gram-positive, protein secretion capabilities</w:t>
      </w:r>
    </w:p>
    <w:p>
      <w:pPr>
        <w:pStyle w:val="Compact"/>
        <w:numPr>
          <w:ilvl w:val="0"/>
          <w:numId w:val="1011"/>
        </w:numPr>
      </w:pPr>
      <w:r>
        <w:t xml:space="preserve">Pichia pastoris: High protein expression levels</w:t>
      </w:r>
    </w:p>
    <w:p>
      <w:pPr>
        <w:pStyle w:val="Compact"/>
        <w:numPr>
          <w:ilvl w:val="0"/>
          <w:numId w:val="1011"/>
        </w:numPr>
      </w:pPr>
      <w:r>
        <w:t xml:space="preserve">Mammalian cells: Complex protein folding, human-compatible</w:t>
      </w:r>
    </w:p>
    <w:p>
      <w:pPr>
        <w:pStyle w:val="Compact"/>
        <w:numPr>
          <w:ilvl w:val="0"/>
          <w:numId w:val="1011"/>
        </w:numPr>
      </w:pPr>
      <w:r>
        <w:t xml:space="preserve">Minimal cells: Reduced genomes for predictable behavior</w:t>
      </w:r>
    </w:p>
    <w:p>
      <w:pPr>
        <w:pStyle w:val="FirstParagraph"/>
      </w:pPr>
      <w:r>
        <w:t xml:space="preserve">AI-generated comparison of different chassis organisms</w:t>
      </w:r>
    </w:p>
    <w:bookmarkEnd w:id="49"/>
    <w:bookmarkStart w:id="50" w:name="synthetic-biology-toolbox"/>
    <w:p>
      <w:pPr>
        <w:pStyle w:val="Heading2"/>
      </w:pPr>
      <w:r>
        <w:t xml:space="preserve">Synthetic Biology Toolbox</w:t>
      </w:r>
    </w:p>
    <w:p>
      <w:pPr>
        <w:pStyle w:val="FirstParagraph"/>
      </w:pPr>
      <w:r>
        <w:rPr>
          <w:b/>
          <w:bCs/>
        </w:rPr>
        <w:t xml:space="preserve">DNA Assembly Methods:</w:t>
      </w:r>
    </w:p>
    <w:p>
      <w:pPr>
        <w:pStyle w:val="Compact"/>
        <w:numPr>
          <w:ilvl w:val="0"/>
          <w:numId w:val="1012"/>
        </w:numPr>
      </w:pPr>
      <w:r>
        <w:t xml:space="preserve">BioBrick assembly</w:t>
      </w:r>
    </w:p>
    <w:p>
      <w:pPr>
        <w:pStyle w:val="Compact"/>
        <w:numPr>
          <w:ilvl w:val="0"/>
          <w:numId w:val="1012"/>
        </w:numPr>
      </w:pPr>
      <w:r>
        <w:t xml:space="preserve">Gibson assembly</w:t>
      </w:r>
    </w:p>
    <w:p>
      <w:pPr>
        <w:pStyle w:val="Compact"/>
        <w:numPr>
          <w:ilvl w:val="0"/>
          <w:numId w:val="1012"/>
        </w:numPr>
      </w:pPr>
      <w:r>
        <w:t xml:space="preserve">Golden Gate assembly</w:t>
      </w:r>
    </w:p>
    <w:p>
      <w:pPr>
        <w:pStyle w:val="Compact"/>
        <w:numPr>
          <w:ilvl w:val="0"/>
          <w:numId w:val="1012"/>
        </w:numPr>
      </w:pPr>
      <w:r>
        <w:t xml:space="preserve">SLIC (Sequence and Ligation Independent Cloning)</w:t>
      </w:r>
    </w:p>
    <w:p>
      <w:pPr>
        <w:pStyle w:val="Compact"/>
        <w:numPr>
          <w:ilvl w:val="0"/>
          <w:numId w:val="1012"/>
        </w:numPr>
      </w:pPr>
      <w:r>
        <w:t xml:space="preserve">CPEC (Circular Polymerase Extension Cloning)</w:t>
      </w:r>
    </w:p>
    <w:p>
      <w:pPr>
        <w:pStyle w:val="FirstParagraph"/>
      </w:pPr>
      <w:r>
        <w:rPr>
          <w:b/>
          <w:bCs/>
        </w:rPr>
        <w:t xml:space="preserve">Characterization Tools:</w:t>
      </w:r>
    </w:p>
    <w:p>
      <w:pPr>
        <w:pStyle w:val="Compact"/>
        <w:numPr>
          <w:ilvl w:val="0"/>
          <w:numId w:val="1013"/>
        </w:numPr>
      </w:pPr>
      <w:r>
        <w:t xml:space="preserve">Flow cytometry</w:t>
      </w:r>
    </w:p>
    <w:p>
      <w:pPr>
        <w:pStyle w:val="Compact"/>
        <w:numPr>
          <w:ilvl w:val="0"/>
          <w:numId w:val="1013"/>
        </w:numPr>
      </w:pPr>
      <w:r>
        <w:t xml:space="preserve">Fluorescence microscopy</w:t>
      </w:r>
    </w:p>
    <w:p>
      <w:pPr>
        <w:pStyle w:val="Compact"/>
        <w:numPr>
          <w:ilvl w:val="0"/>
          <w:numId w:val="1013"/>
        </w:numPr>
      </w:pPr>
      <w:r>
        <w:t xml:space="preserve">RNA sequencing</w:t>
      </w:r>
    </w:p>
    <w:p>
      <w:pPr>
        <w:pStyle w:val="Compact"/>
        <w:numPr>
          <w:ilvl w:val="0"/>
          <w:numId w:val="1013"/>
        </w:numPr>
      </w:pPr>
      <w:r>
        <w:t xml:space="preserve">Proteomics</w:t>
      </w:r>
    </w:p>
    <w:p>
      <w:pPr>
        <w:pStyle w:val="Compact"/>
        <w:numPr>
          <w:ilvl w:val="0"/>
          <w:numId w:val="1013"/>
        </w:numPr>
      </w:pPr>
      <w:r>
        <w:t xml:space="preserve">Metabolomics</w:t>
      </w:r>
    </w:p>
    <w:p>
      <w:pPr>
        <w:pStyle w:val="FirstParagraph"/>
      </w:pPr>
      <w:r>
        <w:t xml:space="preserve">Source: Nature Methods (2019)</w:t>
      </w:r>
    </w:p>
    <w:bookmarkEnd w:id="50"/>
    <w:bookmarkStart w:id="51" w:name="crispr-integration-in-synthetic-biology"/>
    <w:p>
      <w:pPr>
        <w:pStyle w:val="Heading2"/>
      </w:pPr>
      <w:r>
        <w:t xml:space="preserve">CRISPR Integration in Synthetic Biology</w:t>
      </w:r>
    </w:p>
    <w:p>
      <w:pPr>
        <w:pStyle w:val="Compact"/>
        <w:numPr>
          <w:ilvl w:val="0"/>
          <w:numId w:val="1014"/>
        </w:numPr>
      </w:pPr>
      <w:r>
        <w:t xml:space="preserve">Programmable gene editing: Precise DNA modifications</w:t>
      </w:r>
    </w:p>
    <w:p>
      <w:pPr>
        <w:pStyle w:val="Compact"/>
        <w:numPr>
          <w:ilvl w:val="0"/>
          <w:numId w:val="1014"/>
        </w:numPr>
      </w:pPr>
      <w:r>
        <w:t xml:space="preserve">CRISPRa/CRISPRi: Activation and interference systems -Base editing:</w:t>
      </w:r>
      <w:r>
        <w:t xml:space="preserve"> </w:t>
      </w:r>
      <w:r>
        <w:t xml:space="preserve">Single nucleotide changes without double-strand breaks</w:t>
      </w:r>
    </w:p>
    <w:p>
      <w:pPr>
        <w:pStyle w:val="Compact"/>
        <w:numPr>
          <w:ilvl w:val="0"/>
          <w:numId w:val="1014"/>
        </w:numPr>
      </w:pPr>
      <w:r>
        <w:t xml:space="preserve">Prime editing: Precise insertions, deletions, and substitutions</w:t>
      </w:r>
    </w:p>
    <w:p>
      <w:pPr>
        <w:pStyle w:val="Compact"/>
        <w:numPr>
          <w:ilvl w:val="0"/>
          <w:numId w:val="1014"/>
        </w:numPr>
      </w:pPr>
      <w:r>
        <w:t xml:space="preserve">Multiplexed editing: Simultaneous modification of multiple targets</w:t>
      </w:r>
    </w:p>
    <w:p>
      <w:pPr>
        <w:pStyle w:val="FirstParagraph"/>
      </w:pPr>
      <w:r>
        <w:t xml:space="preserve">Source: Nature Reviews Genetics (2020)</w:t>
      </w:r>
    </w:p>
    <w:bookmarkEnd w:id="51"/>
    <w:bookmarkStart w:id="52" w:name="metabolic-engineering-principles"/>
    <w:p>
      <w:pPr>
        <w:pStyle w:val="Heading2"/>
      </w:pPr>
      <w:r>
        <w:t xml:space="preserve">Metabolic Engineering Principles</w:t>
      </w:r>
    </w:p>
    <w:p>
      <w:pPr>
        <w:pStyle w:val="FirstParagraph"/>
      </w:pPr>
      <w:r>
        <w:rPr>
          <w:b/>
          <w:bCs/>
        </w:rPr>
        <w:t xml:space="preserve">Pathway Design Strategies:</w:t>
      </w:r>
    </w:p>
    <w:p>
      <w:pPr>
        <w:pStyle w:val="Compact"/>
        <w:numPr>
          <w:ilvl w:val="0"/>
          <w:numId w:val="1015"/>
        </w:numPr>
      </w:pPr>
      <w:r>
        <w:t xml:space="preserve">Heterologous pathway expression: Introducing foreign pathways</w:t>
      </w:r>
    </w:p>
    <w:p>
      <w:pPr>
        <w:pStyle w:val="Compact"/>
        <w:numPr>
          <w:ilvl w:val="0"/>
          <w:numId w:val="1015"/>
        </w:numPr>
      </w:pPr>
      <w:r>
        <w:t xml:space="preserve">Pathway optimization: Balancing enzyme levels</w:t>
      </w:r>
    </w:p>
    <w:p>
      <w:pPr>
        <w:pStyle w:val="Compact"/>
        <w:numPr>
          <w:ilvl w:val="0"/>
          <w:numId w:val="1015"/>
        </w:numPr>
      </w:pPr>
      <w:r>
        <w:t xml:space="preserve">Cofactor engineering: Managing cellular resources</w:t>
      </w:r>
    </w:p>
    <w:p>
      <w:pPr>
        <w:pStyle w:val="Compact"/>
        <w:numPr>
          <w:ilvl w:val="0"/>
          <w:numId w:val="1015"/>
        </w:numPr>
      </w:pPr>
      <w:r>
        <w:t xml:space="preserve">Compartmentalization: Organizing reactions spatially</w:t>
      </w:r>
    </w:p>
    <w:p>
      <w:pPr>
        <w:pStyle w:val="Compact"/>
        <w:numPr>
          <w:ilvl w:val="0"/>
          <w:numId w:val="1015"/>
        </w:numPr>
      </w:pPr>
      <w:r>
        <w:t xml:space="preserve">Dynamic regulation: Responsive pathway control</w:t>
      </w:r>
    </w:p>
    <w:p>
      <w:pPr>
        <w:pStyle w:val="FirstParagraph"/>
      </w:pPr>
      <w:r>
        <w:t xml:space="preserve">AI-generated metabolic pathway diagram</w:t>
      </w:r>
    </w:p>
    <w:bookmarkEnd w:id="52"/>
    <w:bookmarkStart w:id="53" w:name="protein-design-and-engineering"/>
    <w:p>
      <w:pPr>
        <w:pStyle w:val="Heading2"/>
      </w:pPr>
      <w:r>
        <w:t xml:space="preserve">Protein Design and Engineering</w:t>
      </w:r>
    </w:p>
    <w:p>
      <w:pPr>
        <w:pStyle w:val="Compact"/>
        <w:numPr>
          <w:ilvl w:val="0"/>
          <w:numId w:val="1016"/>
        </w:numPr>
      </w:pPr>
      <w:r>
        <w:t xml:space="preserve">Directed evolution: Laboratory-based protein evolution</w:t>
      </w:r>
    </w:p>
    <w:p>
      <w:pPr>
        <w:pStyle w:val="Compact"/>
        <w:numPr>
          <w:ilvl w:val="0"/>
          <w:numId w:val="1016"/>
        </w:numPr>
      </w:pPr>
      <w:r>
        <w:t xml:space="preserve">Rational design: Structure-based protein modification</w:t>
      </w:r>
    </w:p>
    <w:p>
      <w:pPr>
        <w:pStyle w:val="Compact"/>
        <w:numPr>
          <w:ilvl w:val="0"/>
          <w:numId w:val="1016"/>
        </w:numPr>
      </w:pPr>
      <w:r>
        <w:t xml:space="preserve">De novo design: Creating proteins from scratch</w:t>
      </w:r>
    </w:p>
    <w:p>
      <w:pPr>
        <w:pStyle w:val="Compact"/>
        <w:numPr>
          <w:ilvl w:val="0"/>
          <w:numId w:val="1016"/>
        </w:numPr>
      </w:pPr>
      <w:r>
        <w:t xml:space="preserve">Protein-protein interactions: Engineering binding specificity</w:t>
      </w:r>
    </w:p>
    <w:p>
      <w:pPr>
        <w:pStyle w:val="Compact"/>
        <w:numPr>
          <w:ilvl w:val="0"/>
          <w:numId w:val="1016"/>
        </w:numPr>
      </w:pPr>
      <w:r>
        <w:t xml:space="preserve">Allosteric regulation: Designing responsive proteins</w:t>
      </w:r>
    </w:p>
    <w:p>
      <w:pPr>
        <w:pStyle w:val="FirstParagraph"/>
      </w:pPr>
      <w:r>
        <w:t xml:space="preserve">Source: Nature Chemical Biology (2018)</w:t>
      </w:r>
    </w:p>
    <w:bookmarkEnd w:id="53"/>
    <w:bookmarkStart w:id="54" w:name="biosafety-and-containment"/>
    <w:p>
      <w:pPr>
        <w:pStyle w:val="Heading2"/>
      </w:pPr>
      <w:r>
        <w:t xml:space="preserve">Biosafety and Containment</w:t>
      </w:r>
    </w:p>
    <w:p>
      <w:pPr>
        <w:pStyle w:val="FirstParagraph"/>
      </w:pPr>
      <w:r>
        <w:rPr>
          <w:b/>
          <w:bCs/>
        </w:rPr>
        <w:t xml:space="preserve">Physical Containment:</w:t>
      </w:r>
    </w:p>
    <w:p>
      <w:pPr>
        <w:numPr>
          <w:ilvl w:val="0"/>
          <w:numId w:val="1017"/>
        </w:numPr>
      </w:pPr>
      <w:r>
        <w:t xml:space="preserve">Laboratory biosafety levels</w:t>
      </w:r>
    </w:p>
    <w:p>
      <w:pPr>
        <w:numPr>
          <w:ilvl w:val="0"/>
          <w:numId w:val="1017"/>
        </w:numPr>
      </w:pPr>
      <w:r>
        <w:t xml:space="preserve">Specialized equipment and facilities</w:t>
      </w:r>
    </w:p>
    <w:p>
      <w:pPr>
        <w:numPr>
          <w:ilvl w:val="0"/>
          <w:numId w:val="1017"/>
        </w:numPr>
      </w:pPr>
      <w:r>
        <w:t xml:space="preserve">Training and protocols</w:t>
      </w:r>
    </w:p>
    <w:p>
      <w:pPr>
        <w:numPr>
          <w:ilvl w:val="0"/>
          <w:numId w:val="1017"/>
        </w:numPr>
      </w:pPr>
      <w:r>
        <w:t xml:space="preserve">Waste management procedures</w:t>
      </w:r>
    </w:p>
    <w:p>
      <w:pPr>
        <w:pStyle w:val="FirstParagraph"/>
      </w:pPr>
      <w:r>
        <w:rPr>
          <w:b/>
          <w:bCs/>
        </w:rPr>
        <w:t xml:space="preserve">Biological Containment:</w:t>
      </w:r>
    </w:p>
    <w:p>
      <w:pPr>
        <w:pStyle w:val="Compact"/>
        <w:numPr>
          <w:ilvl w:val="0"/>
          <w:numId w:val="1018"/>
        </w:numPr>
      </w:pPr>
      <w:r>
        <w:t xml:space="preserve">Auxotrophic strains (nutrient dependencies)</w:t>
      </w:r>
    </w:p>
    <w:p>
      <w:pPr>
        <w:pStyle w:val="Compact"/>
        <w:numPr>
          <w:ilvl w:val="0"/>
          <w:numId w:val="1018"/>
        </w:numPr>
      </w:pPr>
      <w:r>
        <w:t xml:space="preserve">Kill switches and terminator genes</w:t>
      </w:r>
    </w:p>
    <w:p>
      <w:pPr>
        <w:pStyle w:val="Compact"/>
        <w:numPr>
          <w:ilvl w:val="0"/>
          <w:numId w:val="1018"/>
        </w:numPr>
      </w:pPr>
      <w:r>
        <w:t xml:space="preserve">Orthogonal biological systems</w:t>
      </w:r>
    </w:p>
    <w:p>
      <w:pPr>
        <w:pStyle w:val="Compact"/>
        <w:numPr>
          <w:ilvl w:val="0"/>
          <w:numId w:val="1018"/>
        </w:numPr>
      </w:pPr>
      <w:r>
        <w:t xml:space="preserve">Genetic firewalls</w:t>
      </w:r>
    </w:p>
    <w:p>
      <w:pPr>
        <w:pStyle w:val="FirstParagraph"/>
      </w:pPr>
      <w:r>
        <w:t xml:space="preserve">AI-generated biosafety illustration</w:t>
      </w:r>
    </w:p>
    <w:bookmarkEnd w:id="54"/>
    <w:bookmarkStart w:id="55" w:name="commercial-example-1-ginkgo-bioworks"/>
    <w:p>
      <w:pPr>
        <w:pStyle w:val="Heading2"/>
      </w:pPr>
      <w:r>
        <w:t xml:space="preserve">Commercial Example 1: Ginkgo Bioworks</w:t>
      </w:r>
    </w:p>
    <w:p>
      <w:pPr>
        <w:pStyle w:val="FirstParagraph"/>
      </w:pPr>
      <w:r>
        <w:rPr>
          <w:b/>
          <w:bCs/>
        </w:rPr>
        <w:t xml:space="preserve">Business Model:</w:t>
      </w:r>
    </w:p>
    <w:p>
      <w:pPr>
        <w:pStyle w:val="Compact"/>
        <w:numPr>
          <w:ilvl w:val="0"/>
          <w:numId w:val="1019"/>
        </w:numPr>
      </w:pPr>
      <w:r>
        <w:t xml:space="preserve">“</w:t>
      </w:r>
      <w:r>
        <w:t xml:space="preserve">Organism company</w:t>
      </w:r>
      <w:r>
        <w:t xml:space="preserve">”</w:t>
      </w:r>
      <w:r>
        <w:t xml:space="preserve"> </w:t>
      </w:r>
      <w:r>
        <w:t xml:space="preserve">- designs custom microbes</w:t>
      </w:r>
    </w:p>
    <w:p>
      <w:pPr>
        <w:pStyle w:val="Compact"/>
        <w:numPr>
          <w:ilvl w:val="0"/>
          <w:numId w:val="1019"/>
        </w:numPr>
      </w:pPr>
      <w:r>
        <w:t xml:space="preserve">Automated strain engineering platform</w:t>
      </w:r>
    </w:p>
    <w:p>
      <w:pPr>
        <w:pStyle w:val="Compact"/>
        <w:numPr>
          <w:ilvl w:val="0"/>
          <w:numId w:val="1019"/>
        </w:numPr>
      </w:pPr>
      <w:r>
        <w:t xml:space="preserve">Applications in pharmaceuticals, agriculture, food</w:t>
      </w:r>
    </w:p>
    <w:p>
      <w:pPr>
        <w:pStyle w:val="Compact"/>
        <w:numPr>
          <w:ilvl w:val="0"/>
          <w:numId w:val="1019"/>
        </w:numPr>
      </w:pPr>
      <w:r>
        <w:t xml:space="preserve">Partnerships with major corporations</w:t>
      </w:r>
    </w:p>
    <w:p>
      <w:pPr>
        <w:pStyle w:val="Compact"/>
        <w:numPr>
          <w:ilvl w:val="0"/>
          <w:numId w:val="1019"/>
        </w:numPr>
      </w:pPr>
      <w:r>
        <w:t xml:space="preserve">Valuation: $15+ billion (2021)</w:t>
      </w:r>
    </w:p>
    <w:p>
      <w:pPr>
        <w:pStyle w:val="FirstParagraph"/>
      </w:pPr>
      <w:r>
        <w:rPr>
          <w:b/>
          <w:bCs/>
        </w:rPr>
        <w:t xml:space="preserve">Key Technologies:</w:t>
      </w:r>
    </w:p>
    <w:p>
      <w:pPr>
        <w:pStyle w:val="Compact"/>
        <w:numPr>
          <w:ilvl w:val="0"/>
          <w:numId w:val="1020"/>
        </w:numPr>
      </w:pPr>
      <w:r>
        <w:t xml:space="preserve">High-throughput DNA assembly</w:t>
      </w:r>
    </w:p>
    <w:p>
      <w:pPr>
        <w:pStyle w:val="Compact"/>
        <w:numPr>
          <w:ilvl w:val="0"/>
          <w:numId w:val="1020"/>
        </w:numPr>
      </w:pPr>
      <w:r>
        <w:t xml:space="preserve">Automated testing and optimization</w:t>
      </w:r>
    </w:p>
    <w:p>
      <w:pPr>
        <w:pStyle w:val="Compact"/>
        <w:numPr>
          <w:ilvl w:val="0"/>
          <w:numId w:val="1020"/>
        </w:numPr>
      </w:pPr>
      <w:r>
        <w:t xml:space="preserve">Machine learning for design</w:t>
      </w:r>
    </w:p>
    <w:p>
      <w:pPr>
        <w:pStyle w:val="Compact"/>
        <w:numPr>
          <w:ilvl w:val="0"/>
          <w:numId w:val="1020"/>
        </w:numPr>
      </w:pPr>
      <w:r>
        <w:t xml:space="preserve">Standardized biological parts</w:t>
      </w:r>
    </w:p>
    <w:p>
      <w:pPr>
        <w:pStyle w:val="FirstParagraph"/>
      </w:pPr>
      <w:r>
        <w:t xml:space="preserve">Source: Ginkgo Bioworks company materials</w:t>
      </w:r>
    </w:p>
    <w:bookmarkEnd w:id="55"/>
    <w:bookmarkStart w:id="56" w:name="Xe59764ee84bcb77f3591d2c6a6ba0ff33111281"/>
    <w:p>
      <w:pPr>
        <w:pStyle w:val="Heading2"/>
      </w:pPr>
      <w:r>
        <w:t xml:space="preserve">Commercial Example 2: Synthetic Spider Silk</w:t>
      </w:r>
    </w:p>
    <w:p>
      <w:pPr>
        <w:pStyle w:val="Compact"/>
        <w:numPr>
          <w:ilvl w:val="0"/>
          <w:numId w:val="1021"/>
        </w:numPr>
      </w:pPr>
      <w:r>
        <w:t xml:space="preserve">Companies: Bolt Threads, Spiber, Modern Meadow</w:t>
      </w:r>
    </w:p>
    <w:p>
      <w:pPr>
        <w:pStyle w:val="Compact"/>
        <w:numPr>
          <w:ilvl w:val="0"/>
          <w:numId w:val="1021"/>
        </w:numPr>
      </w:pPr>
      <w:r>
        <w:t xml:space="preserve">Product: Recombinant spider silk proteins in microorganisms</w:t>
      </w:r>
    </w:p>
    <w:p>
      <w:pPr>
        <w:pStyle w:val="Compact"/>
        <w:numPr>
          <w:ilvl w:val="0"/>
          <w:numId w:val="1021"/>
        </w:numPr>
      </w:pPr>
      <w:r>
        <w:t xml:space="preserve">Properties: Stronger than steel, biodegradable, lightweight</w:t>
      </w:r>
    </w:p>
    <w:p>
      <w:pPr>
        <w:pStyle w:val="Compact"/>
        <w:numPr>
          <w:ilvl w:val="0"/>
          <w:numId w:val="1021"/>
        </w:numPr>
      </w:pPr>
      <w:r>
        <w:t xml:space="preserve">Applications: Textiles, medical devices, protective equipment</w:t>
      </w:r>
    </w:p>
    <w:p>
      <w:pPr>
        <w:pStyle w:val="Compact"/>
        <w:numPr>
          <w:ilvl w:val="0"/>
          <w:numId w:val="1021"/>
        </w:numPr>
      </w:pPr>
      <w:r>
        <w:t xml:space="preserve">Market potential: $1.3 billion by 2027</w:t>
      </w:r>
    </w:p>
    <w:p>
      <w:pPr>
        <w:pStyle w:val="FirstParagraph"/>
      </w:pPr>
      <w:r>
        <w:t xml:space="preserve">Source: Nature Materials (2019)</w:t>
      </w:r>
    </w:p>
    <w:bookmarkEnd w:id="56"/>
    <w:bookmarkStart w:id="57" w:name="X24ea7d6005a4edae08a363e757ad3bc95ca4fb5"/>
    <w:p>
      <w:pPr>
        <w:pStyle w:val="Heading2"/>
      </w:pPr>
      <w:r>
        <w:t xml:space="preserve">Commercial Example 3: Biofuels and Chemicals</w:t>
      </w:r>
    </w:p>
    <w:p>
      <w:pPr>
        <w:pStyle w:val="FirstParagraph"/>
      </w:pPr>
      <w:r>
        <w:rPr>
          <w:b/>
          <w:bCs/>
        </w:rPr>
        <w:t xml:space="preserve">Zymergen (acquired by Ginkgo):</w:t>
      </w:r>
    </w:p>
    <w:p>
      <w:pPr>
        <w:pStyle w:val="Compact"/>
        <w:numPr>
          <w:ilvl w:val="0"/>
          <w:numId w:val="1022"/>
        </w:numPr>
      </w:pPr>
      <w:r>
        <w:t xml:space="preserve">Microbial strain optimization</w:t>
      </w:r>
    </w:p>
    <w:p>
      <w:pPr>
        <w:pStyle w:val="Compact"/>
        <w:numPr>
          <w:ilvl w:val="0"/>
          <w:numId w:val="1022"/>
        </w:numPr>
      </w:pPr>
      <w:r>
        <w:t xml:space="preserve">Machine learning-guided engineering</w:t>
      </w:r>
    </w:p>
    <w:p>
      <w:pPr>
        <w:pStyle w:val="Compact"/>
        <w:numPr>
          <w:ilvl w:val="0"/>
          <w:numId w:val="1022"/>
        </w:numPr>
      </w:pPr>
      <w:r>
        <w:t xml:space="preserve">Focus on specialty chemicals</w:t>
      </w:r>
    </w:p>
    <w:p>
      <w:pPr>
        <w:pStyle w:val="FirstParagraph"/>
      </w:pPr>
      <w:r>
        <w:rPr>
          <w:b/>
          <w:bCs/>
        </w:rPr>
        <w:t xml:space="preserve">Amyris:</w:t>
      </w:r>
    </w:p>
    <w:p>
      <w:pPr>
        <w:pStyle w:val="Compact"/>
        <w:numPr>
          <w:ilvl w:val="0"/>
          <w:numId w:val="1023"/>
        </w:numPr>
      </w:pPr>
      <w:r>
        <w:t xml:space="preserve">Synthetic artemisinin production</w:t>
      </w:r>
    </w:p>
    <w:p>
      <w:pPr>
        <w:pStyle w:val="Compact"/>
        <w:numPr>
          <w:ilvl w:val="0"/>
          <w:numId w:val="1023"/>
        </w:numPr>
      </w:pPr>
      <w:r>
        <w:t xml:space="preserve">Renewable chemicals from sugar</w:t>
      </w:r>
    </w:p>
    <w:p>
      <w:pPr>
        <w:pStyle w:val="Compact"/>
        <w:numPr>
          <w:ilvl w:val="0"/>
          <w:numId w:val="1023"/>
        </w:numPr>
      </w:pPr>
      <w:r>
        <w:t xml:space="preserve">Cosmetics and fragrance ingredients</w:t>
      </w:r>
    </w:p>
    <w:p>
      <w:pPr>
        <w:pStyle w:val="FirstParagraph"/>
      </w:pPr>
      <w:r>
        <w:t xml:space="preserve">AI-generated biofuel production flowchart</w:t>
      </w:r>
    </w:p>
    <w:bookmarkEnd w:id="57"/>
    <w:bookmarkStart w:id="58" w:name="X589263954936c8f39f635c410123281af467563"/>
    <w:p>
      <w:pPr>
        <w:pStyle w:val="Heading2"/>
      </w:pPr>
      <w:r>
        <w:t xml:space="preserve">Commercial Example 4: Synthetic Biology in Medicine</w:t>
      </w:r>
    </w:p>
    <w:p>
      <w:pPr>
        <w:pStyle w:val="Compact"/>
        <w:numPr>
          <w:ilvl w:val="0"/>
          <w:numId w:val="1024"/>
        </w:numPr>
      </w:pPr>
      <w:r>
        <w:t xml:space="preserve">CAR-T cell therapy: Engineered immune cells for cancer treatment</w:t>
      </w:r>
    </w:p>
    <w:p>
      <w:pPr>
        <w:pStyle w:val="Compact"/>
        <w:numPr>
          <w:ilvl w:val="0"/>
          <w:numId w:val="1024"/>
        </w:numPr>
      </w:pPr>
      <w:r>
        <w:t xml:space="preserve">Biosynthetic insulin: Recombinant human insulin production</w:t>
      </w:r>
    </w:p>
    <w:p>
      <w:pPr>
        <w:pStyle w:val="Compact"/>
        <w:numPr>
          <w:ilvl w:val="0"/>
          <w:numId w:val="1024"/>
        </w:numPr>
      </w:pPr>
      <w:r>
        <w:t xml:space="preserve">Synthetic antibiotics: Novel antimicrobial compounds</w:t>
      </w:r>
    </w:p>
    <w:p>
      <w:pPr>
        <w:pStyle w:val="Compact"/>
        <w:numPr>
          <w:ilvl w:val="0"/>
          <w:numId w:val="1024"/>
        </w:numPr>
      </w:pPr>
      <w:r>
        <w:t xml:space="preserve">Personalized medicine: Tailored therapeutic approaches</w:t>
      </w:r>
    </w:p>
    <w:p>
      <w:pPr>
        <w:pStyle w:val="Compact"/>
        <w:numPr>
          <w:ilvl w:val="0"/>
          <w:numId w:val="1024"/>
        </w:numPr>
      </w:pPr>
      <w:r>
        <w:t xml:space="preserve">Market size: $39 billion by 2027</w:t>
      </w:r>
    </w:p>
    <w:p>
      <w:pPr>
        <w:pStyle w:val="FirstParagraph"/>
      </w:pPr>
      <w:r>
        <w:t xml:space="preserve">Source: Nature Biotechnology (2020)</w:t>
      </w:r>
    </w:p>
    <w:bookmarkEnd w:id="58"/>
    <w:bookmarkStart w:id="59" w:name="Xb0c0090ce3330e6a4ba0a233166b870676f1c78"/>
    <w:p>
      <w:pPr>
        <w:pStyle w:val="Heading2"/>
      </w:pPr>
      <w:r>
        <w:t xml:space="preserve">Commercial Example 5: Food and Agriculture</w:t>
      </w:r>
    </w:p>
    <w:p>
      <w:pPr>
        <w:pStyle w:val="FirstParagraph"/>
      </w:pPr>
      <w:r>
        <w:rPr>
          <w:b/>
          <w:bCs/>
        </w:rPr>
        <w:t xml:space="preserve">Applications:</w:t>
      </w:r>
    </w:p>
    <w:p>
      <w:pPr>
        <w:pStyle w:val="Compact"/>
        <w:numPr>
          <w:ilvl w:val="0"/>
          <w:numId w:val="1025"/>
        </w:numPr>
      </w:pPr>
      <w:r>
        <w:t xml:space="preserve">Impossible Foods: Plant-based meat with synthetic heme</w:t>
      </w:r>
    </w:p>
    <w:p>
      <w:pPr>
        <w:pStyle w:val="Compact"/>
        <w:numPr>
          <w:ilvl w:val="0"/>
          <w:numId w:val="1025"/>
        </w:numPr>
      </w:pPr>
      <w:r>
        <w:t xml:space="preserve">Perfect Day: Animal-free dairy proteins</w:t>
      </w:r>
    </w:p>
    <w:p>
      <w:pPr>
        <w:pStyle w:val="Compact"/>
        <w:numPr>
          <w:ilvl w:val="0"/>
          <w:numId w:val="1025"/>
        </w:numPr>
      </w:pPr>
      <w:r>
        <w:t xml:space="preserve">Motif FoodWorks: Designer food ingredients</w:t>
      </w:r>
    </w:p>
    <w:p>
      <w:pPr>
        <w:pStyle w:val="Compact"/>
        <w:numPr>
          <w:ilvl w:val="0"/>
          <w:numId w:val="1025"/>
        </w:numPr>
      </w:pPr>
      <w:r>
        <w:t xml:space="preserve">Crop enhancement: Improved yield and nutrition</w:t>
      </w:r>
    </w:p>
    <w:p>
      <w:pPr>
        <w:pStyle w:val="FirstParagraph"/>
      </w:pPr>
      <w:r>
        <w:rPr>
          <w:b/>
          <w:bCs/>
        </w:rPr>
        <w:t xml:space="preserve">Benefits:</w:t>
      </w:r>
    </w:p>
    <w:p>
      <w:pPr>
        <w:pStyle w:val="Compact"/>
        <w:numPr>
          <w:ilvl w:val="0"/>
          <w:numId w:val="1026"/>
        </w:numPr>
      </w:pPr>
      <w:r>
        <w:t xml:space="preserve">Reduced environmental impact</w:t>
      </w:r>
    </w:p>
    <w:p>
      <w:pPr>
        <w:pStyle w:val="Compact"/>
        <w:numPr>
          <w:ilvl w:val="0"/>
          <w:numId w:val="1026"/>
        </w:numPr>
      </w:pPr>
      <w:r>
        <w:t xml:space="preserve">Enhanced nutritional content</w:t>
      </w:r>
    </w:p>
    <w:p>
      <w:pPr>
        <w:pStyle w:val="Compact"/>
        <w:numPr>
          <w:ilvl w:val="0"/>
          <w:numId w:val="1026"/>
        </w:numPr>
      </w:pPr>
      <w:r>
        <w:t xml:space="preserve">Novel flavors and textures</w:t>
      </w:r>
    </w:p>
    <w:p>
      <w:pPr>
        <w:pStyle w:val="Compact"/>
        <w:numPr>
          <w:ilvl w:val="0"/>
          <w:numId w:val="1026"/>
        </w:numPr>
      </w:pPr>
      <w:r>
        <w:t xml:space="preserve">Sustainable production</w:t>
      </w:r>
    </w:p>
    <w:p>
      <w:pPr>
        <w:pStyle w:val="FirstParagraph"/>
      </w:pPr>
      <w:r>
        <w:t xml:space="preserve">AI-generated sustainable food production</w:t>
      </w:r>
      <w:r>
        <w:t xml:space="preserve"> </w:t>
      </w:r>
      <w:r>
        <w:t xml:space="preserve">::::::::::::::::::::::::::::::::::::::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20" Target="media/rId20.jpg" /><Relationship Type="http://schemas.openxmlformats.org/officeDocument/2006/relationships/image" Id="rId40" Target="media/rId40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25" Target="media/rId25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Principles of Synthetic Biology</dc:title>
  <dc:creator>Magnus Stefansson, MBA, Ph.D.</dc:creator>
  <cp:keywords/>
  <dcterms:created xsi:type="dcterms:W3CDTF">2025-06-13T16:32:56Z</dcterms:created>
  <dcterms:modified xsi:type="dcterms:W3CDTF">2025-06-13T16:32:56Z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>C:/Users/mosti/OneDrive/Documents/ReferenceLibrary/Referernce_library_papers_ms-ed.bib</vt:lpwstr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date">
    <vt:lpwstr>2025-06-13</vt:lpwstr>
  </property>
  <property fmtid="{D5CDD505-2E9C-101B-9397-08002B2CF9AE}" pid="9" name="editor">
    <vt:lpwstr>visual</vt:lpwstr>
  </property>
  <property fmtid="{D5CDD505-2E9C-101B-9397-08002B2CF9AE}" pid="10" name="execute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institute">
    <vt:lpwstr>Applied Biotechnology and Enterprise Program</vt:lpwstr>
  </property>
  <property fmtid="{D5CDD505-2E9C-101B-9397-08002B2CF9AE}" pid="15" name="institutes">
    <vt:lpwstr/>
  </property>
  <property fmtid="{D5CDD505-2E9C-101B-9397-08002B2CF9AE}" pid="16" name="labels">
    <vt:lpwstr/>
  </property>
  <property fmtid="{D5CDD505-2E9C-101B-9397-08002B2CF9AE}" pid="17" name="subtitle">
    <vt:lpwstr>Engineering Biology for Innovation</vt:lpwstr>
  </property>
  <property fmtid="{D5CDD505-2E9C-101B-9397-08002B2CF9AE}" pid="18" name="toc-title">
    <vt:lpwstr>Table of contents</vt:lpwstr>
  </property>
</Properties>
</file>