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D193B" w14:textId="34B9906A" w:rsidR="004F1B99" w:rsidRPr="00CA1F0D" w:rsidRDefault="004F1B99">
      <w:pPr>
        <w:rPr>
          <w:b/>
          <w:bCs/>
        </w:rPr>
      </w:pPr>
      <w:r w:rsidRPr="00CA1F0D">
        <w:rPr>
          <w:b/>
          <w:bCs/>
        </w:rPr>
        <w:t>Introduction</w:t>
      </w:r>
    </w:p>
    <w:p w14:paraId="7AEF2CC4" w14:textId="77777777" w:rsidR="00942585" w:rsidRPr="00942585" w:rsidRDefault="00BA6D31" w:rsidP="00942585">
      <w:r w:rsidRPr="00BA6D31">
        <w:t xml:space="preserve">The emergence of generative artificial intelligence has accelerated AI's shift from a specialized technological capability to an increasingly visible component of higher education. Higher education institutions are discovering AI applications, particularly LLMs, for their ability to produce text, code, images, feedback, and other content that can support teaching, learning, assessment, research, and the overall goal of institution. These AI tools create opportunities to support personalized learning that increases accessibility and cumulative development in higher educational settings. However, UNESCO observed that institutional regulatory frameworks move much more slowly than the iterative development of publicly available GenAI tools, and the pace of GenAI has challenged institutions' ability to respond. Additionally, UNESCO warns that educational institutions may not be sufficiently prepared to validate these technologies and protect users’ data privacy. The current challenge is no longer whether AI will become a part of the educational environment, but how higher education institutions can adopt and integrate AI in an educationally meaningful, ethically responsible, and institutionally appropriate way. </w:t>
      </w:r>
      <w:r w:rsidR="00942585" w:rsidRPr="00942585">
        <w:t>Although Generative AI can broaden access to knowledge and improve teaching and learning, it raises concerns about factors includes bias, accuracy, privacy, intellectual property, transparency, accountability, academic integrity, and unequal access; these concerns make responsible integration more complex than adopting the technology in higher education. For responsible, ethical adoption, colleges make the alignment of AI with their educational purpose rather than focusing only on what it can do. UNESCO emphasizes ethical, meaningful AI use through clear institutional policies, privacy protections, and appropriate pedagogical design therefore, it promotes a human-centered approach. [1]</w:t>
      </w:r>
    </w:p>
    <w:p w14:paraId="2FD239A2" w14:textId="44956419" w:rsidR="004E6B8A" w:rsidRPr="004E6B8A" w:rsidRDefault="004E6B8A" w:rsidP="004E6B8A">
      <w:r w:rsidRPr="004E6B8A">
        <w:t>These concerns also shift attention from individual AI users' behavior toward institutionally responsible AI usage. Both faculty and students’ ability to incorporate AI responsibly may depend on clear institutional policies, assessment guidance, an understanding of limitations, students' capacity to evaluate AI-generated outcomes critically, and mechanisms for addressing ethical implications.[1]</w:t>
      </w:r>
    </w:p>
    <w:p w14:paraId="2EF9DAA3" w14:textId="77777777" w:rsidR="004E6B8A" w:rsidRPr="004E6B8A" w:rsidRDefault="004E6B8A" w:rsidP="004E6B8A">
      <w:r w:rsidRPr="004E6B8A">
        <w:t xml:space="preserve">UNESCO’s advocacy for a human-centered mindset, AI ethics, and AI pedagogy for teachers reflects this broader conception of AI readiness. Universities and colleges have been responding to generative AI in varied ways, as suggested by institutional evidence. It's found that 63% encouraged GenAI use, 56% provided sample syllabus language, and 50% provided examples of GenAI curricula and activities by an analysis of GenAI-related policies and guidelines from 116 R1 universities in the US. The research also revealed that </w:t>
      </w:r>
      <w:r w:rsidRPr="004E6B8A">
        <w:lastRenderedPageBreak/>
        <w:t>variation in disciplinary coverage of institutional approach concerns the distinction between AI adoption and AI readiness. [2]</w:t>
      </w:r>
    </w:p>
    <w:p w14:paraId="2833D4C5" w14:textId="77777777" w:rsidR="008A451E" w:rsidRPr="008A451E" w:rsidRDefault="008A451E" w:rsidP="008A451E">
      <w:r w:rsidRPr="008A451E">
        <w:t>Institutional readiness is more about how well an institution can strategically integrate and implement responsible AI than whether it has adopted AI. The National Institute of Standards and Technology also emphasizes that trustworthy AI requires systematic attention to risk management throughout the design and evaluation of AI systems. [14]</w:t>
      </w:r>
    </w:p>
    <w:p w14:paraId="67764A01" w14:textId="77777777" w:rsidR="008A451E" w:rsidRPr="008A451E" w:rsidRDefault="008A451E" w:rsidP="008A451E">
      <w:r w:rsidRPr="008A451E">
        <w:t>Additionally, to help institutions evaluate their readiness for strategic AI, EDUCAUSE has developed a higher education AI readiness assessment so that institutions can use it to build an action roadmap. These improvements collectively illustrate a growing recognition that successful AI adoption depends not only on access to technologies but also on institutions’ capabilities to use them effectively. [3]</w:t>
      </w:r>
    </w:p>
    <w:p w14:paraId="4001EA4B" w14:textId="77777777" w:rsidR="008A451E" w:rsidRPr="008A451E" w:rsidRDefault="008A451E" w:rsidP="008A451E">
      <w:r w:rsidRPr="008A451E">
        <w:t>However, an institution with not too advanced technological resources may have well-established governance structures and clear expectations for responsible use. In contrast, an institution with advanced technological infrastructure may be underdeveloped in areas such as privacy, accountability, equity, faculty preparation, and evaluation of educational consequences, suggesting that institutional AI readiness is multidimensional. Responsible readiness involves governance, accountability, institutional leadership and strategy, student AI literacy, faculty and staff preparedness, data privacy, and accessibility.</w:t>
      </w:r>
    </w:p>
    <w:p w14:paraId="2314E2EB" w14:textId="77777777" w:rsidR="000762A4" w:rsidRPr="000762A4" w:rsidRDefault="000762A4" w:rsidP="000762A4">
      <w:r w:rsidRPr="000762A4">
        <w:t xml:space="preserve">Incorporation and implementation of responsible artificial intelligence </w:t>
      </w:r>
      <w:proofErr w:type="gramStart"/>
      <w:r w:rsidRPr="000762A4">
        <w:t>involves</w:t>
      </w:r>
      <w:proofErr w:type="gramEnd"/>
      <w:r w:rsidRPr="000762A4">
        <w:t xml:space="preserve"> decisions distributed across many groups, such as faculty, university leadership, the IT Department, and students. Governance is especially important within this multidimensional context. Research on responsible artificial intelligence implementation argues that universities have their own unique governance structures, such as collaborative faculty governance and academic freedom, where universities ensure professors have significant freedom to conduct research, teach, or explore ideas rather than imposing a single rigid rule, unlike private-sector organizations. [2] Therefore, evaluating AI readiness should account for participation, governance, and institutional policies. Recent developments make this combination especially important as AI readiness assessments for higher education already exist. Accordingly, a new framework could explore whether existing approaches can integrate responsible AI principles with the distinctive educational organization or governance conditions of higher </w:t>
      </w:r>
      <w:proofErr w:type="gramStart"/>
      <w:r w:rsidRPr="000762A4">
        <w:t>education, and</w:t>
      </w:r>
      <w:proofErr w:type="gramEnd"/>
      <w:r w:rsidRPr="000762A4">
        <w:t xml:space="preserve"> ensure these are empirically validated as a multidimensional measurement instrument.</w:t>
      </w:r>
    </w:p>
    <w:p w14:paraId="7DD2939C" w14:textId="77777777" w:rsidR="005F3F31" w:rsidRPr="005F3F31" w:rsidRDefault="005F3F31" w:rsidP="005F3F31">
      <w:r w:rsidRPr="005F3F31">
        <w:t>This study puts forward to advance an institutional responsible AI readiness index and is intended to evaluate the capacity of higher education institutions to incorporate AI responsibly across teaching, learning, and assessment.</w:t>
      </w:r>
    </w:p>
    <w:p w14:paraId="1275D25E" w14:textId="77777777" w:rsidR="005F3F31" w:rsidRPr="005F3F31" w:rsidRDefault="005F3F31" w:rsidP="005F3F31">
      <w:r w:rsidRPr="005F3F31">
        <w:lastRenderedPageBreak/>
        <w:t>This study contributes to the literature by:</w:t>
      </w:r>
    </w:p>
    <w:p w14:paraId="4D141C04" w14:textId="77777777" w:rsidR="005F3F31" w:rsidRPr="005F3F31" w:rsidRDefault="005F3F31" w:rsidP="005F3F31">
      <w:pPr>
        <w:numPr>
          <w:ilvl w:val="0"/>
          <w:numId w:val="4"/>
        </w:numPr>
      </w:pPr>
      <w:r w:rsidRPr="005F3F31">
        <w:t>In higher education, what are the critical dimensions of defining an institution’s readiness for responsible AI adoption?</w:t>
      </w:r>
    </w:p>
    <w:p w14:paraId="1783A451" w14:textId="77777777" w:rsidR="005F3F31" w:rsidRPr="005F3F31" w:rsidRDefault="005F3F31" w:rsidP="005F3F31">
      <w:pPr>
        <w:numPr>
          <w:ilvl w:val="0"/>
          <w:numId w:val="4"/>
        </w:numPr>
      </w:pPr>
      <w:r w:rsidRPr="005F3F31">
        <w:t>How can these dimensions be framed into a measurable index that assesses institutional AI readiness accurately?</w:t>
      </w:r>
    </w:p>
    <w:p w14:paraId="30436941" w14:textId="77777777" w:rsidR="005F3F31" w:rsidRPr="005F3F31" w:rsidRDefault="005F3F31" w:rsidP="005F3F31">
      <w:pPr>
        <w:numPr>
          <w:ilvl w:val="0"/>
          <w:numId w:val="4"/>
        </w:numPr>
      </w:pPr>
      <w:r w:rsidRPr="005F3F31">
        <w:t>Which dimensions most significantly contribute to responsible AI integration in learning, teaching, and assessment?</w:t>
      </w:r>
    </w:p>
    <w:p w14:paraId="2529B470" w14:textId="77777777" w:rsidR="005F3F31" w:rsidRPr="005F3F31" w:rsidRDefault="005F3F31" w:rsidP="005F3F31">
      <w:pPr>
        <w:numPr>
          <w:ilvl w:val="0"/>
          <w:numId w:val="4"/>
        </w:numPr>
      </w:pPr>
      <w:r w:rsidRPr="005F3F31">
        <w:t>How can an Institutional Responsible AI Readiness score be developed, advanced, and validated for use across higher educational institutions?</w:t>
      </w:r>
    </w:p>
    <w:p w14:paraId="4BFBEDA6" w14:textId="77777777" w:rsidR="005F3F31" w:rsidRPr="005F3F31" w:rsidRDefault="005F3F31" w:rsidP="005F3F31">
      <w:pPr>
        <w:numPr>
          <w:ilvl w:val="0"/>
          <w:numId w:val="4"/>
        </w:numPr>
      </w:pPr>
      <w:r w:rsidRPr="005F3F31">
        <w:t>Based on the suggested index, how do universities differ in their levels of responsible AI readiness?</w:t>
      </w:r>
    </w:p>
    <w:p w14:paraId="1AD8E5A7" w14:textId="77777777" w:rsidR="005F3F31" w:rsidRPr="005F3F31" w:rsidRDefault="005F3F31" w:rsidP="005F3F31">
      <w:pPr>
        <w:numPr>
          <w:ilvl w:val="0"/>
          <w:numId w:val="4"/>
        </w:numPr>
      </w:pPr>
      <w:r w:rsidRPr="005F3F31">
        <w:t>How can the suggested readiness index support policy development, institutional decision-making, and continuous advancement in responsible AI adoption?</w:t>
      </w:r>
    </w:p>
    <w:p w14:paraId="3E585368" w14:textId="77777777" w:rsidR="00676829" w:rsidRDefault="00676829"/>
    <w:p w14:paraId="28393B1A" w14:textId="05844C57" w:rsidR="00C07348" w:rsidRPr="00FE1616" w:rsidRDefault="00FE1616">
      <w:pPr>
        <w:rPr>
          <w:b/>
          <w:bCs/>
        </w:rPr>
      </w:pPr>
      <w:r w:rsidRPr="00FE1616">
        <w:rPr>
          <w:b/>
          <w:bCs/>
        </w:rPr>
        <w:t>Literature Review</w:t>
      </w:r>
    </w:p>
    <w:p w14:paraId="785404BD" w14:textId="7CF5AB02" w:rsidR="00FE1616" w:rsidRDefault="00546827">
      <w:r>
        <w:t xml:space="preserve">Artificial intelligence is reshaping how higher educational </w:t>
      </w:r>
      <w:r w:rsidR="00D15A5F">
        <w:t>institutions approach teaching, learning</w:t>
      </w:r>
      <w:r w:rsidR="00BF0972">
        <w:t xml:space="preserve">, assessment, student support, and administrative support, therefore becoming </w:t>
      </w:r>
      <w:r w:rsidR="00427385">
        <w:t>an increasingly important component of higher education. Recent advances in machine learning</w:t>
      </w:r>
      <w:r w:rsidR="00391186">
        <w:t>, natural language processing</w:t>
      </w:r>
      <w:r w:rsidR="00A52D5F">
        <w:t>, and intelligent</w:t>
      </w:r>
      <w:r w:rsidR="00BE40C9">
        <w:t xml:space="preserve"> tutoring systems</w:t>
      </w:r>
      <w:r w:rsidR="004402C7">
        <w:t xml:space="preserve"> </w:t>
      </w:r>
      <w:r w:rsidR="00A52D5F">
        <w:t>have</w:t>
      </w:r>
      <w:r w:rsidR="004402C7">
        <w:t xml:space="preserve"> accelerated </w:t>
      </w:r>
      <w:r w:rsidR="00A52D5F">
        <w:t xml:space="preserve">GenAI in education substantially. </w:t>
      </w:r>
      <w:proofErr w:type="spellStart"/>
      <w:r w:rsidR="00A52D5F">
        <w:t>Lachheb</w:t>
      </w:r>
      <w:proofErr w:type="spellEnd"/>
      <w:r w:rsidR="00A52D5F">
        <w:t xml:space="preserve"> et al. noted that research on AI </w:t>
      </w:r>
      <w:r w:rsidR="002D0969">
        <w:t xml:space="preserve">in higher education has considerably expanded </w:t>
      </w:r>
      <w:r w:rsidR="00205FD2">
        <w:t xml:space="preserve">recently, </w:t>
      </w:r>
      <w:r w:rsidR="00844C4B">
        <w:t xml:space="preserve">although it </w:t>
      </w:r>
      <w:r w:rsidR="00942B33">
        <w:t>dates to</w:t>
      </w:r>
      <w:r w:rsidR="00844C4B">
        <w:t xml:space="preserve"> the 1970s. </w:t>
      </w:r>
      <w:r w:rsidR="00524B31">
        <w:t xml:space="preserve">Following the recent advancements, </w:t>
      </w:r>
      <w:r w:rsidR="00F41F72">
        <w:t xml:space="preserve">AI is no longer viewed as exclusively </w:t>
      </w:r>
      <w:r w:rsidR="006F7426">
        <w:t>specialized educational technology</w:t>
      </w:r>
      <w:r w:rsidR="00204661">
        <w:t>;</w:t>
      </w:r>
      <w:r w:rsidR="006F7426">
        <w:t xml:space="preserve"> instead</w:t>
      </w:r>
      <w:r w:rsidR="00204661">
        <w:t>,</w:t>
      </w:r>
      <w:r w:rsidR="006F7426">
        <w:t xml:space="preserve"> it is embedded </w:t>
      </w:r>
      <w:r w:rsidR="00204661">
        <w:t xml:space="preserve">within the broader discussion of </w:t>
      </w:r>
      <w:r w:rsidR="00942B33">
        <w:t>the future of higher education.</w:t>
      </w:r>
      <w:r w:rsidR="00FD1558">
        <w:t>[15]</w:t>
      </w:r>
    </w:p>
    <w:p w14:paraId="7211BDC3" w14:textId="018A262C" w:rsidR="00942B33" w:rsidRDefault="000E7848">
      <w:r>
        <w:t xml:space="preserve">The extent of this transformation is evident in the </w:t>
      </w:r>
      <w:r w:rsidR="00856FEB">
        <w:t>rapid expansion</w:t>
      </w:r>
      <w:r>
        <w:t xml:space="preserve"> </w:t>
      </w:r>
      <w:r w:rsidR="00856FEB">
        <w:t xml:space="preserve">of AI research applications in higher education. </w:t>
      </w:r>
      <w:r w:rsidR="00C041FA">
        <w:t xml:space="preserve">Wang et al. analyzed 2223 research articles and conducted </w:t>
      </w:r>
      <w:r w:rsidR="00D26788">
        <w:t xml:space="preserve">an in-depth content analysis of 125 selected studies </w:t>
      </w:r>
      <w:r w:rsidR="00AE19F7">
        <w:t xml:space="preserve">in their systematic literature review, and their findings </w:t>
      </w:r>
      <w:r w:rsidR="009E67FD">
        <w:t xml:space="preserve">illustrate that AI </w:t>
      </w:r>
      <w:r w:rsidR="00864CCB">
        <w:t>applications</w:t>
      </w:r>
      <w:r w:rsidR="009E67FD">
        <w:t xml:space="preserve"> </w:t>
      </w:r>
      <w:r w:rsidR="00A01990">
        <w:t xml:space="preserve">span major </w:t>
      </w:r>
      <w:r w:rsidR="00073A64">
        <w:t xml:space="preserve">educational </w:t>
      </w:r>
      <w:r w:rsidR="00ED733B">
        <w:t>functions such as personalized tutoring</w:t>
      </w:r>
      <w:r w:rsidR="00791223">
        <w:t xml:space="preserve">, </w:t>
      </w:r>
      <w:r w:rsidR="00C33CBC">
        <w:t xml:space="preserve">intelligent assessment, emerging AI-enabled products, etc. </w:t>
      </w:r>
      <w:r w:rsidR="00FC654F">
        <w:t>It also encompasses AI adoption</w:t>
      </w:r>
      <w:r w:rsidR="0026312C">
        <w:t>,</w:t>
      </w:r>
      <w:r w:rsidR="00DA7196">
        <w:t xml:space="preserve"> </w:t>
      </w:r>
      <w:r w:rsidR="0026312C">
        <w:t>its</w:t>
      </w:r>
      <w:r w:rsidR="00DA7196">
        <w:t xml:space="preserve"> impact in education, </w:t>
      </w:r>
      <w:r w:rsidR="00110C29">
        <w:t xml:space="preserve">and </w:t>
      </w:r>
      <w:r w:rsidR="00183773">
        <w:t xml:space="preserve">challenges associated with implementation, </w:t>
      </w:r>
      <w:r w:rsidR="00110C29">
        <w:t>suggesting</w:t>
      </w:r>
      <w:r w:rsidR="00183773">
        <w:t xml:space="preserve"> that </w:t>
      </w:r>
      <w:r w:rsidR="00110C29">
        <w:t xml:space="preserve">AI represents an expanding </w:t>
      </w:r>
      <w:r w:rsidR="005F17A8">
        <w:t>system affecting multiple dimensions of activity and institutional functioning</w:t>
      </w:r>
      <w:r w:rsidR="0026312C">
        <w:t xml:space="preserve"> rather than a single technological intervention. </w:t>
      </w:r>
      <w:r w:rsidR="003046FD">
        <w:t>[4]</w:t>
      </w:r>
    </w:p>
    <w:p w14:paraId="1F545A80" w14:textId="22A3126C" w:rsidR="00EF3D65" w:rsidRPr="00EF3D65" w:rsidRDefault="00EF3D65" w:rsidP="00EF3D65">
      <w:r w:rsidRPr="00EF3D65">
        <w:lastRenderedPageBreak/>
        <w:t>A systematic review by Matos et al. of 45 studies published between 2011 and 2024 and shows that generative AI has further intensified this transformation; in particular, ChatGPT represents a considerable share of AI technologies. The study found benefits related to personalized learning and professional education but also challenges associated with data privacy, algorithmic bias, and the need for specialized training. Thus, the findings show a tension underlying AI adoption: although it can expand educational possibilities, it also requires institutions to have the capacity to implement it effectively and responsibly.</w:t>
      </w:r>
      <w:r w:rsidR="00753B8F">
        <w:t xml:space="preserve"> [5]</w:t>
      </w:r>
    </w:p>
    <w:p w14:paraId="0220ABA8" w14:textId="77777777" w:rsidR="00EF3D65" w:rsidRPr="00EF3D65" w:rsidRDefault="00EF3D65" w:rsidP="00EF3D65">
      <w:r w:rsidRPr="00EF3D65">
        <w:t>AI adoption varies based on discipline, institutional, and cultural context. An analysis by Agyare et al. explored ChatGPT perceptions across universities in Ghana, Jordan, and the United States among 804 physics students and revealed cross-cultural differences in AI perceptions, usage patterns based on academic level, institutional policies, and demographic characteristics. These findings are so relevant because it is evident that AI usage cannot be entirely expanded by technological availability or individual willingness; rather, institutional context is also considered to evaluate the institutional capacity to incorporate AI responsibly.[6]</w:t>
      </w:r>
    </w:p>
    <w:p w14:paraId="10C8DADE" w14:textId="592E88B3" w:rsidR="00B841B4" w:rsidRDefault="00D775B3">
      <w:r>
        <w:t>Some studies also demonstrate that AI systems are being used for learning</w:t>
      </w:r>
      <w:r w:rsidR="00CE35E5">
        <w:t xml:space="preserve"> analytics, personalized feedback, and assessment support. </w:t>
      </w:r>
      <w:r w:rsidR="004341A4">
        <w:t>A study</w:t>
      </w:r>
      <w:r w:rsidR="00292D8D">
        <w:t xml:space="preserve"> by Che </w:t>
      </w:r>
      <w:r w:rsidR="00E75F85">
        <w:t>involving</w:t>
      </w:r>
      <w:r w:rsidR="004341A4">
        <w:t xml:space="preserve"> 1280 undergraduate students across </w:t>
      </w:r>
      <w:r w:rsidR="005B3B67">
        <w:t xml:space="preserve">12 higher education institutions in China </w:t>
      </w:r>
      <w:r w:rsidR="00E75F85">
        <w:t>demonstrates</w:t>
      </w:r>
      <w:r w:rsidR="005B3B67">
        <w:t xml:space="preserve"> that </w:t>
      </w:r>
      <w:r w:rsidR="00E75F85">
        <w:t xml:space="preserve">institutional culture is positively associated with </w:t>
      </w:r>
      <w:r w:rsidR="003368AB">
        <w:t xml:space="preserve">AI assessment, while AI assessment was </w:t>
      </w:r>
      <w:r w:rsidR="00AE03DD">
        <w:t xml:space="preserve">strongly </w:t>
      </w:r>
      <w:r w:rsidR="003368AB">
        <w:t xml:space="preserve">related </w:t>
      </w:r>
      <w:r w:rsidR="00AE03DD">
        <w:t>to students’</w:t>
      </w:r>
      <w:r w:rsidR="003368AB">
        <w:t xml:space="preserve"> meta-skill</w:t>
      </w:r>
      <w:r w:rsidR="00AE03DD">
        <w:t xml:space="preserve"> readiness. Therefore, the study findings </w:t>
      </w:r>
      <w:r w:rsidR="000B5665">
        <w:t xml:space="preserve">frame AI assessment as a culturally and institutionally </w:t>
      </w:r>
      <w:r w:rsidR="00C919AE">
        <w:t xml:space="preserve">mediated educational practice rather than an addition to </w:t>
      </w:r>
      <w:r w:rsidR="00213A98">
        <w:t>the existing assessment system.</w:t>
      </w:r>
      <w:r w:rsidR="00844E1A">
        <w:t>[7]</w:t>
      </w:r>
    </w:p>
    <w:p w14:paraId="2509F381" w14:textId="14BD2DA1" w:rsidR="00213A98" w:rsidRDefault="00EE2EEE">
      <w:r>
        <w:t xml:space="preserve">AI literacy represents another important </w:t>
      </w:r>
      <w:r w:rsidR="00F72E37">
        <w:t>component of higher education’s response to technological transformation</w:t>
      </w:r>
      <w:r w:rsidR="00307426">
        <w:t>s. A meta-analysis involving 7211 participants by Liu et al. found statistically significant</w:t>
      </w:r>
      <w:r w:rsidR="00331BE3">
        <w:t xml:space="preserve"> overall AI literacy interventions. Although region and learning </w:t>
      </w:r>
      <w:r w:rsidR="00BA367C">
        <w:t xml:space="preserve">outcomes focus were significant, the authors emphasized </w:t>
      </w:r>
      <w:r w:rsidR="00287D05">
        <w:t xml:space="preserve">that </w:t>
      </w:r>
      <w:r w:rsidR="00BA367C">
        <w:t>AI literacy</w:t>
      </w:r>
      <w:r w:rsidR="00287D05">
        <w:t>,</w:t>
      </w:r>
      <w:r w:rsidR="00BA367C">
        <w:t xml:space="preserve"> </w:t>
      </w:r>
      <w:r w:rsidR="00C143D2">
        <w:t>to the extent beyond conceptual skills</w:t>
      </w:r>
      <w:r w:rsidR="00BC69F7">
        <w:t>, ethical understanding, and practice</w:t>
      </w:r>
      <w:r w:rsidR="00287D05">
        <w:t>,</w:t>
      </w:r>
      <w:r w:rsidR="002546A9">
        <w:t xml:space="preserve"> is</w:t>
      </w:r>
      <w:r w:rsidR="00BC69F7">
        <w:t xml:space="preserve"> evident</w:t>
      </w:r>
      <w:r w:rsidR="00287D05">
        <w:t xml:space="preserve"> that</w:t>
      </w:r>
      <w:r w:rsidR="002546A9">
        <w:t xml:space="preserve"> preparing students for AI-rich education</w:t>
      </w:r>
      <w:r w:rsidR="000B2050">
        <w:t xml:space="preserve">al environments requires deliberate educational interventions. </w:t>
      </w:r>
      <w:r w:rsidR="00A57193">
        <w:t>Another study by Ho and Le of 850</w:t>
      </w:r>
      <w:r w:rsidR="00F5106E">
        <w:t xml:space="preserve"> Vietnamese </w:t>
      </w:r>
      <w:r w:rsidR="00D668C3">
        <w:t xml:space="preserve">undergraduate students </w:t>
      </w:r>
      <w:r w:rsidR="00A60D7A">
        <w:t>found that</w:t>
      </w:r>
      <w:r w:rsidR="00444642">
        <w:t xml:space="preserve"> AI literacy </w:t>
      </w:r>
      <w:r w:rsidR="00EF1F9A">
        <w:t>significantly influenced perceived usefulness, attitude toward AI, and self-</w:t>
      </w:r>
      <w:proofErr w:type="gramStart"/>
      <w:r w:rsidR="00EF1F9A">
        <w:t>efficacy</w:t>
      </w:r>
      <w:r w:rsidR="00F61302">
        <w:t>.</w:t>
      </w:r>
      <w:r w:rsidR="000D6FF1">
        <w:t>[</w:t>
      </w:r>
      <w:proofErr w:type="gramEnd"/>
      <w:r w:rsidR="000D6FF1">
        <w:t>8</w:t>
      </w:r>
      <w:r w:rsidR="00206BCE">
        <w:t>,9</w:t>
      </w:r>
      <w:r w:rsidR="000D6FF1">
        <w:t>]</w:t>
      </w:r>
    </w:p>
    <w:p w14:paraId="33D975CA" w14:textId="77777777" w:rsidR="00A45C80" w:rsidRPr="00A45C80" w:rsidRDefault="00A45C80" w:rsidP="00A45C80">
      <w:r w:rsidRPr="00A45C80">
        <w:t xml:space="preserve">However, a study by </w:t>
      </w:r>
      <w:proofErr w:type="spellStart"/>
      <w:r w:rsidRPr="00A45C80">
        <w:t>Aljabr</w:t>
      </w:r>
      <w:proofErr w:type="spellEnd"/>
      <w:r w:rsidRPr="00A45C80">
        <w:t xml:space="preserve"> and Al-Ahdal identifies ethical and pedagogical concerns in educational AI applications. Their examination further shows that educators identify the importance of student training and regulating the learning environment when integrating AI.[10]</w:t>
      </w:r>
    </w:p>
    <w:p w14:paraId="32383E38" w14:textId="77777777" w:rsidR="00AB7FEC" w:rsidRPr="00AB7FEC" w:rsidRDefault="00AB7FEC" w:rsidP="00AB7FEC">
      <w:r w:rsidRPr="00AB7FEC">
        <w:lastRenderedPageBreak/>
        <w:t>Recent studies indicate that responsible adoption of AI tools in higher education institutions involves many factors such as academic integrity, transparency, accountability, fairness, and human-centeredness through institutional policies and governance, rather than AI technology availability. Tsao's study of AI policy in higher education identifies these areas as central concerns and indicates that ambiguous policies can create uncertainty for students and faculty. It further emphasizes the need for continued policy development. The literature suggests that AI readiness is not only technical preparedness; rather, it should be considered as a multidimensional institutional capability. Existing organizational readiness addresses some factors for successful AI adoption, including leadership support, infrastructure, strategic alignment, data availability, and AI ethics.[11]</w:t>
      </w:r>
    </w:p>
    <w:p w14:paraId="6BDF233B" w14:textId="77777777" w:rsidR="00A45C80" w:rsidRPr="00A45C80" w:rsidRDefault="00A45C80" w:rsidP="00A45C80">
      <w:r w:rsidRPr="00A45C80">
        <w:t>In higher education, Che found that climate, leadership, infrastructure, governance, and ethics readiness were relevant to AI-supported educational practices. It also showed that a stronger relationship between AI-enabled assessment and students’ meta-skill outcomes was associated with stronger ethics and governance readiness, reinforcing the need to evaluate institutional readiness across multiple relevant dimensions. [12,13]</w:t>
      </w:r>
    </w:p>
    <w:p w14:paraId="127E00BE" w14:textId="77777777" w:rsidR="00685B28" w:rsidRPr="00685B28" w:rsidRDefault="00685B28" w:rsidP="00685B28">
      <w:r w:rsidRPr="00685B28">
        <w:t>However, existing studies investigate these areas separately, although they offer important insights into governance, AI literacy, institutional culture, and organizational AI readiness. Current studies focus more on individual and general organizational capabilities rather than on the combined institutional conditions required for ethical and responsible AI adoption across higher education. For instance, a study by wang et al. developed an AI readiness scale focused on individual readiness dimensions; meanwhile, higher education research suggests that the importance of governance, institutional culture, and ethical safeguards highlights a need for comprehensive institutional responsible AI readiness index that incorporate all these dimensions such as governance, leadership, student and faculty readiness, privacy, equity, etc. within a higher education framework. [12]</w:t>
      </w:r>
    </w:p>
    <w:p w14:paraId="0D743424" w14:textId="1ABED4F5" w:rsidR="007119BB" w:rsidRPr="005064E0" w:rsidRDefault="005064E0">
      <w:pPr>
        <w:rPr>
          <w:b/>
          <w:bCs/>
        </w:rPr>
      </w:pPr>
      <w:r w:rsidRPr="005064E0">
        <w:rPr>
          <w:b/>
          <w:bCs/>
        </w:rPr>
        <w:t>References</w:t>
      </w:r>
    </w:p>
    <w:p w14:paraId="6F288C2A" w14:textId="01961CAD" w:rsidR="00613572" w:rsidRDefault="00613572" w:rsidP="001365F0">
      <w:pPr>
        <w:pStyle w:val="ListParagraph"/>
        <w:numPr>
          <w:ilvl w:val="0"/>
          <w:numId w:val="3"/>
        </w:numPr>
      </w:pPr>
      <w:hyperlink r:id="rId9" w:history="1">
        <w:r w:rsidRPr="003C79A5">
          <w:rPr>
            <w:rStyle w:val="Hyperlink"/>
          </w:rPr>
          <w:t>Guidance for generative AI in education and research | UNESCO</w:t>
        </w:r>
      </w:hyperlink>
    </w:p>
    <w:p w14:paraId="032A1913" w14:textId="77777777" w:rsidR="00E12B81" w:rsidRDefault="00E12B81" w:rsidP="00E12B81">
      <w:pPr>
        <w:pStyle w:val="ListParagraph"/>
      </w:pPr>
    </w:p>
    <w:p w14:paraId="6CDE07E7" w14:textId="33ED8295" w:rsidR="00DD7D5F" w:rsidRDefault="00DD7D5F" w:rsidP="00F22EEF">
      <w:pPr>
        <w:pStyle w:val="ListParagraph"/>
        <w:numPr>
          <w:ilvl w:val="0"/>
          <w:numId w:val="3"/>
        </w:numPr>
      </w:pPr>
      <w:r w:rsidRPr="00DD7D5F">
        <w:t>A Systematic AI Adoption Framework for Higher Education: From Student GenAI Usage to Institutional Integration</w:t>
      </w:r>
    </w:p>
    <w:p w14:paraId="58910507" w14:textId="14C3D5B6" w:rsidR="00926FE6" w:rsidRDefault="00926FE6" w:rsidP="00926FE6">
      <w:pPr>
        <w:pStyle w:val="ListParagraph"/>
      </w:pPr>
      <w:hyperlink r:id="rId10" w:history="1">
        <w:r w:rsidRPr="00345225">
          <w:rPr>
            <w:rStyle w:val="Hyperlink"/>
          </w:rPr>
          <w:t>https://arxiv.org/abs/2604.22030</w:t>
        </w:r>
      </w:hyperlink>
    </w:p>
    <w:p w14:paraId="4821E52A" w14:textId="77777777" w:rsidR="00926FE6" w:rsidRDefault="00926FE6" w:rsidP="00926FE6">
      <w:pPr>
        <w:pStyle w:val="ListParagraph"/>
      </w:pPr>
    </w:p>
    <w:p w14:paraId="45D7FF72" w14:textId="4E419168" w:rsidR="009765BD" w:rsidRDefault="009765BD" w:rsidP="00743329">
      <w:pPr>
        <w:pStyle w:val="ListParagraph"/>
        <w:numPr>
          <w:ilvl w:val="0"/>
          <w:numId w:val="3"/>
        </w:numPr>
      </w:pPr>
      <w:hyperlink r:id="rId11" w:history="1">
        <w:r w:rsidRPr="00A33A1A">
          <w:rPr>
            <w:rStyle w:val="Hyperlink"/>
          </w:rPr>
          <w:t>Higher Education Generative AI Readiness Assessment | EDUCAUSE Library</w:t>
        </w:r>
      </w:hyperlink>
    </w:p>
    <w:p w14:paraId="44159AAC" w14:textId="77777777" w:rsidR="00E12B81" w:rsidRPr="00743329" w:rsidRDefault="00E12B81" w:rsidP="00E12B81">
      <w:pPr>
        <w:pStyle w:val="ListParagraph"/>
      </w:pPr>
    </w:p>
    <w:p w14:paraId="041146FB" w14:textId="77777777" w:rsidR="00722027" w:rsidRDefault="003F2540" w:rsidP="00934A42">
      <w:pPr>
        <w:pStyle w:val="ListParagraph"/>
        <w:numPr>
          <w:ilvl w:val="0"/>
          <w:numId w:val="3"/>
        </w:numPr>
      </w:pPr>
      <w:r w:rsidRPr="003F2540">
        <w:t>Artificial intelligence in education: A systematic literature review</w:t>
      </w:r>
    </w:p>
    <w:p w14:paraId="65C556DD" w14:textId="7FFC107B" w:rsidR="00E8237C" w:rsidRDefault="00E8237C" w:rsidP="00722027">
      <w:pPr>
        <w:pStyle w:val="ListParagraph"/>
      </w:pPr>
      <w:hyperlink r:id="rId12" w:history="1">
        <w:r w:rsidRPr="00345225">
          <w:rPr>
            <w:rStyle w:val="Hyperlink"/>
          </w:rPr>
          <w:t>https://www.sciencedirect.com/science/article/pii/S0957417424010339</w:t>
        </w:r>
      </w:hyperlink>
    </w:p>
    <w:p w14:paraId="655AA362" w14:textId="77777777" w:rsidR="002C01FE" w:rsidRDefault="002C01FE" w:rsidP="00722027">
      <w:pPr>
        <w:pStyle w:val="ListParagraph"/>
      </w:pPr>
    </w:p>
    <w:p w14:paraId="55A61825" w14:textId="5FF933E8" w:rsidR="00B86827" w:rsidRDefault="004B7B8D" w:rsidP="000F6D24">
      <w:pPr>
        <w:pStyle w:val="ListParagraph"/>
        <w:numPr>
          <w:ilvl w:val="0"/>
          <w:numId w:val="3"/>
        </w:numPr>
      </w:pPr>
      <w:r w:rsidRPr="004B7B8D">
        <w:t>A systematic review of artificial intelligence applications in education: Emerging trends and challenges</w:t>
      </w:r>
      <w:r w:rsidR="00B86827">
        <w:t xml:space="preserve"> </w:t>
      </w:r>
    </w:p>
    <w:p w14:paraId="0B940CCF" w14:textId="715D1FBA" w:rsidR="00B86827" w:rsidRDefault="00B86827" w:rsidP="00B86827">
      <w:pPr>
        <w:pStyle w:val="ListParagraph"/>
      </w:pPr>
      <w:hyperlink r:id="rId13" w:history="1">
        <w:r w:rsidRPr="00345225">
          <w:rPr>
            <w:rStyle w:val="Hyperlink"/>
          </w:rPr>
          <w:t>https://www.sciencedirect.com/science/article/pii/S277266222500027X</w:t>
        </w:r>
      </w:hyperlink>
    </w:p>
    <w:p w14:paraId="143BF54A" w14:textId="77777777" w:rsidR="00B86827" w:rsidRDefault="00B86827" w:rsidP="00B86827">
      <w:pPr>
        <w:pStyle w:val="ListParagraph"/>
      </w:pPr>
    </w:p>
    <w:p w14:paraId="37B08967" w14:textId="6055C652" w:rsidR="0087601A" w:rsidRDefault="0087601A" w:rsidP="000F6D24">
      <w:pPr>
        <w:pStyle w:val="ListParagraph"/>
        <w:numPr>
          <w:ilvl w:val="0"/>
          <w:numId w:val="3"/>
        </w:numPr>
      </w:pPr>
      <w:hyperlink r:id="rId14" w:history="1">
        <w:r w:rsidRPr="0087601A">
          <w:rPr>
            <w:rStyle w:val="Hyperlink"/>
          </w:rPr>
          <w:t>A cross-national assessment of artificial intelligence (AI) Chatbot user perceptions in collegiate physics education - ScienceDirect</w:t>
        </w:r>
      </w:hyperlink>
    </w:p>
    <w:p w14:paraId="730CD8A8" w14:textId="77777777" w:rsidR="0082084D" w:rsidRDefault="0082084D" w:rsidP="00E05D75">
      <w:pPr>
        <w:pStyle w:val="ListParagraph"/>
        <w:numPr>
          <w:ilvl w:val="0"/>
          <w:numId w:val="3"/>
        </w:numPr>
      </w:pPr>
      <w:r w:rsidRPr="0082084D">
        <w:t>AI-enabled assessment in higher education: Institutional culture and student meta-skill readiness across university tiers</w:t>
      </w:r>
    </w:p>
    <w:p w14:paraId="3866C7A8" w14:textId="56454584" w:rsidR="00362CDA" w:rsidRDefault="00362CDA" w:rsidP="00362CDA">
      <w:pPr>
        <w:pStyle w:val="ListParagraph"/>
      </w:pPr>
      <w:hyperlink r:id="rId15" w:history="1">
        <w:r w:rsidRPr="00345225">
          <w:rPr>
            <w:rStyle w:val="Hyperlink"/>
          </w:rPr>
          <w:t>https://www.sciencedirect.com/science/article/pii/S2590291126007060</w:t>
        </w:r>
      </w:hyperlink>
    </w:p>
    <w:p w14:paraId="71DAC594" w14:textId="77777777" w:rsidR="00362CDA" w:rsidRDefault="00362CDA" w:rsidP="00362CDA">
      <w:pPr>
        <w:pStyle w:val="ListParagraph"/>
      </w:pPr>
    </w:p>
    <w:p w14:paraId="72587CC5" w14:textId="77777777" w:rsidR="007A784E" w:rsidRDefault="007A784E" w:rsidP="00C673B5">
      <w:pPr>
        <w:pStyle w:val="ListParagraph"/>
        <w:numPr>
          <w:ilvl w:val="0"/>
          <w:numId w:val="3"/>
        </w:numPr>
      </w:pPr>
      <w:r w:rsidRPr="007A784E">
        <w:t>AI literacy interventions in education: A meta-analysis of effects and moderators</w:t>
      </w:r>
    </w:p>
    <w:p w14:paraId="0E4DF65A" w14:textId="4C6734F5" w:rsidR="00362CDA" w:rsidRDefault="00E12B81" w:rsidP="00362CDA">
      <w:pPr>
        <w:pStyle w:val="ListParagraph"/>
      </w:pPr>
      <w:hyperlink r:id="rId16" w:history="1">
        <w:r w:rsidRPr="00345225">
          <w:rPr>
            <w:rStyle w:val="Hyperlink"/>
          </w:rPr>
          <w:t>https://www.sciencedirect.com/science/article/pii/S1747938X26000527</w:t>
        </w:r>
      </w:hyperlink>
    </w:p>
    <w:p w14:paraId="09859268" w14:textId="77777777" w:rsidR="00E12B81" w:rsidRDefault="00E12B81" w:rsidP="00362CDA">
      <w:pPr>
        <w:pStyle w:val="ListParagraph"/>
      </w:pPr>
    </w:p>
    <w:p w14:paraId="5C3DC1FA" w14:textId="1E7598D9" w:rsidR="00CF5AA5" w:rsidRDefault="00431CFB" w:rsidP="00FE6E24">
      <w:pPr>
        <w:pStyle w:val="ListParagraph"/>
        <w:numPr>
          <w:ilvl w:val="0"/>
          <w:numId w:val="3"/>
        </w:numPr>
      </w:pPr>
      <w:r w:rsidRPr="00431CFB">
        <w:t>Empowered by AI: exploring the link between literacy, self-efficacy, and career expectations</w:t>
      </w:r>
      <w:r w:rsidR="00CF5AA5">
        <w:t xml:space="preserve"> </w:t>
      </w:r>
    </w:p>
    <w:p w14:paraId="5861AA54" w14:textId="08DF240C" w:rsidR="00CF5AA5" w:rsidRDefault="00E12B81" w:rsidP="00CF5AA5">
      <w:pPr>
        <w:pStyle w:val="ListParagraph"/>
      </w:pPr>
      <w:hyperlink r:id="rId17" w:history="1">
        <w:r w:rsidRPr="00345225">
          <w:rPr>
            <w:rStyle w:val="Hyperlink"/>
          </w:rPr>
          <w:t>https://www.sciencedirect.com/science/article/pii/S000169182600209X</w:t>
        </w:r>
      </w:hyperlink>
    </w:p>
    <w:p w14:paraId="341A5A7B" w14:textId="77777777" w:rsidR="00CF5AA5" w:rsidRDefault="00CF5AA5" w:rsidP="00CF5AA5">
      <w:pPr>
        <w:pStyle w:val="ListParagraph"/>
      </w:pPr>
    </w:p>
    <w:p w14:paraId="5AC726E4" w14:textId="1B291861" w:rsidR="00FE6E24" w:rsidRDefault="00FE6E24" w:rsidP="00FE6E24">
      <w:pPr>
        <w:pStyle w:val="ListParagraph"/>
        <w:numPr>
          <w:ilvl w:val="0"/>
          <w:numId w:val="3"/>
        </w:numPr>
      </w:pPr>
      <w:hyperlink r:id="rId18" w:history="1">
        <w:r w:rsidRPr="00FE6E24">
          <w:rPr>
            <w:rStyle w:val="Hyperlink"/>
          </w:rPr>
          <w:t xml:space="preserve">Ethical and pedagogical implications of AI in language education: An empirical study at </w:t>
        </w:r>
        <w:proofErr w:type="spellStart"/>
        <w:r w:rsidRPr="00FE6E24">
          <w:rPr>
            <w:rStyle w:val="Hyperlink"/>
          </w:rPr>
          <w:t>Ha'il</w:t>
        </w:r>
        <w:proofErr w:type="spellEnd"/>
        <w:r w:rsidRPr="00FE6E24">
          <w:rPr>
            <w:rStyle w:val="Hyperlink"/>
          </w:rPr>
          <w:t xml:space="preserve"> University - ScienceDirect</w:t>
        </w:r>
      </w:hyperlink>
    </w:p>
    <w:p w14:paraId="702B6D4E" w14:textId="084F06D4" w:rsidR="00AA77E0" w:rsidRDefault="00AA77E0" w:rsidP="00AA77E0">
      <w:pPr>
        <w:pStyle w:val="ListParagraph"/>
        <w:numPr>
          <w:ilvl w:val="0"/>
          <w:numId w:val="3"/>
        </w:numPr>
      </w:pPr>
      <w:hyperlink r:id="rId19" w:history="1">
        <w:r w:rsidRPr="00AA77E0">
          <w:rPr>
            <w:rStyle w:val="Hyperlink"/>
          </w:rPr>
          <w:t>Trajectories of AI policy in higher education: Interpretations, discourses, and enactments of students and teachers - ScienceDirect</w:t>
        </w:r>
      </w:hyperlink>
    </w:p>
    <w:p w14:paraId="08CA70A6" w14:textId="576F3EE7" w:rsidR="00D81A4B" w:rsidRDefault="00D81A4B" w:rsidP="00D81A4B">
      <w:pPr>
        <w:pStyle w:val="ListParagraph"/>
        <w:numPr>
          <w:ilvl w:val="0"/>
          <w:numId w:val="3"/>
        </w:numPr>
      </w:pPr>
      <w:hyperlink r:id="rId20" w:history="1">
        <w:r w:rsidRPr="00D81A4B">
          <w:rPr>
            <w:rStyle w:val="Hyperlink"/>
          </w:rPr>
          <w:t>Artificial intelligence readiness in management education: Scale development and validation - ScienceDirect</w:t>
        </w:r>
      </w:hyperlink>
    </w:p>
    <w:p w14:paraId="65F3CA84" w14:textId="3BC5B760" w:rsidR="00F47C76" w:rsidRDefault="00F47C76" w:rsidP="00D81F73">
      <w:pPr>
        <w:pStyle w:val="ListParagraph"/>
        <w:numPr>
          <w:ilvl w:val="0"/>
          <w:numId w:val="3"/>
        </w:numPr>
      </w:pPr>
      <w:hyperlink r:id="rId21" w:history="1">
        <w:r w:rsidRPr="00F47C76">
          <w:rPr>
            <w:rStyle w:val="Hyperlink"/>
          </w:rPr>
          <w:t>AI-enabled assessment in higher education: Institutional culture and student meta-skill readiness across university tiers - ScienceDirect</w:t>
        </w:r>
      </w:hyperlink>
    </w:p>
    <w:p w14:paraId="47EA7354" w14:textId="1D8A4C62" w:rsidR="00105FE4" w:rsidRDefault="004E47AB" w:rsidP="00D81F73">
      <w:pPr>
        <w:pStyle w:val="ListParagraph"/>
        <w:numPr>
          <w:ilvl w:val="0"/>
          <w:numId w:val="3"/>
        </w:numPr>
      </w:pPr>
      <w:hyperlink r:id="rId22" w:history="1">
        <w:r w:rsidRPr="00202EA6">
          <w:rPr>
            <w:rStyle w:val="Hyperlink"/>
          </w:rPr>
          <w:t>https://www.nist.gov/publications/artificial-intelligence-risk-management-framework-generative-artificial-intelligence</w:t>
        </w:r>
      </w:hyperlink>
    </w:p>
    <w:p w14:paraId="25F39D97" w14:textId="3334631C" w:rsidR="00EF4E78" w:rsidRDefault="00CB5711" w:rsidP="00CB5711">
      <w:pPr>
        <w:pStyle w:val="ListParagraph"/>
        <w:numPr>
          <w:ilvl w:val="0"/>
          <w:numId w:val="3"/>
        </w:numPr>
      </w:pPr>
      <w:hyperlink r:id="rId23" w:history="1">
        <w:r w:rsidRPr="00CB5711">
          <w:rPr>
            <w:rStyle w:val="Hyperlink"/>
          </w:rPr>
          <w:t>AI in higher education: A bibliometric analysis, synthesis, and a critique of research - ScienceDirect</w:t>
        </w:r>
      </w:hyperlink>
    </w:p>
    <w:p w14:paraId="5344907F" w14:textId="77777777" w:rsidR="00CB5711" w:rsidRDefault="00CB5711" w:rsidP="00CB5711">
      <w:pPr>
        <w:pStyle w:val="ListParagraph"/>
      </w:pPr>
    </w:p>
    <w:p w14:paraId="567DB61C" w14:textId="77777777" w:rsidR="004E47AB" w:rsidRDefault="004E47AB" w:rsidP="004E47AB">
      <w:pPr>
        <w:pStyle w:val="ListParagraph"/>
      </w:pPr>
    </w:p>
    <w:p w14:paraId="2D1CF6D6" w14:textId="77777777" w:rsidR="00190E20" w:rsidRDefault="00190E20" w:rsidP="00EE6068">
      <w:pPr>
        <w:ind w:left="360"/>
      </w:pPr>
    </w:p>
    <w:p w14:paraId="7B9A69A0" w14:textId="77777777" w:rsidR="00120755" w:rsidRDefault="00120755" w:rsidP="00ED77AB">
      <w:pPr>
        <w:pStyle w:val="ListParagraph"/>
      </w:pPr>
    </w:p>
    <w:p w14:paraId="37ADAF60" w14:textId="77777777" w:rsidR="005064E0" w:rsidRDefault="005064E0"/>
    <w:sectPr w:rsidR="005064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88761E"/>
    <w:multiLevelType w:val="hybridMultilevel"/>
    <w:tmpl w:val="4E1ABA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894FFB"/>
    <w:multiLevelType w:val="hybridMultilevel"/>
    <w:tmpl w:val="49941B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FA40A84"/>
    <w:multiLevelType w:val="multilevel"/>
    <w:tmpl w:val="3F10C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4E0953"/>
    <w:multiLevelType w:val="hybridMultilevel"/>
    <w:tmpl w:val="C3FAD8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6743200">
    <w:abstractNumId w:val="0"/>
  </w:num>
  <w:num w:numId="2" w16cid:durableId="1276599310">
    <w:abstractNumId w:val="3"/>
  </w:num>
  <w:num w:numId="3" w16cid:durableId="736174660">
    <w:abstractNumId w:val="1"/>
  </w:num>
  <w:num w:numId="4" w16cid:durableId="11018725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B99"/>
    <w:rsid w:val="00010D80"/>
    <w:rsid w:val="00021309"/>
    <w:rsid w:val="00040C75"/>
    <w:rsid w:val="00073A64"/>
    <w:rsid w:val="000762A4"/>
    <w:rsid w:val="00097DCA"/>
    <w:rsid w:val="000B14FB"/>
    <w:rsid w:val="000B2050"/>
    <w:rsid w:val="000B5665"/>
    <w:rsid w:val="000B7340"/>
    <w:rsid w:val="000C0637"/>
    <w:rsid w:val="000C6909"/>
    <w:rsid w:val="000D130D"/>
    <w:rsid w:val="000D6FF1"/>
    <w:rsid w:val="000E7848"/>
    <w:rsid w:val="000F60DB"/>
    <w:rsid w:val="000F6D24"/>
    <w:rsid w:val="00105FE4"/>
    <w:rsid w:val="00110C29"/>
    <w:rsid w:val="001158A7"/>
    <w:rsid w:val="00120755"/>
    <w:rsid w:val="00127AE5"/>
    <w:rsid w:val="001365F0"/>
    <w:rsid w:val="00140DE3"/>
    <w:rsid w:val="00141B3D"/>
    <w:rsid w:val="0018134A"/>
    <w:rsid w:val="00183773"/>
    <w:rsid w:val="00190069"/>
    <w:rsid w:val="00190E20"/>
    <w:rsid w:val="0019669E"/>
    <w:rsid w:val="001A1C3B"/>
    <w:rsid w:val="001B7B1E"/>
    <w:rsid w:val="001C29B6"/>
    <w:rsid w:val="001C371E"/>
    <w:rsid w:val="001D1D43"/>
    <w:rsid w:val="001D2304"/>
    <w:rsid w:val="001D4AEB"/>
    <w:rsid w:val="001E0056"/>
    <w:rsid w:val="001E0253"/>
    <w:rsid w:val="001F194C"/>
    <w:rsid w:val="001F44D1"/>
    <w:rsid w:val="00201658"/>
    <w:rsid w:val="00204661"/>
    <w:rsid w:val="00205FD2"/>
    <w:rsid w:val="00206BCE"/>
    <w:rsid w:val="00213A98"/>
    <w:rsid w:val="00220E10"/>
    <w:rsid w:val="002427A4"/>
    <w:rsid w:val="00243B52"/>
    <w:rsid w:val="002546A9"/>
    <w:rsid w:val="00262508"/>
    <w:rsid w:val="0026312C"/>
    <w:rsid w:val="00286785"/>
    <w:rsid w:val="00287CF8"/>
    <w:rsid w:val="00287D05"/>
    <w:rsid w:val="00291CD9"/>
    <w:rsid w:val="00292D8D"/>
    <w:rsid w:val="002B0BDC"/>
    <w:rsid w:val="002C01FE"/>
    <w:rsid w:val="002D0969"/>
    <w:rsid w:val="002E01A7"/>
    <w:rsid w:val="002E17BF"/>
    <w:rsid w:val="003046FD"/>
    <w:rsid w:val="00307426"/>
    <w:rsid w:val="00331BE3"/>
    <w:rsid w:val="003368AB"/>
    <w:rsid w:val="003516A3"/>
    <w:rsid w:val="00362CDA"/>
    <w:rsid w:val="00374168"/>
    <w:rsid w:val="0038405E"/>
    <w:rsid w:val="00391186"/>
    <w:rsid w:val="003B0B95"/>
    <w:rsid w:val="003B25ED"/>
    <w:rsid w:val="003C166B"/>
    <w:rsid w:val="003D7D20"/>
    <w:rsid w:val="003F2540"/>
    <w:rsid w:val="003F5CD7"/>
    <w:rsid w:val="00423806"/>
    <w:rsid w:val="00427385"/>
    <w:rsid w:val="00431CFB"/>
    <w:rsid w:val="004341A4"/>
    <w:rsid w:val="004402C7"/>
    <w:rsid w:val="00444642"/>
    <w:rsid w:val="004606FD"/>
    <w:rsid w:val="00467E37"/>
    <w:rsid w:val="00471FD6"/>
    <w:rsid w:val="004A501F"/>
    <w:rsid w:val="004B7B8D"/>
    <w:rsid w:val="004C3C63"/>
    <w:rsid w:val="004C54A3"/>
    <w:rsid w:val="004C629D"/>
    <w:rsid w:val="004C657C"/>
    <w:rsid w:val="004E47AB"/>
    <w:rsid w:val="004E6B8A"/>
    <w:rsid w:val="004F1B99"/>
    <w:rsid w:val="004F3ADA"/>
    <w:rsid w:val="00502737"/>
    <w:rsid w:val="005064E0"/>
    <w:rsid w:val="00523DFC"/>
    <w:rsid w:val="00524B31"/>
    <w:rsid w:val="005344E4"/>
    <w:rsid w:val="0054478D"/>
    <w:rsid w:val="00546827"/>
    <w:rsid w:val="00595C96"/>
    <w:rsid w:val="005B1A68"/>
    <w:rsid w:val="005B3B67"/>
    <w:rsid w:val="005C3A87"/>
    <w:rsid w:val="005C572A"/>
    <w:rsid w:val="005D466C"/>
    <w:rsid w:val="005E181B"/>
    <w:rsid w:val="005F17A8"/>
    <w:rsid w:val="005F3F31"/>
    <w:rsid w:val="00613572"/>
    <w:rsid w:val="00661FAE"/>
    <w:rsid w:val="00676829"/>
    <w:rsid w:val="00684761"/>
    <w:rsid w:val="00685B28"/>
    <w:rsid w:val="006935EC"/>
    <w:rsid w:val="006A3479"/>
    <w:rsid w:val="006B2BD3"/>
    <w:rsid w:val="006D1BB1"/>
    <w:rsid w:val="006D3BD7"/>
    <w:rsid w:val="006D77E8"/>
    <w:rsid w:val="006F7426"/>
    <w:rsid w:val="00703A3D"/>
    <w:rsid w:val="00703CD9"/>
    <w:rsid w:val="00705A29"/>
    <w:rsid w:val="007119BB"/>
    <w:rsid w:val="007143E5"/>
    <w:rsid w:val="00722027"/>
    <w:rsid w:val="0072508F"/>
    <w:rsid w:val="00743329"/>
    <w:rsid w:val="00751B54"/>
    <w:rsid w:val="00753B8F"/>
    <w:rsid w:val="007631E5"/>
    <w:rsid w:val="0077381A"/>
    <w:rsid w:val="00780E5C"/>
    <w:rsid w:val="00783EB0"/>
    <w:rsid w:val="0078421B"/>
    <w:rsid w:val="00791223"/>
    <w:rsid w:val="00796A35"/>
    <w:rsid w:val="007A409D"/>
    <w:rsid w:val="007A784E"/>
    <w:rsid w:val="007B4982"/>
    <w:rsid w:val="007C1BDF"/>
    <w:rsid w:val="007D70F3"/>
    <w:rsid w:val="007E026F"/>
    <w:rsid w:val="007E53F4"/>
    <w:rsid w:val="007F547C"/>
    <w:rsid w:val="0081630E"/>
    <w:rsid w:val="0082084D"/>
    <w:rsid w:val="00830F3C"/>
    <w:rsid w:val="008356CF"/>
    <w:rsid w:val="00844C4B"/>
    <w:rsid w:val="00844E1A"/>
    <w:rsid w:val="008514AF"/>
    <w:rsid w:val="00856FEB"/>
    <w:rsid w:val="00862CCF"/>
    <w:rsid w:val="00864CCB"/>
    <w:rsid w:val="0087601A"/>
    <w:rsid w:val="00883CBF"/>
    <w:rsid w:val="008A0C72"/>
    <w:rsid w:val="008A451E"/>
    <w:rsid w:val="008A609F"/>
    <w:rsid w:val="008B7991"/>
    <w:rsid w:val="008B7B83"/>
    <w:rsid w:val="008D03AB"/>
    <w:rsid w:val="008D04CA"/>
    <w:rsid w:val="008E5915"/>
    <w:rsid w:val="008F13E1"/>
    <w:rsid w:val="008F257C"/>
    <w:rsid w:val="00905B26"/>
    <w:rsid w:val="009241C5"/>
    <w:rsid w:val="00926FE6"/>
    <w:rsid w:val="00934A42"/>
    <w:rsid w:val="00942585"/>
    <w:rsid w:val="00942B33"/>
    <w:rsid w:val="00956539"/>
    <w:rsid w:val="00957DF5"/>
    <w:rsid w:val="0096391B"/>
    <w:rsid w:val="00967C39"/>
    <w:rsid w:val="009765BD"/>
    <w:rsid w:val="009A5B2A"/>
    <w:rsid w:val="009A7F76"/>
    <w:rsid w:val="009C07B9"/>
    <w:rsid w:val="009C4B93"/>
    <w:rsid w:val="009E67FD"/>
    <w:rsid w:val="00A01990"/>
    <w:rsid w:val="00A358D7"/>
    <w:rsid w:val="00A45C80"/>
    <w:rsid w:val="00A47B76"/>
    <w:rsid w:val="00A52D5F"/>
    <w:rsid w:val="00A54818"/>
    <w:rsid w:val="00A57193"/>
    <w:rsid w:val="00A60D7A"/>
    <w:rsid w:val="00A65722"/>
    <w:rsid w:val="00A676AB"/>
    <w:rsid w:val="00A67F33"/>
    <w:rsid w:val="00A73105"/>
    <w:rsid w:val="00A813B2"/>
    <w:rsid w:val="00A818B2"/>
    <w:rsid w:val="00A9737B"/>
    <w:rsid w:val="00AA6567"/>
    <w:rsid w:val="00AA77E0"/>
    <w:rsid w:val="00AB4C3F"/>
    <w:rsid w:val="00AB7FEC"/>
    <w:rsid w:val="00AC33A9"/>
    <w:rsid w:val="00AC59BC"/>
    <w:rsid w:val="00AE03DD"/>
    <w:rsid w:val="00AE14A2"/>
    <w:rsid w:val="00AE19F7"/>
    <w:rsid w:val="00AE7765"/>
    <w:rsid w:val="00B03B3C"/>
    <w:rsid w:val="00B042CB"/>
    <w:rsid w:val="00B068F3"/>
    <w:rsid w:val="00B07394"/>
    <w:rsid w:val="00B075CE"/>
    <w:rsid w:val="00B22311"/>
    <w:rsid w:val="00B247BB"/>
    <w:rsid w:val="00B37D0D"/>
    <w:rsid w:val="00B40E5C"/>
    <w:rsid w:val="00B4232D"/>
    <w:rsid w:val="00B53DF5"/>
    <w:rsid w:val="00B61CD1"/>
    <w:rsid w:val="00B67855"/>
    <w:rsid w:val="00B743CB"/>
    <w:rsid w:val="00B800F5"/>
    <w:rsid w:val="00B8262D"/>
    <w:rsid w:val="00B841B4"/>
    <w:rsid w:val="00B86827"/>
    <w:rsid w:val="00B900F6"/>
    <w:rsid w:val="00BA367C"/>
    <w:rsid w:val="00BA6D31"/>
    <w:rsid w:val="00BC343E"/>
    <w:rsid w:val="00BC69F7"/>
    <w:rsid w:val="00BC76C4"/>
    <w:rsid w:val="00BE336D"/>
    <w:rsid w:val="00BE40C9"/>
    <w:rsid w:val="00BF0972"/>
    <w:rsid w:val="00C019CF"/>
    <w:rsid w:val="00C041FA"/>
    <w:rsid w:val="00C07348"/>
    <w:rsid w:val="00C143D2"/>
    <w:rsid w:val="00C2294C"/>
    <w:rsid w:val="00C33CBC"/>
    <w:rsid w:val="00C45ABB"/>
    <w:rsid w:val="00C54CF0"/>
    <w:rsid w:val="00C5582A"/>
    <w:rsid w:val="00C57C49"/>
    <w:rsid w:val="00C673B5"/>
    <w:rsid w:val="00C7007D"/>
    <w:rsid w:val="00C7596C"/>
    <w:rsid w:val="00C81428"/>
    <w:rsid w:val="00C919AE"/>
    <w:rsid w:val="00C95D25"/>
    <w:rsid w:val="00C96027"/>
    <w:rsid w:val="00CA04C1"/>
    <w:rsid w:val="00CA1F0D"/>
    <w:rsid w:val="00CB5711"/>
    <w:rsid w:val="00CC4DB1"/>
    <w:rsid w:val="00CE35E5"/>
    <w:rsid w:val="00CE6246"/>
    <w:rsid w:val="00CF5AA5"/>
    <w:rsid w:val="00CF78D6"/>
    <w:rsid w:val="00D04F8B"/>
    <w:rsid w:val="00D04FDE"/>
    <w:rsid w:val="00D0571A"/>
    <w:rsid w:val="00D15A5F"/>
    <w:rsid w:val="00D15C17"/>
    <w:rsid w:val="00D21483"/>
    <w:rsid w:val="00D26788"/>
    <w:rsid w:val="00D668C3"/>
    <w:rsid w:val="00D750EB"/>
    <w:rsid w:val="00D775B3"/>
    <w:rsid w:val="00D8058E"/>
    <w:rsid w:val="00D81A4B"/>
    <w:rsid w:val="00D81F73"/>
    <w:rsid w:val="00D85E26"/>
    <w:rsid w:val="00D86203"/>
    <w:rsid w:val="00D963C2"/>
    <w:rsid w:val="00DA7196"/>
    <w:rsid w:val="00DD2EB2"/>
    <w:rsid w:val="00DD526E"/>
    <w:rsid w:val="00DD7D5F"/>
    <w:rsid w:val="00DD7E39"/>
    <w:rsid w:val="00E02B2B"/>
    <w:rsid w:val="00E05D75"/>
    <w:rsid w:val="00E12B81"/>
    <w:rsid w:val="00E3734D"/>
    <w:rsid w:val="00E37B11"/>
    <w:rsid w:val="00E7024D"/>
    <w:rsid w:val="00E72558"/>
    <w:rsid w:val="00E75F85"/>
    <w:rsid w:val="00E771F5"/>
    <w:rsid w:val="00E8237C"/>
    <w:rsid w:val="00E956BB"/>
    <w:rsid w:val="00EA3C74"/>
    <w:rsid w:val="00EA4B97"/>
    <w:rsid w:val="00EB7D47"/>
    <w:rsid w:val="00EC2C2F"/>
    <w:rsid w:val="00ED667A"/>
    <w:rsid w:val="00ED733B"/>
    <w:rsid w:val="00ED77AB"/>
    <w:rsid w:val="00EE2EEE"/>
    <w:rsid w:val="00EE6068"/>
    <w:rsid w:val="00EE6AF4"/>
    <w:rsid w:val="00EF1F9A"/>
    <w:rsid w:val="00EF3D65"/>
    <w:rsid w:val="00EF4E78"/>
    <w:rsid w:val="00F02A06"/>
    <w:rsid w:val="00F22EEF"/>
    <w:rsid w:val="00F24BE8"/>
    <w:rsid w:val="00F41F72"/>
    <w:rsid w:val="00F42F60"/>
    <w:rsid w:val="00F47C76"/>
    <w:rsid w:val="00F5106E"/>
    <w:rsid w:val="00F61302"/>
    <w:rsid w:val="00F72E37"/>
    <w:rsid w:val="00F735F1"/>
    <w:rsid w:val="00F8028C"/>
    <w:rsid w:val="00F953DE"/>
    <w:rsid w:val="00FC654F"/>
    <w:rsid w:val="00FD1558"/>
    <w:rsid w:val="00FD7135"/>
    <w:rsid w:val="00FE1616"/>
    <w:rsid w:val="00FE3679"/>
    <w:rsid w:val="00FE6E24"/>
    <w:rsid w:val="00FF47CC"/>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1EFB8"/>
  <w15:chartTrackingRefBased/>
  <w15:docId w15:val="{9E0D712E-B840-4352-9832-D9A086D98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BD"/>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1B9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F1B9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F1B9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F1B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1B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1B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B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B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B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B9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4F1B9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F1B9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F1B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1B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1B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B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B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B99"/>
    <w:rPr>
      <w:rFonts w:eastAsiaTheme="majorEastAsia" w:cstheme="majorBidi"/>
      <w:color w:val="272727" w:themeColor="text1" w:themeTint="D8"/>
    </w:rPr>
  </w:style>
  <w:style w:type="paragraph" w:styleId="Title">
    <w:name w:val="Title"/>
    <w:basedOn w:val="Normal"/>
    <w:next w:val="Normal"/>
    <w:link w:val="TitleChar"/>
    <w:uiPriority w:val="10"/>
    <w:qFormat/>
    <w:rsid w:val="004F1B9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F1B9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F1B9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F1B9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F1B99"/>
    <w:pPr>
      <w:spacing w:before="160"/>
      <w:jc w:val="center"/>
    </w:pPr>
    <w:rPr>
      <w:i/>
      <w:iCs/>
      <w:color w:val="404040" w:themeColor="text1" w:themeTint="BF"/>
    </w:rPr>
  </w:style>
  <w:style w:type="character" w:customStyle="1" w:styleId="QuoteChar">
    <w:name w:val="Quote Char"/>
    <w:basedOn w:val="DefaultParagraphFont"/>
    <w:link w:val="Quote"/>
    <w:uiPriority w:val="29"/>
    <w:rsid w:val="004F1B99"/>
    <w:rPr>
      <w:i/>
      <w:iCs/>
      <w:color w:val="404040" w:themeColor="text1" w:themeTint="BF"/>
    </w:rPr>
  </w:style>
  <w:style w:type="paragraph" w:styleId="ListParagraph">
    <w:name w:val="List Paragraph"/>
    <w:basedOn w:val="Normal"/>
    <w:uiPriority w:val="34"/>
    <w:qFormat/>
    <w:rsid w:val="004F1B99"/>
    <w:pPr>
      <w:ind w:left="720"/>
      <w:contextualSpacing/>
    </w:pPr>
  </w:style>
  <w:style w:type="character" w:styleId="IntenseEmphasis">
    <w:name w:val="Intense Emphasis"/>
    <w:basedOn w:val="DefaultParagraphFont"/>
    <w:uiPriority w:val="21"/>
    <w:qFormat/>
    <w:rsid w:val="004F1B99"/>
    <w:rPr>
      <w:i/>
      <w:iCs/>
      <w:color w:val="0F4761" w:themeColor="accent1" w:themeShade="BF"/>
    </w:rPr>
  </w:style>
  <w:style w:type="paragraph" w:styleId="IntenseQuote">
    <w:name w:val="Intense Quote"/>
    <w:basedOn w:val="Normal"/>
    <w:next w:val="Normal"/>
    <w:link w:val="IntenseQuoteChar"/>
    <w:uiPriority w:val="30"/>
    <w:qFormat/>
    <w:rsid w:val="004F1B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1B99"/>
    <w:rPr>
      <w:i/>
      <w:iCs/>
      <w:color w:val="0F4761" w:themeColor="accent1" w:themeShade="BF"/>
    </w:rPr>
  </w:style>
  <w:style w:type="character" w:styleId="IntenseReference">
    <w:name w:val="Intense Reference"/>
    <w:basedOn w:val="DefaultParagraphFont"/>
    <w:uiPriority w:val="32"/>
    <w:qFormat/>
    <w:rsid w:val="004F1B99"/>
    <w:rPr>
      <w:b/>
      <w:bCs/>
      <w:smallCaps/>
      <w:color w:val="0F4761" w:themeColor="accent1" w:themeShade="BF"/>
      <w:spacing w:val="5"/>
    </w:rPr>
  </w:style>
  <w:style w:type="character" w:styleId="Hyperlink">
    <w:name w:val="Hyperlink"/>
    <w:basedOn w:val="DefaultParagraphFont"/>
    <w:uiPriority w:val="99"/>
    <w:unhideWhenUsed/>
    <w:rsid w:val="008F257C"/>
    <w:rPr>
      <w:color w:val="467886" w:themeColor="hyperlink"/>
      <w:u w:val="single"/>
    </w:rPr>
  </w:style>
  <w:style w:type="character" w:styleId="UnresolvedMention">
    <w:name w:val="Unresolved Mention"/>
    <w:basedOn w:val="DefaultParagraphFont"/>
    <w:uiPriority w:val="99"/>
    <w:semiHidden/>
    <w:unhideWhenUsed/>
    <w:rsid w:val="008F257C"/>
    <w:rPr>
      <w:color w:val="605E5C"/>
      <w:shd w:val="clear" w:color="auto" w:fill="E1DFDD"/>
    </w:rPr>
  </w:style>
  <w:style w:type="paragraph" w:styleId="Bibliography">
    <w:name w:val="Bibliography"/>
    <w:basedOn w:val="Normal"/>
    <w:next w:val="Normal"/>
    <w:uiPriority w:val="37"/>
    <w:unhideWhenUsed/>
    <w:rsid w:val="005B1A68"/>
  </w:style>
  <w:style w:type="character" w:styleId="FollowedHyperlink">
    <w:name w:val="FollowedHyperlink"/>
    <w:basedOn w:val="DefaultParagraphFont"/>
    <w:uiPriority w:val="99"/>
    <w:semiHidden/>
    <w:unhideWhenUsed/>
    <w:rsid w:val="007E026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336438">
      <w:bodyDiv w:val="1"/>
      <w:marLeft w:val="0"/>
      <w:marRight w:val="0"/>
      <w:marTop w:val="0"/>
      <w:marBottom w:val="0"/>
      <w:divBdr>
        <w:top w:val="none" w:sz="0" w:space="0" w:color="auto"/>
        <w:left w:val="none" w:sz="0" w:space="0" w:color="auto"/>
        <w:bottom w:val="none" w:sz="0" w:space="0" w:color="auto"/>
        <w:right w:val="none" w:sz="0" w:space="0" w:color="auto"/>
      </w:divBdr>
    </w:div>
    <w:div w:id="612979383">
      <w:bodyDiv w:val="1"/>
      <w:marLeft w:val="0"/>
      <w:marRight w:val="0"/>
      <w:marTop w:val="0"/>
      <w:marBottom w:val="0"/>
      <w:divBdr>
        <w:top w:val="none" w:sz="0" w:space="0" w:color="auto"/>
        <w:left w:val="none" w:sz="0" w:space="0" w:color="auto"/>
        <w:bottom w:val="none" w:sz="0" w:space="0" w:color="auto"/>
        <w:right w:val="none" w:sz="0" w:space="0" w:color="auto"/>
      </w:divBdr>
    </w:div>
    <w:div w:id="624971814">
      <w:bodyDiv w:val="1"/>
      <w:marLeft w:val="0"/>
      <w:marRight w:val="0"/>
      <w:marTop w:val="0"/>
      <w:marBottom w:val="0"/>
      <w:divBdr>
        <w:top w:val="none" w:sz="0" w:space="0" w:color="auto"/>
        <w:left w:val="none" w:sz="0" w:space="0" w:color="auto"/>
        <w:bottom w:val="none" w:sz="0" w:space="0" w:color="auto"/>
        <w:right w:val="none" w:sz="0" w:space="0" w:color="auto"/>
      </w:divBdr>
    </w:div>
    <w:div w:id="783310385">
      <w:bodyDiv w:val="1"/>
      <w:marLeft w:val="0"/>
      <w:marRight w:val="0"/>
      <w:marTop w:val="0"/>
      <w:marBottom w:val="0"/>
      <w:divBdr>
        <w:top w:val="none" w:sz="0" w:space="0" w:color="auto"/>
        <w:left w:val="none" w:sz="0" w:space="0" w:color="auto"/>
        <w:bottom w:val="none" w:sz="0" w:space="0" w:color="auto"/>
        <w:right w:val="none" w:sz="0" w:space="0" w:color="auto"/>
      </w:divBdr>
    </w:div>
    <w:div w:id="1384407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sciencedirect.com/science/article/pii/S277266222500027X" TargetMode="External"/><Relationship Id="rId18" Type="http://schemas.openxmlformats.org/officeDocument/2006/relationships/hyperlink" Target="https://www.sciencedirect.com/science/article/pii/S0001691824004839" TargetMode="External"/><Relationship Id="rId3" Type="http://schemas.openxmlformats.org/officeDocument/2006/relationships/customXml" Target="../customXml/item3.xml"/><Relationship Id="rId21" Type="http://schemas.openxmlformats.org/officeDocument/2006/relationships/hyperlink" Target="https://www.sciencedirect.com/science/article/pii/S2590291126007060" TargetMode="External"/><Relationship Id="rId7" Type="http://schemas.openxmlformats.org/officeDocument/2006/relationships/settings" Target="settings.xml"/><Relationship Id="rId12" Type="http://schemas.openxmlformats.org/officeDocument/2006/relationships/hyperlink" Target="https://www.sciencedirect.com/science/article/pii/S0957417424010339" TargetMode="External"/><Relationship Id="rId17" Type="http://schemas.openxmlformats.org/officeDocument/2006/relationships/hyperlink" Target="https://www.sciencedirect.com/science/article/pii/S000169182600209X"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sciencedirect.com/science/article/pii/S1747938X26000527" TargetMode="External"/><Relationship Id="rId20" Type="http://schemas.openxmlformats.org/officeDocument/2006/relationships/hyperlink" Target="https://www.sciencedirect.com/science/article/pii/S147281172600073X"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library.educause.edu/resources/2024/4/higher-education-generative-ai-readiness-assessment"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sciencedirect.com/science/article/pii/S2590291126007060" TargetMode="External"/><Relationship Id="rId23" Type="http://schemas.openxmlformats.org/officeDocument/2006/relationships/hyperlink" Target="https://www.sciencedirect.com/science/article/pii/S1096751625000302" TargetMode="External"/><Relationship Id="rId10" Type="http://schemas.openxmlformats.org/officeDocument/2006/relationships/hyperlink" Target="https://arxiv.org/abs/2604.22030" TargetMode="External"/><Relationship Id="rId19" Type="http://schemas.openxmlformats.org/officeDocument/2006/relationships/hyperlink" Target="https://www.sciencedirect.com/science/article/pii/S2666920X25001365" TargetMode="External"/><Relationship Id="rId4" Type="http://schemas.openxmlformats.org/officeDocument/2006/relationships/customXml" Target="../customXml/item4.xml"/><Relationship Id="rId9" Type="http://schemas.openxmlformats.org/officeDocument/2006/relationships/hyperlink" Target="https://www.unesco.org/en/articles/guidance-generative-ai-education-and-research" TargetMode="External"/><Relationship Id="rId14" Type="http://schemas.openxmlformats.org/officeDocument/2006/relationships/hyperlink" Target="https://www.sciencedirect.com/science/article/pii/S2666920X25000050" TargetMode="External"/><Relationship Id="rId22" Type="http://schemas.openxmlformats.org/officeDocument/2006/relationships/hyperlink" Target="https://www.nist.gov/publications/artificial-intelligence-risk-management-framework-generative-artificial-intellig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A9925C42216B4BB408CD2BE0B73ACD" ma:contentTypeVersion="4" ma:contentTypeDescription="Create a new document." ma:contentTypeScope="" ma:versionID="ce7f65a25635724b443b7fab87758d9a">
  <xsd:schema xmlns:xsd="http://www.w3.org/2001/XMLSchema" xmlns:xs="http://www.w3.org/2001/XMLSchema" xmlns:p="http://schemas.microsoft.com/office/2006/metadata/properties" xmlns:ns3="32431550-4c42-4c96-b728-241bc7ba2592" targetNamespace="http://schemas.microsoft.com/office/2006/metadata/properties" ma:root="true" ma:fieldsID="2bc836f1a3b21a7e931500160224f79c" ns3:_="">
    <xsd:import namespace="32431550-4c42-4c96-b728-241bc7ba259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431550-4c42-4c96-b728-241bc7ba259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Gui</b:Tag>
    <b:SourceType>JournalArticle</b:SourceType>
    <b:Guid>{7D628BCB-6CEC-4FA2-9626-64B09A8B8732}</b:Guid>
    <b:Title>Guidance for generative AI in education and research</b:Title>
    <b:URL>https://www.unesco.org/en/articles/guidance-generative-ai-education-and-research</b:URL>
    <b:RefOrder>1</b:RefOrder>
  </b:Source>
  <b:Source>
    <b:Tag>McD</b:Tag>
    <b:SourceType>JournalArticle</b:SourceType>
    <b:Guid>{4EECBB8F-6087-45E6-B1D5-4674457DECFE}</b:Guid>
    <b:Author>
      <b:Author>
        <b:NameList>
          <b:Person>
            <b:Last>McDonald</b:Last>
            <b:First>Nora</b:First>
          </b:Person>
          <b:Person>
            <b:Last>Johri</b:Last>
            <b:First>Aditya</b:First>
          </b:Person>
          <b:Person>
            <b:Last>Ali</b:Last>
            <b:First>Areej</b:First>
          </b:Person>
          <b:Person>
            <b:Last>Hingle</b:Last>
            <b:First>Aayushi</b:First>
          </b:Person>
        </b:NameList>
      </b:Author>
    </b:Author>
    <b:Title>Generative Artificial Intelligence in Higher Education: Evidence from an Analysis of Institutional Policies and Guidelines</b:Title>
    <b:URL>https://arxiv.org/abs/2402.01659</b:URL>
    <b:RefOrder>2</b:RefOrder>
  </b:Source>
</b:Sources>
</file>

<file path=customXml/itemProps1.xml><?xml version="1.0" encoding="utf-8"?>
<ds:datastoreItem xmlns:ds="http://schemas.openxmlformats.org/officeDocument/2006/customXml" ds:itemID="{614AC166-D349-4966-A50A-3F524479C71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C984BEA-DEAF-4010-A37C-63A79888F0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431550-4c42-4c96-b728-241bc7ba25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8CF192B-DFE1-4869-A510-B9831136A382}">
  <ds:schemaRefs>
    <ds:schemaRef ds:uri="http://schemas.microsoft.com/sharepoint/v3/contenttype/forms"/>
  </ds:schemaRefs>
</ds:datastoreItem>
</file>

<file path=customXml/itemProps4.xml><?xml version="1.0" encoding="utf-8"?>
<ds:datastoreItem xmlns:ds="http://schemas.openxmlformats.org/officeDocument/2006/customXml" ds:itemID="{510BB4BE-02DC-407F-9EB3-9049A8B8BA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734</TotalTime>
  <Pages>6</Pages>
  <Words>2437</Words>
  <Characters>13895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Mst Jannatul Ferdus</dc:creator>
  <cp:keywords/>
  <dc:description/>
  <cp:lastModifiedBy>Mst Jannatul Ferdus</cp:lastModifiedBy>
  <cp:revision>307</cp:revision>
  <dcterms:created xsi:type="dcterms:W3CDTF">2026-08-19T06:36:00Z</dcterms:created>
  <dcterms:modified xsi:type="dcterms:W3CDTF">2026-08-26T19:34:00Z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c599e6fc-d073-43e8-ac5f-a00aca743389</vt:lpwstr>
  </property>
  <property fmtid="{D5CDD505-2E9C-101B-9397-08002B2CF9AE}" pid="3" name="ContentTypeId">
    <vt:lpwstr>0x010100CFA9925C42216B4BB408CD2BE0B73ACD</vt:lpwstr>
  </property>
</Properties>
</file>