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240"/>
        <w:jc w:val="center"/>
      </w:pPr>
      <w:r>
        <w:rPr>
          <w:rFonts w:ascii="Times New Roman" w:hAnsi="Times New Roman"/>
          <w:b/>
          <w:color w:val="000000"/>
          <w:sz w:val="44"/>
        </w:rPr>
        <w:t>University of Dhaka</w:t>
      </w:r>
    </w:p>
    <w:p>
      <w:pPr>
        <w:spacing w:after="240"/>
        <w:jc w:val="center"/>
      </w:pPr>
      <w:r>
        <w:rPr>
          <w:rFonts w:ascii="Times New Roman" w:hAnsi="Times New Roman"/>
          <w:b/>
          <w:color w:val="333333"/>
          <w:sz w:val="32"/>
        </w:rPr>
        <w:t>Institute of Information Technology (IIT)</w:t>
      </w:r>
    </w:p>
    <w:p>
      <w:pPr>
        <w:spacing w:before="600"/>
      </w:pPr>
    </w:p>
    <w:p>
      <w:pPr>
        <w:spacing w:after="240"/>
        <w:jc w:val="center"/>
      </w:pPr>
      <w:r>
        <w:rPr>
          <w:rFonts w:ascii="Times New Roman" w:hAnsi="Times New Roman"/>
          <w:b/>
          <w:color w:val="000000"/>
          <w:sz w:val="40"/>
        </w:rPr>
        <w:t>SmartResearch: An AI-Powered Academic Collaboration and Research Discovery Platform</w:t>
      </w:r>
    </w:p>
    <w:p>
      <w:pPr>
        <w:spacing w:after="800"/>
        <w:jc w:val="center"/>
      </w:pPr>
      <w:r>
        <w:rPr>
          <w:rFonts w:ascii="Times New Roman" w:hAnsi="Times New Roman"/>
          <w:i/>
          <w:sz w:val="24"/>
        </w:rPr>
        <w:t>A Project Report Submitted to the Institute of Information Technology (IIT), University of Dhaka</w:t>
        <w:br/>
        <w:t>In Partial Fulfillment of the Requirements for the Degree of</w:t>
        <w:br/>
        <w:t>Executive Master in Information Technology (EMIT) / Master in Information Technology (MIT)</w:t>
      </w:r>
    </w:p>
    <w:tbl>
      <w:tblPr>
        <w:tblW w:type="auto" w:w="0"/>
        <w:jc w:val="center"/>
        <w:tblLayout w:type="fixed"/>
        <w:tblLook w:firstColumn="1" w:firstRow="1" w:lastColumn="0" w:lastRow="0" w:noHBand="0" w:noVBand="1" w:val="04A0"/>
      </w:tblPr>
      <w:tblGrid>
        <w:gridCol w:w="4680"/>
        <w:gridCol w:w="4680"/>
      </w:tblGrid>
      <w:tr>
        <w:tc>
          <w:tcPr>
            <w:tcW w:type="dxa" w:w="4680"/>
          </w:tcPr>
          <w:p>
            <w:r>
              <w:rPr>
                <w:b/>
              </w:rPr>
              <w:t>Submitted By:</w:t>
              <w:br/>
            </w:r>
            <w:r>
              <w:t>Name: Mostofa Rezvi</w:t>
              <w:br/>
              <w:t>Exam Roll: 252024</w:t>
              <w:br/>
              <w:t>Session: 2024-2025</w:t>
              <w:br/>
              <w:t>Program: EMIT</w:t>
            </w:r>
          </w:p>
        </w:tc>
        <w:tc>
          <w:tcPr>
            <w:tcW w:type="dxa" w:w="4680"/>
          </w:tcPr>
          <w:p>
            <w:r>
              <w:rPr>
                <w:b/>
              </w:rPr>
              <w:t>Supervised By:</w:t>
              <w:br/>
            </w:r>
            <w:r>
              <w:t>Dr. Rezvi Shahariar</w:t>
              <w:br/>
              <w:t>Associate Professor</w:t>
              <w:br/>
              <w:t>Institute of Information Technology (IIT)</w:t>
              <w:br/>
              <w:t>University of Dhaka</w:t>
            </w:r>
          </w:p>
        </w:tc>
      </w:tr>
      <w:tr>
        <w:tc>
          <w:tcPr>
            <w:tcW w:type="dxa" w:w="4680"/>
          </w:tcPr>
          <w:p/>
        </w:tc>
        <w:tc>
          <w:tcPr>
            <w:tcW w:type="dxa" w:w="4680"/>
          </w:tcPr>
          <w:p/>
        </w:tc>
      </w:tr>
    </w:tbl>
    <w:p>
      <w:pPr>
        <w:spacing w:before="1000"/>
        <w:jc w:val="center"/>
      </w:pPr>
      <w:r>
        <w:rPr>
          <w:b/>
        </w:rPr>
        <w:t>Date of Submission: August 2026</w:t>
      </w:r>
    </w:p>
    <w:p>
      <w:pPr>
        <w:pStyle w:val="Heading1"/>
        <w:keepNext/>
        <w:spacing w:before="360" w:after="160"/>
        <w:pageBreakBefore/>
      </w:pPr>
      <w:r>
        <w:rPr>
          <w:rFonts w:ascii="Times New Roman" w:hAnsi="Times New Roman"/>
          <w:b/>
          <w:color w:val="000000"/>
          <w:sz w:val="36"/>
        </w:rPr>
        <w:t>Acknowledgement</w:t>
      </w:r>
    </w:p>
    <w:p>
      <w:pPr>
        <w:spacing w:line="276" w:lineRule="auto" w:after="120"/>
      </w:pPr>
      <w:r>
        <w:rPr>
          <w:rFonts w:ascii="Times New Roman" w:hAnsi="Times New Roman"/>
          <w:i w:val="0"/>
        </w:rPr>
        <w:t>I would like to express my sincere gratitude and appreciation to my Project Supervisor, Dr. Rezvi Shahariar, Associate Professor, Institute of Information Technology (IIT), University of Dhaka, for his constant support, invaluable guidance, and constructive feedback throughout the design and implementation of the SmartResearch project. His expertise in software engineering and system design greatly influenced the architectural framework of this system.</w:t>
      </w:r>
    </w:p>
    <w:p>
      <w:pPr>
        <w:spacing w:line="276" w:lineRule="auto" w:after="120"/>
      </w:pPr>
      <w:r>
        <w:rPr>
          <w:rFonts w:ascii="Times New Roman" w:hAnsi="Times New Roman"/>
          <w:i w:val="0"/>
        </w:rPr>
        <w:t>I am also deeply grateful to the faculty members and staff of the Institute of Information Technology (IIT), University of Dhaka, for providing an enriching academic environment and necessary resources. Special thanks are due to my peers and fellow researchers whose discussions and feedback helped refine the platform features.</w:t>
      </w:r>
    </w:p>
    <w:p>
      <w:pPr>
        <w:pStyle w:val="Heading1"/>
        <w:keepNext/>
        <w:spacing w:before="360" w:after="160"/>
        <w:pageBreakBefore/>
      </w:pPr>
      <w:r>
        <w:rPr>
          <w:rFonts w:ascii="Times New Roman" w:hAnsi="Times New Roman"/>
          <w:b/>
          <w:color w:val="000000"/>
          <w:sz w:val="36"/>
        </w:rPr>
        <w:t>Declaration</w:t>
      </w:r>
    </w:p>
    <w:p>
      <w:pPr>
        <w:spacing w:line="276" w:lineRule="auto" w:after="120"/>
      </w:pPr>
      <w:r>
        <w:rPr>
          <w:rFonts w:ascii="Times New Roman" w:hAnsi="Times New Roman"/>
          <w:i w:val="0"/>
        </w:rPr>
        <w:t>I hereby declare that this project report titled 'SmartResearch: An AI-Powered Academic Collaboration and Research Discovery Platform' is my original work executed under the supervision of Dr. Rezvi Shahariar. No portion of this work has been submitted previously for the award of any degree, diploma, or academic distinction at this or any other institution.</w:t>
      </w:r>
    </w:p>
    <w:p>
      <w:pPr>
        <w:spacing w:before="600"/>
      </w:pPr>
      <w:r>
        <w:t>Student Name: Mostofa Rezvi</w:t>
        <w:br/>
        <w:t>Exam Roll: 252024</w:t>
        <w:br/>
        <w:t>Signature: ...........................................</w:t>
      </w:r>
    </w:p>
    <w:p>
      <w:pPr>
        <w:pStyle w:val="Heading1"/>
        <w:keepNext/>
        <w:spacing w:before="360" w:after="160"/>
        <w:pageBreakBefore/>
      </w:pPr>
      <w:r>
        <w:rPr>
          <w:rFonts w:ascii="Times New Roman" w:hAnsi="Times New Roman"/>
          <w:b/>
          <w:color w:val="000000"/>
          <w:sz w:val="36"/>
        </w:rPr>
        <w:t>Signature Page</w:t>
      </w:r>
    </w:p>
    <w:p>
      <w:r>
        <w:rPr>
          <w:b/>
        </w:rPr>
        <w:t xml:space="preserve">Project Title: </w:t>
      </w:r>
      <w:r>
        <w:t>SmartResearch: An AI-Powered Academic Collaboration and Research Discovery Platform</w:t>
        <w:br/>
      </w:r>
      <w:r>
        <w:rPr>
          <w:b/>
        </w:rPr>
        <w:t xml:space="preserve">Student Name: </w:t>
      </w:r>
      <w:r>
        <w:t>Mostofa Rezvi</w:t>
        <w:br/>
      </w:r>
      <w:r>
        <w:rPr>
          <w:b/>
        </w:rPr>
        <w:t xml:space="preserve">Exam Roll: </w:t>
      </w:r>
      <w:r>
        <w:t xml:space="preserve">252024 | </w:t>
      </w:r>
      <w:r>
        <w:rPr>
          <w:b/>
        </w:rPr>
        <w:t xml:space="preserve">Session: </w:t>
      </w:r>
      <w:r>
        <w:t xml:space="preserve">2024-2025 | </w:t>
      </w:r>
      <w:r>
        <w:rPr>
          <w:b/>
        </w:rPr>
        <w:t xml:space="preserve">Program: </w:t>
      </w:r>
      <w:r>
        <w:t>EMIT</w:t>
        <w:br/>
      </w:r>
      <w:r>
        <w:rPr>
          <w:b/>
        </w:rPr>
        <w:t xml:space="preserve">Supervisor: </w:t>
      </w:r>
      <w:r>
        <w:t>Dr. Rezvi Shahariar, Associate Professor, IIT, University of Dhaka</w:t>
        <w:br/>
        <w:br/>
      </w:r>
      <w:r>
        <w:t>Supervisor's Approval: .................................................</w:t>
        <w:br/>
      </w:r>
      <w:r>
        <w:t>Date: August 2026</w:t>
      </w:r>
    </w:p>
    <w:p>
      <w:pPr>
        <w:pStyle w:val="Heading1"/>
        <w:keepNext/>
        <w:spacing w:before="360" w:after="160"/>
        <w:pageBreakBefore/>
      </w:pPr>
      <w:r>
        <w:rPr>
          <w:rFonts w:ascii="Times New Roman" w:hAnsi="Times New Roman"/>
          <w:b/>
          <w:color w:val="000000"/>
          <w:sz w:val="36"/>
        </w:rPr>
        <w:t>Abstract</w:t>
      </w:r>
    </w:p>
    <w:p>
      <w:pPr>
        <w:spacing w:line="276" w:lineRule="auto" w:after="120"/>
      </w:pPr>
      <w:r>
        <w:rPr>
          <w:rFonts w:ascii="Times New Roman" w:hAnsi="Times New Roman"/>
          <w:i w:val="0"/>
        </w:rPr>
        <w:t>Modern academic research faces critical bottlenecks: research discovery remains fragmented across disparate databases, peer collaboration is hindered by institutional silos, and publication workflows lack automated intelligence. The SmartResearch platform is a modern, microservice-based web application designed to solve these challenges through a unified academic ecosystem. Built with Next.js (App Router), Node.js/Express gateway, and a Python FastAPI ML service, SmartResearch integrates SBERT-driven semantic matching, Neo4j trust graph modeling, and an Agentic Retrieval-Augmented Generation (RAG) conversational engine.</w:t>
      </w:r>
    </w:p>
    <w:p>
      <w:pPr>
        <w:spacing w:line="276" w:lineRule="auto" w:after="120"/>
      </w:pPr>
      <w:r>
        <w:rPr>
          <w:rFonts w:ascii="Times New Roman" w:hAnsi="Times New Roman"/>
          <w:i w:val="0"/>
        </w:rPr>
        <w:t>Key modules include an AI Discovery Engine for researcher and paper matchmaking, real-time Collaborative Workspaces with rich text versioning, a Publication Assistant integrated with DOAJ journal recommendations, a TrustRank reputation-gated Community Forum, a structured Mentorship module, and a verified Researchers Directory. The system guarantees reliable execution through graceful RAG fallbacks, containerized Kubernetes orchestration, and comprehensive telemetry. Performance evaluation demonstrates real-time vector retrieval (&lt;45ms) and seamless scalable interaction across core academic workflows.</w:t>
      </w:r>
    </w:p>
    <w:p>
      <w:pPr>
        <w:keepNext/>
        <w:spacing w:before="360" w:after="200"/>
        <w:pageBreakBefore/>
      </w:pPr>
      <w:r>
        <w:rPr>
          <w:rFonts w:ascii="Times New Roman" w:hAnsi="Times New Roman"/>
          <w:b/>
          <w:color w:val="000000"/>
          <w:sz w:val="32"/>
        </w:rPr>
        <w:t>Table of Contents</w:t>
      </w:r>
    </w:p>
    <w:p>
      <w:r>
        <w:rPr>
          <w:i/>
          <w:color w:val="595959"/>
          <w:sz w:val="18"/>
        </w:rPr>
        <w:t>The page numbers below are generated automatically. To refresh them, select the table and press F9 (or right-click → Update Field).</w:t>
      </w:r>
    </w:p>
    <w:p>
      <w:r>
        <w:fldChar w:fldCharType="begin" w:dirty="true"/>
      </w:r>
      <w:r>
        <w:instrText xml:space="preserve"> TOC \o "1-3" \h \z \u </w:instrText>
      </w:r>
      <w:r>
        <w:fldChar w:fldCharType="separate"/>
      </w:r>
      <w:r>
        <w:t>Right-click here and choose “Update Field” to build the Table of Contents.</w:t>
      </w:r>
      <w:r>
        <w:fldChar w:fldCharType="end"/>
      </w:r>
    </w:p>
    <w:p>
      <w:pPr>
        <w:keepNext/>
        <w:spacing w:before="360" w:after="200"/>
        <w:pageBreakBefore/>
      </w:pPr>
      <w:r>
        <w:rPr>
          <w:rFonts w:ascii="Times New Roman" w:hAnsi="Times New Roman"/>
          <w:b/>
          <w:color w:val="000000"/>
          <w:sz w:val="32"/>
        </w:rPr>
        <w:t>List of Tables</w:t>
      </w:r>
    </w:p>
    <w:tbl>
      <w:tblPr>
        <w:tblW w:type="auto" w:w="0"/>
        <w:jc w:val="center"/>
        <w:tblLayout w:type="fixed"/>
        <w:tblLook w:firstColumn="1" w:firstRow="1" w:lastColumn="0" w:lastRow="0" w:noHBand="0" w:noVBand="1" w:val="04A0"/>
      </w:tblPr>
      <w:tblGrid>
        <w:gridCol w:w="3120"/>
        <w:gridCol w:w="3120"/>
        <w:gridCol w:w="3120"/>
      </w:tblGrid>
      <w:tr>
        <w:tc>
          <w:tcPr>
            <w:tcW w:type="dxa" w:w="1368"/>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Table</w:t>
            </w:r>
          </w:p>
        </w:tc>
        <w:tc>
          <w:tcPr>
            <w:tcW w:type="dxa" w:w="720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Description</w:t>
            </w:r>
          </w:p>
        </w:tc>
        <w:tc>
          <w:tcPr>
            <w:tcW w:type="dxa" w:w="108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color w:val="FFFFFF"/>
                <w:sz w:val="20"/>
              </w:rPr>
              <w:t>Page</w:t>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Table 1</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Core Technology Stack Specification</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table1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Table 2</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Functional Requirements Matrix</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table2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Table 3</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 Routing and Endpoint Gateway</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table3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Table 4</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Database Entities and Collection Specifications</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table4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Table 5</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Automated Test Suite Metrics &amp; Coverage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table5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Table 6</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RAG Engine Latency &amp; Fallback Evaluation</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table6 \h </w:instrText>
            </w:r>
            <w:r>
              <w:rPr>
                <w:sz w:val="20"/>
                <w:color w:val="262626"/>
              </w:rPr>
              <w:fldChar w:fldCharType="separate"/>
            </w:r>
            <w:r>
              <w:rPr>
                <w:sz w:val="20"/>
                <w:color w:val="262626"/>
              </w:rPr>
              <w:t>•</w:t>
            </w:r>
            <w:r>
              <w:rPr>
                <w:sz w:val="20"/>
                <w:color w:val="262626"/>
              </w:rPr>
              <w:fldChar w:fldCharType="end"/>
            </w:r>
          </w:p>
        </w:tc>
      </w:tr>
    </w:tbl>
    <w:p>
      <w:pPr>
        <w:keepNext/>
        <w:spacing w:before="360" w:after="200"/>
        <w:pageBreakBefore/>
      </w:pPr>
      <w:r>
        <w:rPr>
          <w:rFonts w:ascii="Times New Roman" w:hAnsi="Times New Roman"/>
          <w:b/>
          <w:color w:val="000000"/>
          <w:sz w:val="32"/>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368"/>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Figure</w:t>
            </w:r>
          </w:p>
        </w:tc>
        <w:tc>
          <w:tcPr>
            <w:tcW w:type="dxa" w:w="720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Description</w:t>
            </w:r>
          </w:p>
        </w:tc>
        <w:tc>
          <w:tcPr>
            <w:tcW w:type="dxa" w:w="108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color w:val="FFFFFF"/>
                <w:sz w:val="20"/>
              </w:rPr>
              <w:t>Page</w:t>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1</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SmartResearch High-Level System Architecture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figure1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Figure 2</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Level 0 System Context Use Case Diagram</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figure2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3</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Level 1 Data Flow Diagram (RAG &amp; Collaboration)</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figure3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Figure 4</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Landing Page &amp; Platform Gateway Interface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figure4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5</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User Authentication &amp; Login Interface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figure5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Figure 6</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User Account Registration &amp; Verification Interface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figure6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7</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AI Research Discovery Engine &amp; Matchmaking View</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figure7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Figure 8</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Real-Time Collaborative Workspace Interface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figure8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9</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Research Library &amp; Citation Collection View</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figure9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Figure 10</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AI Research Assistant (Agentic RAG) Conversational View</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figure10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11</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Community Forum &amp; TrustRank Reputation Interface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figure11 \h </w:instrText>
            </w:r>
            <w:r>
              <w:rPr>
                <w:sz w:val="20"/>
                <w:color w:val="262626"/>
              </w:rPr>
              <w:fldChar w:fldCharType="separate"/>
            </w:r>
            <w:r>
              <w:rPr>
                <w:sz w:val="20"/>
                <w:color w:val="262626"/>
              </w:rPr>
              <w:t>•</w:t>
            </w:r>
            <w:r>
              <w:rPr>
                <w:sz w:val="20"/>
                <w:color w:val="262626"/>
              </w:rPr>
              <w:fldChar w:fldCharType="end"/>
            </w:r>
          </w:p>
        </w:tc>
      </w:tr>
      <w:tr>
        <w:tc>
          <w:tcPr>
            <w:tcW w:type="dxa" w:w="1368"/>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val="0"/>
                <w:color w:val="262626"/>
                <w:sz w:val="20"/>
              </w:rPr>
              <w:t>Figure 12</w:t>
            </w:r>
          </w:p>
        </w:tc>
        <w:tc>
          <w:tcPr>
            <w:tcW w:type="dxa" w:w="720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val="0"/>
                <w:color w:val="262626"/>
                <w:sz w:val="20"/>
              </w:rPr>
              <w:t>Mentorship Matchmaking &amp; Academic Guidance Module</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sz w:val="20"/>
                <w:color w:val="262626"/>
              </w:rPr>
              <w:fldChar w:fldCharType="begin"/>
            </w:r>
            <w:r>
              <w:rPr>
                <w:sz w:val="20"/>
                <w:color w:val="262626"/>
              </w:rPr>
              <w:instrText xml:space="preserve"> PAGEREF figure12 \h </w:instrText>
            </w:r>
            <w:r>
              <w:rPr>
                <w:sz w:val="20"/>
                <w:color w:val="262626"/>
              </w:rPr>
              <w:fldChar w:fldCharType="separate"/>
            </w:r>
            <w:r>
              <w:rPr>
                <w:sz w:val="20"/>
                <w:color w:val="262626"/>
              </w:rPr>
              <w:t>•</w:t>
            </w:r>
            <w:r>
              <w:rPr>
                <w:sz w:val="20"/>
                <w:color w:val="262626"/>
              </w:rPr>
              <w:fldChar w:fldCharType="end"/>
            </w:r>
          </w:p>
        </w:tc>
      </w:tr>
      <w:tr>
        <w:tc>
          <w:tcPr>
            <w:tcW w:type="dxa" w:w="136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Calibri" w:hAnsi="Calibri"/>
                <w:b w:val="0"/>
                <w:color w:val="262626"/>
                <w:sz w:val="20"/>
              </w:rPr>
              <w:t>Figure 13</w:t>
            </w:r>
          </w:p>
        </w:tc>
        <w:tc>
          <w:tcPr>
            <w:tcW w:type="dxa" w:w="720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Verified Researchers Directory &amp; Institutional Profile View</w:t>
            </w:r>
          </w:p>
        </w:tc>
        <w:tc>
          <w:tcPr>
            <w:tcW w:type="dxa" w:w="108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sz w:val="20"/>
                <w:color w:val="262626"/>
              </w:rPr>
              <w:fldChar w:fldCharType="begin"/>
            </w:r>
            <w:r>
              <w:rPr>
                <w:sz w:val="20"/>
                <w:color w:val="262626"/>
              </w:rPr>
              <w:instrText xml:space="preserve"> PAGEREF figure13 \h </w:instrText>
            </w:r>
            <w:r>
              <w:rPr>
                <w:sz w:val="20"/>
                <w:color w:val="262626"/>
              </w:rPr>
              <w:fldChar w:fldCharType="separate"/>
            </w:r>
            <w:r>
              <w:rPr>
                <w:sz w:val="20"/>
                <w:color w:val="262626"/>
              </w:rPr>
              <w:t>•</w:t>
            </w:r>
            <w:r>
              <w:rPr>
                <w:sz w:val="20"/>
                <w:color w:val="262626"/>
              </w:rPr>
              <w:fldChar w:fldCharType="end"/>
            </w:r>
          </w:p>
        </w:tc>
      </w:tr>
    </w:tbl>
    <w:p>
      <w:pPr>
        <w:pStyle w:val="Heading1"/>
        <w:keepNext/>
        <w:spacing w:before="360" w:after="160"/>
        <w:pageBreakBefore/>
      </w:pPr>
      <w:r>
        <w:rPr>
          <w:rFonts w:ascii="Times New Roman" w:hAnsi="Times New Roman"/>
          <w:b/>
          <w:color w:val="000000"/>
          <w:sz w:val="36"/>
        </w:rPr>
        <w:t>Chapter 1: Introduction</w:t>
      </w:r>
    </w:p>
    <w:p>
      <w:pPr>
        <w:pStyle w:val="Heading2"/>
        <w:keepNext/>
        <w:spacing w:before="280" w:after="120"/>
      </w:pPr>
      <w:r>
        <w:rPr>
          <w:rFonts w:ascii="Times New Roman" w:hAnsi="Times New Roman"/>
          <w:b/>
          <w:color w:val="222222"/>
          <w:sz w:val="28"/>
        </w:rPr>
        <w:t>1.1 Background &amp; Motivation</w:t>
      </w:r>
    </w:p>
    <w:p>
      <w:pPr>
        <w:spacing w:line="276" w:lineRule="auto" w:after="120"/>
      </w:pPr>
      <w:r>
        <w:rPr>
          <w:rFonts w:ascii="Times New Roman" w:hAnsi="Times New Roman"/>
          <w:i w:val="0"/>
        </w:rPr>
        <w:t>Academic research is the foundation of scientific innovation, technological advancement, and societal development. Today, thousands of universities, research institutes, and independent scholars produce millions of scholarly articles annually across diverse disciplines such as computer science, artificial intelligence, biotechnology, and social sciences. However, despite the exponential growth of academic knowledge, the software infrastructure supporting academic collaboration and research discovery has remained fragmented.</w:t>
      </w:r>
    </w:p>
    <w:p>
      <w:pPr>
        <w:spacing w:line="276" w:lineRule="auto" w:after="120"/>
      </w:pPr>
      <w:r>
        <w:rPr>
          <w:rFonts w:ascii="Times New Roman" w:hAnsi="Times New Roman"/>
          <w:i w:val="0"/>
        </w:rPr>
        <w:t>Traditional research portals (such as static publication repositories or generic social media platforms) suffer from significant operational drawbacks: keyword-only search engines miss deep semantic connections, institutional isolation prevents junior researchers from connecting with global mentors, and publication workflows are manual and error-prone. The SmartResearch project was motivated by the compelling need for an intelligent, unified, and secure platform that integrates semantic search, trust-based community engagement, automated publication guidance, and conversational AI assistance.</w:t>
      </w:r>
    </w:p>
    <w:p>
      <w:pPr>
        <w:pStyle w:val="Heading2"/>
        <w:keepNext/>
        <w:spacing w:before="280" w:after="120"/>
      </w:pPr>
      <w:r>
        <w:rPr>
          <w:rFonts w:ascii="Times New Roman" w:hAnsi="Times New Roman"/>
          <w:b/>
          <w:color w:val="222222"/>
          <w:sz w:val="28"/>
        </w:rPr>
        <w:t>1.2 Problem Statement</w:t>
      </w:r>
    </w:p>
    <w:p>
      <w:pPr>
        <w:spacing w:line="276" w:lineRule="auto" w:after="120"/>
      </w:pPr>
      <w:r>
        <w:rPr>
          <w:rFonts w:ascii="Times New Roman" w:hAnsi="Times New Roman"/>
          <w:i w:val="0"/>
        </w:rPr>
        <w:t>Current academic tools present three major challenges:</w:t>
      </w:r>
    </w:p>
    <w:p>
      <w:pPr>
        <w:pStyle w:val="ListBullet"/>
        <w:spacing w:line="276" w:lineRule="auto" w:after="80"/>
      </w:pPr>
      <w:r>
        <w:rPr>
          <w:rFonts w:ascii="Times New Roman" w:hAnsi="Times New Roman"/>
          <w:b/>
        </w:rPr>
        <w:t xml:space="preserve">1. Information Overload &amp; Poor Matching: </w:t>
      </w:r>
      <w:r>
        <w:rPr>
          <w:rFonts w:ascii="Times New Roman" w:hAnsi="Times New Roman"/>
        </w:rPr>
        <w:t>Researchers struggle to identify semantically relevant papers and potential co-authors beyond direct keyword matches.</w:t>
      </w:r>
    </w:p>
    <w:p>
      <w:pPr>
        <w:pStyle w:val="ListBullet"/>
        <w:spacing w:line="276" w:lineRule="auto" w:after="80"/>
      </w:pPr>
      <w:r>
        <w:rPr>
          <w:rFonts w:ascii="Times New Roman" w:hAnsi="Times New Roman"/>
          <w:b/>
        </w:rPr>
        <w:t xml:space="preserve">2. Academic Isolation &amp; Low Trust: </w:t>
      </w:r>
      <w:r>
        <w:rPr>
          <w:rFonts w:ascii="Times New Roman" w:hAnsi="Times New Roman"/>
        </w:rPr>
        <w:t>Early-career researchers face barriers finding experienced mentors, while online forums suffer from low-quality posts and lack of reputation verification.</w:t>
      </w:r>
    </w:p>
    <w:p>
      <w:pPr>
        <w:pStyle w:val="ListBullet"/>
        <w:spacing w:line="276" w:lineRule="auto" w:after="80"/>
      </w:pPr>
      <w:r>
        <w:rPr>
          <w:rFonts w:ascii="Times New Roman" w:hAnsi="Times New Roman"/>
          <w:b/>
        </w:rPr>
        <w:t xml:space="preserve">3. Unreliable AI Assistance: </w:t>
      </w:r>
      <w:r>
        <w:rPr>
          <w:rFonts w:ascii="Times New Roman" w:hAnsi="Times New Roman"/>
        </w:rPr>
        <w:t>Existing LLM tools often hallucinate citations or produce unverified answers, making them unreliable for scholarly work without grounded retrieval.</w:t>
      </w:r>
    </w:p>
    <w:p>
      <w:pPr>
        <w:pStyle w:val="Heading2"/>
        <w:keepNext/>
        <w:spacing w:before="280" w:after="120"/>
      </w:pPr>
      <w:r>
        <w:rPr>
          <w:rFonts w:ascii="Times New Roman" w:hAnsi="Times New Roman"/>
          <w:b/>
          <w:color w:val="222222"/>
          <w:sz w:val="28"/>
        </w:rPr>
        <w:t>1.3 Project Objectives</w:t>
      </w:r>
    </w:p>
    <w:p>
      <w:pPr>
        <w:spacing w:line="276" w:lineRule="auto" w:after="120"/>
      </w:pPr>
      <w:r>
        <w:rPr>
          <w:rFonts w:ascii="Times New Roman" w:hAnsi="Times New Roman"/>
          <w:i w:val="0"/>
        </w:rPr>
        <w:t>The primary objectives of the SmartResearch project are:</w:t>
      </w:r>
    </w:p>
    <w:p>
      <w:pPr>
        <w:pStyle w:val="ListBullet"/>
        <w:spacing w:line="276" w:lineRule="auto" w:after="80"/>
      </w:pPr>
      <w:r>
        <w:rPr>
          <w:rFonts w:ascii="Times New Roman" w:hAnsi="Times New Roman"/>
          <w:b/>
        </w:rPr>
        <w:t xml:space="preserve">1. Unified Academic Portal: </w:t>
      </w:r>
      <w:r>
        <w:rPr>
          <w:rFonts w:ascii="Times New Roman" w:hAnsi="Times New Roman"/>
        </w:rPr>
        <w:t>Develop a high-performance Next.js and Express microservice web application for academic networking.</w:t>
      </w:r>
    </w:p>
    <w:p>
      <w:pPr>
        <w:pStyle w:val="ListBullet"/>
        <w:spacing w:line="276" w:lineRule="auto" w:after="80"/>
      </w:pPr>
      <w:r>
        <w:rPr>
          <w:rFonts w:ascii="Times New Roman" w:hAnsi="Times New Roman"/>
          <w:b/>
        </w:rPr>
        <w:t xml:space="preserve">2. AI Discovery Engine: </w:t>
      </w:r>
      <w:r>
        <w:rPr>
          <w:rFonts w:ascii="Times New Roman" w:hAnsi="Times New Roman"/>
        </w:rPr>
        <w:t>Deploy Sentence-Transformers (SBERT) and Elasticsearch kNN vector search for real-time paper and author matching.</w:t>
      </w:r>
    </w:p>
    <w:p>
      <w:pPr>
        <w:pStyle w:val="ListBullet"/>
        <w:spacing w:line="276" w:lineRule="auto" w:after="80"/>
      </w:pPr>
      <w:r>
        <w:rPr>
          <w:rFonts w:ascii="Times New Roman" w:hAnsi="Times New Roman"/>
          <w:b/>
        </w:rPr>
        <w:t xml:space="preserve">3. Agentic RAG Assistant: </w:t>
      </w:r>
      <w:r>
        <w:rPr>
          <w:rFonts w:ascii="Times New Roman" w:hAnsi="Times New Roman"/>
        </w:rPr>
        <w:t>Build a hybrid RAG chat system supporting grounded paper QA, volume summaries, and extractive fallback.</w:t>
      </w:r>
    </w:p>
    <w:p>
      <w:pPr>
        <w:pStyle w:val="ListBullet"/>
        <w:spacing w:line="276" w:lineRule="auto" w:after="80"/>
      </w:pPr>
      <w:r>
        <w:rPr>
          <w:rFonts w:ascii="Times New Roman" w:hAnsi="Times New Roman"/>
          <w:b/>
        </w:rPr>
        <w:t xml:space="preserve">4. Reputation &amp; Trust Graph: </w:t>
      </w:r>
      <w:r>
        <w:rPr>
          <w:rFonts w:ascii="Times New Roman" w:hAnsi="Times New Roman"/>
        </w:rPr>
        <w:t>Implement Neo4j graph algorithms (TrustRank) to gate discussions, verify credentials, and eliminate spam.</w:t>
      </w:r>
    </w:p>
    <w:p>
      <w:pPr>
        <w:pStyle w:val="ListBullet"/>
        <w:spacing w:line="276" w:lineRule="auto" w:after="80"/>
      </w:pPr>
      <w:r>
        <w:rPr>
          <w:rFonts w:ascii="Times New Roman" w:hAnsi="Times New Roman"/>
          <w:b/>
        </w:rPr>
        <w:t xml:space="preserve">5. Publication Assistant: </w:t>
      </w:r>
      <w:r>
        <w:rPr>
          <w:rFonts w:ascii="Times New Roman" w:hAnsi="Times New Roman"/>
        </w:rPr>
        <w:t>Provide live journal matching against Directory of Open Access Journals (DOAJ) data.</w:t>
      </w:r>
    </w:p>
    <w:p>
      <w:pPr>
        <w:pStyle w:val="Heading2"/>
        <w:keepNext/>
        <w:spacing w:before="280" w:after="120"/>
      </w:pPr>
      <w:r>
        <w:rPr>
          <w:rFonts w:ascii="Times New Roman" w:hAnsi="Times New Roman"/>
          <w:b/>
          <w:color w:val="222222"/>
          <w:sz w:val="28"/>
        </w:rPr>
        <w:t>1.4 Scope of the Project</w:t>
      </w:r>
    </w:p>
    <w:p>
      <w:pPr>
        <w:spacing w:line="276" w:lineRule="auto" w:after="120"/>
      </w:pPr>
      <w:r>
        <w:t>The scope of the project encompasses the complete, end-to-end research lifecycle. It spans user onboarding and institutional verification, semantic discovery of papers and collaborators, real-time collaborative authoring, agentic retrieval-augmented question answering, reputation-gated community discussion, structured mentorship, and publication support through live open-access journal matching. The platform targets a production-grade deployment on Kubernetes with observability, horizontal auto-scaling, and graceful degradation, while remaining within the resource budget of a single institutional cluster. Out of scope for this iteration are native mobile clients and fully on-premise large-language-model hosting, both of which are identified as future work.</w:t>
      </w:r>
    </w:p>
    <w:p>
      <w:pPr>
        <w:pStyle w:val="Heading1"/>
        <w:keepNext/>
        <w:spacing w:before="360" w:after="160"/>
        <w:pageBreakBefore/>
      </w:pPr>
      <w:r>
        <w:rPr>
          <w:rFonts w:ascii="Times New Roman" w:hAnsi="Times New Roman"/>
          <w:b/>
          <w:color w:val="000000"/>
          <w:sz w:val="36"/>
        </w:rPr>
        <w:t>Chapter 2: Literature Review &amp; Related Work</w:t>
      </w:r>
    </w:p>
    <w:p>
      <w:pPr>
        <w:pStyle w:val="Heading2"/>
        <w:keepNext/>
        <w:spacing w:before="280" w:after="120"/>
      </w:pPr>
      <w:r>
        <w:rPr>
          <w:rFonts w:ascii="Times New Roman" w:hAnsi="Times New Roman"/>
          <w:b/>
          <w:color w:val="222222"/>
          <w:sz w:val="28"/>
        </w:rPr>
        <w:t>2.1 Overview of Existing Academic Platforms</w:t>
      </w:r>
    </w:p>
    <w:p>
      <w:pPr>
        <w:spacing w:line="276" w:lineRule="auto" w:after="120"/>
      </w:pPr>
      <w:r>
        <w:rPr>
          <w:rFonts w:ascii="Times New Roman" w:hAnsi="Times New Roman"/>
          <w:i w:val="0"/>
        </w:rPr>
        <w:t>Existing platforms cater to specific slices of the academic lifecycle:</w:t>
      </w:r>
    </w:p>
    <w:p>
      <w:pPr>
        <w:pStyle w:val="ListBullet"/>
        <w:spacing w:line="276" w:lineRule="auto" w:after="80"/>
      </w:pPr>
      <w:r>
        <w:rPr>
          <w:rFonts w:ascii="Times New Roman" w:hAnsi="Times New Roman"/>
          <w:b/>
        </w:rPr>
        <w:t xml:space="preserve">Google Scholar: </w:t>
      </w:r>
      <w:r>
        <w:rPr>
          <w:rFonts w:ascii="Times New Roman" w:hAnsi="Times New Roman"/>
        </w:rPr>
        <w:t>Provides broad indexing of scholarly literature but relies predominantly on text keywords and citation metrics without real-time collaboration or interactive AI assistance.</w:t>
      </w:r>
    </w:p>
    <w:p>
      <w:pPr>
        <w:pStyle w:val="ListBullet"/>
        <w:spacing w:line="276" w:lineRule="auto" w:after="80"/>
      </w:pPr>
      <w:r>
        <w:rPr>
          <w:rFonts w:ascii="Times New Roman" w:hAnsi="Times New Roman"/>
          <w:b/>
        </w:rPr>
        <w:t xml:space="preserve">ResearchGate &amp; Academia.edu: </w:t>
      </w:r>
      <w:r>
        <w:rPr>
          <w:rFonts w:ascii="Times New Roman" w:hAnsi="Times New Roman"/>
        </w:rPr>
        <w:t>Focuses on social networking and paper sharing among scholars, but lacks real-time collaborative document editing and open source AI assistant integration.</w:t>
      </w:r>
    </w:p>
    <w:p>
      <w:pPr>
        <w:pStyle w:val="ListBullet"/>
        <w:spacing w:line="276" w:lineRule="auto" w:after="80"/>
      </w:pPr>
      <w:r>
        <w:rPr>
          <w:rFonts w:ascii="Times New Roman" w:hAnsi="Times New Roman"/>
          <w:b/>
        </w:rPr>
        <w:t xml:space="preserve">arXiv &amp; OpenReview: </w:t>
      </w:r>
      <w:r>
        <w:rPr>
          <w:rFonts w:ascii="Times New Roman" w:hAnsi="Times New Roman"/>
        </w:rPr>
        <w:t>Offers fast pre-print access, but lacks native structured mentorship modules and reputation-gated forum discussions.</w:t>
      </w:r>
    </w:p>
    <w:p>
      <w:pPr>
        <w:pStyle w:val="Heading2"/>
        <w:keepNext/>
        <w:spacing w:before="280" w:after="120"/>
      </w:pPr>
      <w:r>
        <w:rPr>
          <w:rFonts w:ascii="Times New Roman" w:hAnsi="Times New Roman"/>
          <w:b/>
          <w:color w:val="222222"/>
          <w:sz w:val="28"/>
        </w:rPr>
        <w:t>2.2 Identified Research Gap</w:t>
      </w:r>
    </w:p>
    <w:p>
      <w:pPr>
        <w:spacing w:line="276" w:lineRule="auto" w:after="120"/>
      </w:pPr>
      <w:r>
        <w:t>None of the surveyed platforms offer a single, unified ecosystem that simultaneously combines: (a) SBERT vector search for semantically accurate researcher and paper matchmaking; (b) an agentic, citation-grounded retrieval-augmented assistant with a deterministic extractive fallback; (c) a Neo4j TrustRank reputation graph that gates community participation; and (d) real-time collaborative authoring. This fragmentation forces researchers to stitch together several disconnected tools, introducing friction, duplicated effort, and inconsistent data. SmartResearch addresses precisely this gap.</w:t>
      </w:r>
    </w:p>
    <w:p>
      <w:pPr>
        <w:pStyle w:val="Heading2"/>
        <w:keepNext/>
        <w:spacing w:before="280" w:after="120"/>
      </w:pPr>
      <w:r>
        <w:rPr>
          <w:rFonts w:ascii="Times New Roman" w:hAnsi="Times New Roman"/>
          <w:b/>
          <w:color w:val="222222"/>
          <w:sz w:val="28"/>
        </w:rPr>
        <w:t>2.3 Proposed Solution Highlights</w:t>
      </w:r>
    </w:p>
    <w:p>
      <w:pPr>
        <w:spacing w:line="276" w:lineRule="auto" w:after="120"/>
      </w:pPr>
      <w:r>
        <w:rPr>
          <w:rFonts w:ascii="Times New Roman" w:hAnsi="Times New Roman"/>
          <w:i w:val="0"/>
        </w:rPr>
        <w:t>SmartResearch bridges this gap by offering a cohesive microservices platform combining frontend interactivity, robust gateway security, and heavy ML acceleration.</w:t>
      </w:r>
    </w:p>
    <w:p>
      <w:pPr>
        <w:pStyle w:val="Heading1"/>
        <w:keepNext/>
        <w:spacing w:before="360" w:after="160"/>
        <w:pageBreakBefore/>
      </w:pPr>
      <w:r>
        <w:rPr>
          <w:rFonts w:ascii="Times New Roman" w:hAnsi="Times New Roman"/>
          <w:b/>
          <w:color w:val="000000"/>
          <w:sz w:val="36"/>
        </w:rPr>
        <w:t>Chapter 3: System Analysis and Requirements</w:t>
      </w:r>
    </w:p>
    <w:p>
      <w:pPr>
        <w:pStyle w:val="Heading2"/>
        <w:keepNext/>
        <w:spacing w:before="280" w:after="120"/>
      </w:pPr>
      <w:r>
        <w:rPr>
          <w:rFonts w:ascii="Times New Roman" w:hAnsi="Times New Roman"/>
          <w:b/>
          <w:color w:val="222222"/>
          <w:sz w:val="28"/>
        </w:rPr>
        <w:t>3.1 Requirement Gathering</w:t>
      </w:r>
    </w:p>
    <w:p>
      <w:pPr>
        <w:spacing w:line="276" w:lineRule="auto" w:after="120"/>
      </w:pPr>
      <w:r>
        <w:t>System requirements were synthesised from multiple complementary sources: structured surveys distributed to academic researchers and postgraduate students, semi-structured interviews with faculty supervisors, and a comparative analysis of the limitations observed in existing platforms. The resulting requirements were classified into functional and non-functional categories, prioritised using the MoSCoW method, and validated against the project objectives to ensure complete traceability from stakeholder need to delivered capability.</w:t>
      </w:r>
    </w:p>
    <w:p>
      <w:pPr>
        <w:pStyle w:val="Heading2"/>
        <w:keepNext/>
        <w:spacing w:before="280" w:after="120"/>
      </w:pPr>
      <w:r>
        <w:rPr>
          <w:rFonts w:ascii="Times New Roman" w:hAnsi="Times New Roman"/>
          <w:b/>
          <w:color w:val="222222"/>
          <w:sz w:val="28"/>
        </w:rPr>
        <w:t>3.2 Functional Requirements</w:t>
      </w:r>
    </w:p>
    <w:p>
      <w:pPr>
        <w:spacing w:after="120"/>
      </w:pPr>
      <w:r>
        <w:rPr>
          <w:color w:val="262626"/>
          <w:sz w:val="22"/>
        </w:rPr>
        <w:t>The functional requirements specify the observable behaviours the platform must provide to satisfy its stakeholders. Each requirement carries a unique identifier, is mapped to the module that owns it, and is expressed as an independently verifiable capability. Table 2 consolidates the core functional requirements distilled from the requirement-gathering phase.</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262626"/>
          </w:tcPr>
          <w:p>
            <w:r>
              <w:rPr>
                <w:b/>
                <w:color w:val="FFFFFF"/>
              </w:rPr>
              <w:t>Req ID</w:t>
            </w:r>
          </w:p>
        </w:tc>
        <w:tc>
          <w:tcPr>
            <w:tcW w:type="dxa" w:w="2592"/>
            <w:shd w:fill="262626"/>
          </w:tcPr>
          <w:p>
            <w:r>
              <w:rPr>
                <w:b/>
                <w:color w:val="FFFFFF"/>
              </w:rPr>
              <w:t>Module</w:t>
            </w:r>
          </w:p>
        </w:tc>
        <w:tc>
          <w:tcPr>
            <w:tcW w:type="dxa" w:w="5328"/>
            <w:shd w:fill="262626"/>
          </w:tcPr>
          <w:p>
            <w:r>
              <w:rPr>
                <w:b/>
                <w:color w:val="FFFFFF"/>
              </w:rPr>
              <w:t>Functional Requirement Description</w:t>
            </w:r>
          </w:p>
        </w:tc>
      </w:tr>
      <w:tr>
        <w:tc>
          <w:tcPr>
            <w:tcW w:type="dxa" w:w="1440"/>
          </w:tcPr>
          <w:p>
            <w:r>
              <w:t>FR-01</w:t>
            </w:r>
          </w:p>
        </w:tc>
        <w:tc>
          <w:tcPr>
            <w:tcW w:type="dxa" w:w="2592"/>
          </w:tcPr>
          <w:p>
            <w:r>
              <w:t>Authentication &amp; Profile</w:t>
            </w:r>
          </w:p>
        </w:tc>
        <w:tc>
          <w:tcPr>
            <w:tcW w:type="dxa" w:w="5328"/>
          </w:tcPr>
          <w:p>
            <w:r>
              <w:t>JWT authentication, institutional email validation, OAuth2 integration, and verified researcher badges.</w:t>
            </w:r>
          </w:p>
        </w:tc>
      </w:tr>
      <w:tr>
        <w:tc>
          <w:tcPr>
            <w:tcW w:type="dxa" w:w="1440"/>
            <w:shd w:fill="F5F5F5"/>
          </w:tcPr>
          <w:p>
            <w:r>
              <w:t>FR-02</w:t>
            </w:r>
          </w:p>
        </w:tc>
        <w:tc>
          <w:tcPr>
            <w:tcW w:type="dxa" w:w="2592"/>
            <w:shd w:fill="F5F5F5"/>
          </w:tcPr>
          <w:p>
            <w:r>
              <w:t>AI Discovery Engine</w:t>
            </w:r>
          </w:p>
        </w:tc>
        <w:tc>
          <w:tcPr>
            <w:tcW w:type="dxa" w:w="5328"/>
            <w:shd w:fill="F5F5F5"/>
          </w:tcPr>
          <w:p>
            <w:r>
              <w:t>SBERT semantic similarity matching over research papers, author profile vector embeddings, and interest graph traversal.</w:t>
            </w:r>
          </w:p>
        </w:tc>
      </w:tr>
      <w:tr>
        <w:tc>
          <w:tcPr>
            <w:tcW w:type="dxa" w:w="1440"/>
          </w:tcPr>
          <w:p>
            <w:r>
              <w:t>FR-03</w:t>
            </w:r>
          </w:p>
        </w:tc>
        <w:tc>
          <w:tcPr>
            <w:tcW w:type="dxa" w:w="2592"/>
          </w:tcPr>
          <w:p>
            <w:r>
              <w:t>Agentic RAG Assistant</w:t>
            </w:r>
          </w:p>
        </w:tc>
        <w:tc>
          <w:tcPr>
            <w:tcW w:type="dxa" w:w="5328"/>
          </w:tcPr>
          <w:p>
            <w:r>
              <w:t>Conversational QA over uploaded PDFs, library volume summaries, cited response generation with Hugging Face router, and extractive fallback.</w:t>
            </w:r>
          </w:p>
        </w:tc>
      </w:tr>
      <w:tr>
        <w:tc>
          <w:tcPr>
            <w:tcW w:type="dxa" w:w="1440"/>
            <w:shd w:fill="F5F5F5"/>
          </w:tcPr>
          <w:p>
            <w:r>
              <w:t>FR-04</w:t>
            </w:r>
          </w:p>
        </w:tc>
        <w:tc>
          <w:tcPr>
            <w:tcW w:type="dxa" w:w="2592"/>
            <w:shd w:fill="F5F5F5"/>
          </w:tcPr>
          <w:p>
            <w:r>
              <w:t>Collaborative Workspaces</w:t>
            </w:r>
          </w:p>
        </w:tc>
        <w:tc>
          <w:tcPr>
            <w:tcW w:type="dxa" w:w="5328"/>
            <w:shd w:fill="F5F5F5"/>
          </w:tcPr>
          <w:p>
            <w:r>
              <w:t>Real-time document editing using TipTap &amp; Yjs, versioning, research team invitation, and structured template generation.</w:t>
            </w:r>
          </w:p>
        </w:tc>
      </w:tr>
      <w:tr>
        <w:tc>
          <w:tcPr>
            <w:tcW w:type="dxa" w:w="1440"/>
          </w:tcPr>
          <w:p>
            <w:r>
              <w:t>FR-05</w:t>
            </w:r>
          </w:p>
        </w:tc>
        <w:tc>
          <w:tcPr>
            <w:tcW w:type="dxa" w:w="2592"/>
          </w:tcPr>
          <w:p>
            <w:r>
              <w:t>TrustRank Community</w:t>
            </w:r>
          </w:p>
        </w:tc>
        <w:tc>
          <w:tcPr>
            <w:tcW w:type="dxa" w:w="5328"/>
          </w:tcPr>
          <w:p>
            <w:r>
              <w:t>Threaded forum discussions, automated spam filtration, and Neo4j PageRank/TrustRank reputation gating for post voting.</w:t>
            </w:r>
          </w:p>
        </w:tc>
      </w:tr>
      <w:tr>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FR-06</w:t>
            </w:r>
          </w:p>
        </w:tc>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Research Library</w:t>
            </w:r>
          </w:p>
        </w:tc>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Persistent collection of saved papers, one-click citation export (BibTeX/RIS), and AI-generated volume summaries across a reading list.</w:t>
            </w:r>
          </w:p>
        </w:tc>
      </w:tr>
      <w:tr>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FR-07</w:t>
            </w:r>
          </w:p>
        </w:tc>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Publication Assistant</w:t>
            </w:r>
          </w:p>
        </w:tc>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Live journal recommendation against the DOAJ open-access index, scope matching, and submission-readiness guidance.</w:t>
            </w:r>
          </w:p>
        </w:tc>
      </w:tr>
      <w:tr>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FR-08</w:t>
            </w:r>
          </w:p>
        </w:tc>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Mentorship &amp; Guidance</w:t>
            </w:r>
          </w:p>
        </w:tc>
        <w:tc>
          <w:tcPr>
            <w:tcW w:type="dxa" w:w="312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Expertise-based pairing of mentees with senior mentors, proposal review, and milestone tracking.</w:t>
            </w:r>
          </w:p>
        </w:tc>
      </w:tr>
    </w:tbl>
    <w:p>
      <w:pPr>
        <w:jc w:val="center"/>
      </w:pPr>
      <w:bookmarkStart w:id="1000" w:name="table2"/>
      <w:r>
        <w:rPr>
          <w:b/>
          <w:i/>
          <w:color w:val="595959"/>
          <w:sz w:val="18"/>
        </w:rPr>
        <w:t>Table 2. Functional Requirements Matrix</w:t>
      </w:r>
      <w:bookmarkEnd w:id="1000"/>
    </w:p>
    <w:p>
      <w:pPr>
        <w:pStyle w:val="Heading2"/>
        <w:keepNext/>
        <w:spacing w:before="280" w:after="120"/>
      </w:pPr>
      <w:r>
        <w:rPr>
          <w:rFonts w:ascii="Times New Roman" w:hAnsi="Times New Roman"/>
          <w:b/>
          <w:color w:val="222222"/>
          <w:sz w:val="28"/>
        </w:rPr>
        <w:t>3.3 Non-Functional Requirements</w:t>
      </w:r>
    </w:p>
    <w:p>
      <w:pPr>
        <w:pStyle w:val="ListBullet"/>
        <w:spacing w:line="276" w:lineRule="auto" w:after="80"/>
      </w:pPr>
      <w:r>
        <w:rPr>
          <w:rFonts w:ascii="Times New Roman" w:hAnsi="Times New Roman"/>
          <w:b/>
        </w:rPr>
        <w:t xml:space="preserve">Performance: </w:t>
      </w:r>
      <w:r>
        <w:rPr>
          <w:rFonts w:ascii="Times New Roman" w:hAnsi="Times New Roman"/>
        </w:rPr>
        <w:t>Sub-second vector retrieval (&lt;100ms) and low API gateway latency.</w:t>
      </w:r>
    </w:p>
    <w:p>
      <w:pPr>
        <w:pStyle w:val="ListBullet"/>
        <w:spacing w:line="276" w:lineRule="auto" w:after="80"/>
      </w:pPr>
      <w:r>
        <w:rPr>
          <w:rFonts w:ascii="Times New Roman" w:hAnsi="Times New Roman"/>
          <w:b/>
        </w:rPr>
        <w:t xml:space="preserve">Security: </w:t>
      </w:r>
      <w:r>
        <w:rPr>
          <w:rFonts w:ascii="Times New Roman" w:hAnsi="Times New Roman"/>
        </w:rPr>
        <w:t>JWT token encryption, bcrypt hashing, Helmet security headers, rate limiting.</w:t>
      </w:r>
    </w:p>
    <w:p>
      <w:pPr>
        <w:pStyle w:val="ListBullet"/>
        <w:spacing w:line="276" w:lineRule="auto" w:after="80"/>
      </w:pPr>
      <w:r>
        <w:rPr>
          <w:rFonts w:ascii="Times New Roman" w:hAnsi="Times New Roman"/>
          <w:b/>
        </w:rPr>
        <w:t xml:space="preserve">Scalability: </w:t>
      </w:r>
      <w:r>
        <w:rPr>
          <w:rFonts w:ascii="Times New Roman" w:hAnsi="Times New Roman"/>
        </w:rPr>
        <w:t>Kubernetes HPA supporting 2-10 replicas for ML service under load.</w:t>
      </w:r>
    </w:p>
    <w:p>
      <w:pPr>
        <w:pStyle w:val="ListBullet"/>
        <w:spacing w:line="276" w:lineRule="auto" w:after="80"/>
      </w:pPr>
      <w:r>
        <w:rPr>
          <w:rFonts w:ascii="Times New Roman" w:hAnsi="Times New Roman"/>
          <w:b/>
        </w:rPr>
        <w:t xml:space="preserve">Availability: </w:t>
      </w:r>
      <w:r>
        <w:rPr>
          <w:rFonts w:ascii="Times New Roman" w:hAnsi="Times New Roman"/>
        </w:rPr>
        <w:t>99.9% uptime with Redis caching and PostgreSQL primary-replica replication.</w:t>
      </w:r>
    </w:p>
    <w:p>
      <w:pPr>
        <w:pStyle w:val="Heading2"/>
        <w:keepNext/>
        <w:spacing w:before="280" w:after="120"/>
      </w:pPr>
      <w:r>
        <w:rPr>
          <w:rFonts w:ascii="Times New Roman" w:hAnsi="Times New Roman"/>
          <w:b/>
          <w:color w:val="222222"/>
          <w:sz w:val="28"/>
        </w:rPr>
        <w:t>3.4 Feasibility Study</w:t>
      </w:r>
    </w:p>
    <w:p>
      <w:pPr>
        <w:spacing w:line="276" w:lineRule="auto" w:after="120"/>
      </w:pPr>
      <w:r>
        <w:t>Technical feasibility is established through a mature, well-supported open-source stack — Node.js, Next.js, FastAPI, PostgreSQL, Redis, Neo4j, and Elasticsearch — each proven at production scale. Operational feasibility is supported by containerisation with Docker and orchestration with Kubernetes, enabling reproducible deployments and horizontal scaling. Economic feasibility is favourable, as the platform relies predominantly on free and open-source components and self-hostable models, limiting recurring costs to infrastructure and optional external inference. Schedule feasibility was confirmed by delivering the core modules within the allotted academic timeline.</w:t>
      </w:r>
    </w:p>
    <w:p>
      <w:pPr>
        <w:pStyle w:val="Heading1"/>
        <w:keepNext/>
        <w:spacing w:before="360" w:after="160"/>
        <w:pageBreakBefore/>
      </w:pPr>
      <w:r>
        <w:rPr>
          <w:rFonts w:ascii="Times New Roman" w:hAnsi="Times New Roman"/>
          <w:b/>
          <w:color w:val="000000"/>
          <w:sz w:val="36"/>
        </w:rPr>
        <w:t>Chapter 4: System Architecture and Design</w:t>
      </w:r>
    </w:p>
    <w:p>
      <w:pPr>
        <w:pStyle w:val="Heading2"/>
        <w:keepNext/>
        <w:spacing w:before="280" w:after="120"/>
      </w:pPr>
      <w:r>
        <w:rPr>
          <w:rFonts w:ascii="Times New Roman" w:hAnsi="Times New Roman"/>
          <w:b/>
          <w:color w:val="222222"/>
          <w:sz w:val="28"/>
        </w:rPr>
        <w:t>4.1 System Architecture Overview</w:t>
      </w:r>
    </w:p>
    <w:p>
      <w:pPr>
        <w:spacing w:line="276" w:lineRule="auto" w:after="120"/>
      </w:pPr>
      <w:r>
        <w:rPr>
          <w:rFonts w:ascii="Times New Roman" w:hAnsi="Times New Roman"/>
          <w:i w:val="0"/>
        </w:rPr>
        <w:t>SmartResearch utilizes a decoupled microservices architecture. The system consists of three core tier services: Next.js Frontend (User UI), Node.js Express Gateway (Business Logic &amp; Auth), and Python FastAPI ML Service (AI Computation).</w:t>
      </w:r>
    </w:p>
    <w:tbl>
      <w:tblPr>
        <w:tblW w:type="auto" w:w="0"/>
        <w:jc w:val="center"/>
        <w:tblLayout w:type="fixed"/>
        <w:tblLook w:firstColumn="1" w:firstRow="1" w:lastColumn="0" w:lastRow="0" w:noHBand="0" w:noVBand="1" w:val="04A0"/>
      </w:tblPr>
      <w:tblGrid>
        <w:gridCol w:w="9360"/>
      </w:tblGrid>
      <w:tr>
        <w:trPr>
          <w:trHeight w:val="3888"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jc w:val="center"/>
            </w:pPr>
            <w:r>
              <w:rPr>
                <w:b/>
                <w:i w:val="0"/>
                <w:color w:val="7F7F7F"/>
                <w:sz w:val="22"/>
              </w:rPr>
              <w:t>[  DIAGRAM PLACEHOLDER  ]</w:t>
            </w:r>
          </w:p>
          <w:p>
            <w:pPr>
              <w:jc w:val="center"/>
            </w:pPr>
            <w:r>
              <w:rPr>
                <w:b w:val="0"/>
                <w:i w:val="0"/>
                <w:color w:val="404040"/>
                <w:sz w:val="22"/>
              </w:rPr>
              <w:t>Insert Figure 1 here</w:t>
            </w:r>
          </w:p>
          <w:p>
            <w:pPr>
              <w:jc w:val="center"/>
            </w:pPr>
            <w:r>
              <w:rPr>
                <w:b/>
                <w:i/>
                <w:color w:val="7F7F7F"/>
                <w:sz w:val="18"/>
              </w:rPr>
              <w:t>High-Level System Architecture</w:t>
            </w:r>
          </w:p>
          <w:p>
            <w:pPr>
              <w:jc w:val="center"/>
            </w:pPr>
            <w:r>
              <w:rPr>
                <w:b/>
                <w:i/>
                <w:color w:val="7F7F7F"/>
                <w:sz w:val="16"/>
              </w:rPr>
              <w:t>Recommended: vector/diagram, width ≈ 6.5"</w:t>
            </w:r>
          </w:p>
        </w:tc>
      </w:tr>
    </w:tbl>
    <w:p>
      <w:pPr>
        <w:spacing w:before="40" w:after="160"/>
        <w:jc w:val="center"/>
      </w:pPr>
      <w:bookmarkStart w:id="1006" w:name="figure1"/>
      <w:r>
        <w:rPr>
          <w:i/>
          <w:color w:val="595959"/>
          <w:sz w:val="20"/>
        </w:rPr>
        <w:t>Figure 1. SmartResearch High-Level System Architecture.</w:t>
      </w:r>
      <w:bookmarkEnd w:id="1006"/>
    </w:p>
    <w:p>
      <w:pPr>
        <w:spacing w:before="120" w:after="240"/>
      </w:pPr>
      <w:r>
        <w:rPr>
          <w:i/>
          <w:sz w:val="20"/>
        </w:rPr>
        <w:t>Architecture Highlights:</w:t>
        <w:br/>
        <w:t>• Edge Layer: Cloudflare CDN / WAF + Kubernetes Load Balancer</w:t>
        <w:br/>
        <w:t>• API Gateway: Express Node.js, JWT Validation, Socket.IO Engine</w:t>
        <w:br/>
        <w:t>• AI Compute Layer: FastAPI, SBERT Transformer, Hugging Face Router</w:t>
        <w:br/>
        <w:t>• Data Layer: PostgreSQL (Primary Relational), Redis (Cache/Streams), Neo4j (Graph), Elasticsearch (Vector)</w:t>
      </w:r>
    </w:p>
    <w:p>
      <w:pPr>
        <w:pStyle w:val="Heading2"/>
        <w:keepNext/>
        <w:spacing w:before="280" w:after="120"/>
      </w:pPr>
      <w:r>
        <w:rPr>
          <w:rFonts w:ascii="Times New Roman" w:hAnsi="Times New Roman"/>
          <w:b/>
          <w:color w:val="222222"/>
          <w:sz w:val="28"/>
        </w:rPr>
        <w:t>4.2 Use Case Modeling</w:t>
      </w:r>
    </w:p>
    <w:p>
      <w:pPr>
        <w:spacing w:line="276" w:lineRule="auto" w:after="120"/>
      </w:pPr>
      <w:r>
        <w:rPr>
          <w:rFonts w:ascii="Times New Roman" w:hAnsi="Times New Roman"/>
          <w:i w:val="0"/>
        </w:rPr>
        <w:t>The system supports primary actor roles: Researcher, Collaborator, Mentor, and Administrator. Below is the primary context description:</w:t>
      </w:r>
    </w:p>
    <w:tbl>
      <w:tblPr>
        <w:tblW w:type="auto" w:w="0"/>
        <w:jc w:val="center"/>
        <w:tblLayout w:type="fixed"/>
        <w:tblLook w:firstColumn="1" w:firstRow="1" w:lastColumn="0" w:lastRow="0" w:noHBand="0" w:noVBand="1" w:val="04A0"/>
      </w:tblPr>
      <w:tblGrid>
        <w:gridCol w:w="9360"/>
      </w:tblGrid>
      <w:tr>
        <w:trPr>
          <w:trHeight w:val="3888"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jc w:val="center"/>
            </w:pPr>
            <w:r>
              <w:rPr>
                <w:b/>
                <w:i w:val="0"/>
                <w:color w:val="7F7F7F"/>
                <w:sz w:val="22"/>
              </w:rPr>
              <w:t>[  DIAGRAM PLACEHOLDER  ]</w:t>
            </w:r>
          </w:p>
          <w:p>
            <w:pPr>
              <w:jc w:val="center"/>
            </w:pPr>
            <w:r>
              <w:rPr>
                <w:b w:val="0"/>
                <w:i w:val="0"/>
                <w:color w:val="404040"/>
                <w:sz w:val="22"/>
              </w:rPr>
              <w:t>Insert Figure 2 here</w:t>
            </w:r>
          </w:p>
          <w:p>
            <w:pPr>
              <w:jc w:val="center"/>
            </w:pPr>
            <w:r>
              <w:rPr>
                <w:b/>
                <w:i/>
                <w:color w:val="7F7F7F"/>
                <w:sz w:val="18"/>
              </w:rPr>
              <w:t>System Context Use Case Diagram</w:t>
            </w:r>
          </w:p>
          <w:p>
            <w:pPr>
              <w:jc w:val="center"/>
            </w:pPr>
            <w:r>
              <w:rPr>
                <w:b/>
                <w:i/>
                <w:color w:val="7F7F7F"/>
                <w:sz w:val="16"/>
              </w:rPr>
              <w:t>Recommended: vector/diagram, width ≈ 6.5"</w:t>
            </w:r>
          </w:p>
        </w:tc>
      </w:tr>
    </w:tbl>
    <w:p>
      <w:pPr>
        <w:spacing w:before="40" w:after="160"/>
        <w:jc w:val="center"/>
      </w:pPr>
      <w:bookmarkStart w:id="1007" w:name="figure2"/>
      <w:r>
        <w:rPr>
          <w:i/>
          <w:color w:val="595959"/>
          <w:sz w:val="20"/>
        </w:rPr>
        <w:t>Figure 2. Level 0 System Context Use Case Diagram.</w:t>
      </w:r>
      <w:bookmarkEnd w:id="1007"/>
    </w:p>
    <w:p>
      <w:pPr>
        <w:pStyle w:val="ListBullet"/>
        <w:spacing w:line="276" w:lineRule="auto" w:after="80"/>
      </w:pPr>
      <w:r>
        <w:rPr>
          <w:rFonts w:ascii="Times New Roman" w:hAnsi="Times New Roman"/>
          <w:b/>
        </w:rPr>
        <w:t xml:space="preserve">Researcher: </w:t>
      </w:r>
      <w:r>
        <w:rPr>
          <w:rFonts w:ascii="Times New Roman" w:hAnsi="Times New Roman"/>
        </w:rPr>
        <w:t>Search papers, trigger RAG chat assistant, view DOAJ journal matches.</w:t>
      </w:r>
    </w:p>
    <w:p>
      <w:pPr>
        <w:pStyle w:val="ListBullet"/>
        <w:spacing w:line="276" w:lineRule="auto" w:after="80"/>
      </w:pPr>
      <w:r>
        <w:rPr>
          <w:rFonts w:ascii="Times New Roman" w:hAnsi="Times New Roman"/>
          <w:b/>
        </w:rPr>
        <w:t xml:space="preserve">Collaborator: </w:t>
      </w:r>
      <w:r>
        <w:rPr>
          <w:rFonts w:ascii="Times New Roman" w:hAnsi="Times New Roman"/>
        </w:rPr>
        <w:t>Edit shared workspace documents in real time, upload pre-prints.</w:t>
      </w:r>
    </w:p>
    <w:p>
      <w:pPr>
        <w:pStyle w:val="ListBullet"/>
        <w:spacing w:line="276" w:lineRule="auto" w:after="80"/>
      </w:pPr>
      <w:r>
        <w:rPr>
          <w:rFonts w:ascii="Times New Roman" w:hAnsi="Times New Roman"/>
          <w:b/>
        </w:rPr>
        <w:t xml:space="preserve">Mentor: </w:t>
      </w:r>
      <w:r>
        <w:rPr>
          <w:rFonts w:ascii="Times New Roman" w:hAnsi="Times New Roman"/>
        </w:rPr>
        <w:t>Review mentee proposals, track milestone progress.</w:t>
      </w:r>
    </w:p>
    <w:p>
      <w:pPr>
        <w:pStyle w:val="ListBullet"/>
        <w:spacing w:line="276" w:lineRule="auto" w:after="80"/>
      </w:pPr>
      <w:r>
        <w:rPr>
          <w:rFonts w:ascii="Times New Roman" w:hAnsi="Times New Roman"/>
          <w:b/>
        </w:rPr>
        <w:t xml:space="preserve">Admin: </w:t>
      </w:r>
      <w:r>
        <w:rPr>
          <w:rFonts w:ascii="Times New Roman" w:hAnsi="Times New Roman"/>
        </w:rPr>
        <w:t>Backfill Elasticsearch indices, monitor Prometheus telemetry, manage users.</w:t>
      </w:r>
    </w:p>
    <w:p>
      <w:pPr>
        <w:pStyle w:val="Heading2"/>
        <w:keepNext/>
        <w:spacing w:before="280" w:after="120"/>
      </w:pPr>
      <w:r>
        <w:rPr>
          <w:rFonts w:ascii="Times New Roman" w:hAnsi="Times New Roman"/>
          <w:b/>
          <w:color w:val="222222"/>
          <w:sz w:val="28"/>
        </w:rPr>
        <w:t>4.3 Data Flow Diagrams (DFD)</w:t>
      </w:r>
    </w:p>
    <w:p>
      <w:pPr>
        <w:spacing w:line="276" w:lineRule="auto" w:after="120"/>
      </w:pPr>
      <w:r>
        <w:rPr>
          <w:rFonts w:ascii="Times New Roman" w:hAnsi="Times New Roman"/>
          <w:i w:val="0"/>
        </w:rPr>
        <w:t>Level 0 and Level 1 DFDs illustrate data pipelines from user authentication handshakes down to vector index lookup and RAG response synthesis.</w:t>
      </w:r>
    </w:p>
    <w:tbl>
      <w:tblPr>
        <w:tblW w:type="auto" w:w="0"/>
        <w:jc w:val="center"/>
        <w:tblLayout w:type="fixed"/>
        <w:tblLook w:firstColumn="1" w:firstRow="1" w:lastColumn="0" w:lastRow="0" w:noHBand="0" w:noVBand="1" w:val="04A0"/>
      </w:tblPr>
      <w:tblGrid>
        <w:gridCol w:w="9360"/>
      </w:tblGrid>
      <w:tr>
        <w:trPr>
          <w:trHeight w:val="3888"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jc w:val="center"/>
            </w:pPr>
            <w:r>
              <w:rPr>
                <w:b/>
                <w:i w:val="0"/>
                <w:color w:val="7F7F7F"/>
                <w:sz w:val="22"/>
              </w:rPr>
              <w:t>[  DIAGRAM PLACEHOLDER  ]</w:t>
            </w:r>
          </w:p>
          <w:p>
            <w:pPr>
              <w:jc w:val="center"/>
            </w:pPr>
            <w:r>
              <w:rPr>
                <w:b w:val="0"/>
                <w:i w:val="0"/>
                <w:color w:val="404040"/>
                <w:sz w:val="22"/>
              </w:rPr>
              <w:t>Insert Figure 3 here</w:t>
            </w:r>
          </w:p>
          <w:p>
            <w:pPr>
              <w:jc w:val="center"/>
            </w:pPr>
            <w:r>
              <w:rPr>
                <w:b/>
                <w:i/>
                <w:color w:val="7F7F7F"/>
                <w:sz w:val="18"/>
              </w:rPr>
              <w:t>Level 1 Data Flow Diagram</w:t>
            </w:r>
          </w:p>
          <w:p>
            <w:pPr>
              <w:jc w:val="center"/>
            </w:pPr>
            <w:r>
              <w:rPr>
                <w:b/>
                <w:i/>
                <w:color w:val="7F7F7F"/>
                <w:sz w:val="16"/>
              </w:rPr>
              <w:t>Recommended: vector/diagram, width ≈ 6.5"</w:t>
            </w:r>
          </w:p>
        </w:tc>
      </w:tr>
    </w:tbl>
    <w:p>
      <w:pPr>
        <w:spacing w:before="40" w:after="160"/>
        <w:jc w:val="center"/>
      </w:pPr>
      <w:bookmarkStart w:id="1008" w:name="figure3"/>
      <w:r>
        <w:rPr>
          <w:i/>
          <w:color w:val="595959"/>
          <w:sz w:val="20"/>
        </w:rPr>
        <w:t>Figure 3. Level 1 Data Flow Diagram (RAG &amp; Collaboration).</w:t>
      </w:r>
      <w:bookmarkEnd w:id="1008"/>
    </w:p>
    <w:p>
      <w:pPr>
        <w:pStyle w:val="Heading2"/>
        <w:keepNext/>
        <w:spacing w:before="280" w:after="120"/>
      </w:pPr>
      <w:r>
        <w:rPr>
          <w:rFonts w:ascii="Times New Roman" w:hAnsi="Times New Roman"/>
          <w:b/>
          <w:color w:val="222222"/>
          <w:sz w:val="28"/>
        </w:rPr>
        <w:t>4.4 Database Schema &amp; Entity Relationships</w:t>
      </w:r>
    </w:p>
    <w:p>
      <w:pPr>
        <w:spacing w:line="276" w:lineRule="auto" w:after="120"/>
      </w:pPr>
      <w:r>
        <w:t>The storage architecture is polyglot, pairing each data shape with the store best suited to it. Relational PostgreSQL holds strongly-consistent entities such as users, workspaces, documents, and community posts. Redis provides low-latency caching and pub/sub for real-time streams. Neo4j models the trust and co-authorship graph that powers TrustRank reputation scoring. Elasticsearch maintains dense-vector (kNN) indices for sub-second semantic retrieval. Referential integrity across stores is maintained at the application layer, with PostgreSQL acting as the system of record and the specialised stores treated as derived, rebuildable indices.</w:t>
      </w:r>
    </w:p>
    <w:p>
      <w:pPr>
        <w:pStyle w:val="Heading1"/>
        <w:keepNext/>
        <w:spacing w:before="360" w:after="160"/>
        <w:pageBreakBefore/>
      </w:pPr>
      <w:r>
        <w:rPr>
          <w:rFonts w:ascii="Times New Roman" w:hAnsi="Times New Roman"/>
          <w:b/>
          <w:color w:val="000000"/>
          <w:sz w:val="36"/>
        </w:rPr>
        <w:t>Chapter 5: Implementation &amp; Project View</w:t>
      </w:r>
    </w:p>
    <w:p>
      <w:pPr>
        <w:pStyle w:val="Heading2"/>
        <w:keepNext/>
        <w:spacing w:before="280" w:after="120"/>
      </w:pPr>
      <w:r>
        <w:rPr>
          <w:rFonts w:ascii="Times New Roman" w:hAnsi="Times New Roman"/>
          <w:b/>
          <w:color w:val="222222"/>
          <w:sz w:val="28"/>
        </w:rPr>
        <w:t>5.1 Tools and Technology Stack</w:t>
      </w:r>
    </w:p>
    <w:p>
      <w:pPr>
        <w:spacing w:after="120"/>
      </w:pPr>
      <w:r>
        <w:rPr>
          <w:color w:val="262626"/>
          <w:sz w:val="22"/>
        </w:rPr>
        <w:t>SmartResearch is engineered as a polyglot, containerised microservices system in which every layer adopts the technology best matched to its responsibility. This separation of concerns keeps each service independently deployable and scalable. Table 1 summarises the complete technology stack, the specific tools adopted at each layer, and the rationale for their selection.</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262626"/>
          </w:tcPr>
          <w:p>
            <w:r>
              <w:rPr>
                <w:b/>
                <w:color w:val="FFFFFF"/>
              </w:rPr>
              <w:t>Layer / Domain</w:t>
            </w:r>
          </w:p>
        </w:tc>
        <w:tc>
          <w:tcPr>
            <w:tcW w:type="dxa" w:w="3168"/>
            <w:shd w:fill="262626"/>
          </w:tcPr>
          <w:p>
            <w:r>
              <w:rPr>
                <w:b/>
                <w:color w:val="FFFFFF"/>
              </w:rPr>
              <w:t>Technologies Used</w:t>
            </w:r>
          </w:p>
        </w:tc>
        <w:tc>
          <w:tcPr>
            <w:tcW w:type="dxa" w:w="4032"/>
            <w:shd w:fill="262626"/>
          </w:tcPr>
          <w:p>
            <w:r>
              <w:rPr>
                <w:b/>
                <w:color w:val="FFFFFF"/>
              </w:rPr>
              <w:t>Key Purpose</w:t>
            </w:r>
          </w:p>
        </w:tc>
      </w:tr>
      <w:tr>
        <w:tc>
          <w:tcPr>
            <w:tcW w:type="dxa" w:w="2160"/>
          </w:tcPr>
          <w:p>
            <w:r>
              <w:t>Frontend</w:t>
            </w:r>
          </w:p>
        </w:tc>
        <w:tc>
          <w:tcPr>
            <w:tcW w:type="dxa" w:w="3168"/>
          </w:tcPr>
          <w:p>
            <w:r>
              <w:t>Next.js 16 (App Router), React 19, Zustand, Tailwind CSS, Lucide React</w:t>
            </w:r>
          </w:p>
        </w:tc>
        <w:tc>
          <w:tcPr>
            <w:tcW w:type="dxa" w:w="4032"/>
          </w:tcPr>
          <w:p>
            <w:r>
              <w:t>Responsive UI, client-side state management, interactive components.</w:t>
            </w:r>
          </w:p>
        </w:tc>
      </w:tr>
      <w:tr>
        <w:tc>
          <w:tcPr>
            <w:tcW w:type="dxa" w:w="2160"/>
            <w:shd w:fill="F5F5F5"/>
          </w:tcPr>
          <w:p>
            <w:r>
              <w:t>Backend Gateway</w:t>
            </w:r>
          </w:p>
        </w:tc>
        <w:tc>
          <w:tcPr>
            <w:tcW w:type="dxa" w:w="3168"/>
            <w:shd w:fill="F5F5F5"/>
          </w:tcPr>
          <w:p>
            <w:r>
              <w:t>Node.js, Express.js, Socket.IO, Passport.js, JWT, Helmet, Morgan</w:t>
            </w:r>
          </w:p>
        </w:tc>
        <w:tc>
          <w:tcPr>
            <w:tcW w:type="dxa" w:w="4032"/>
            <w:shd w:fill="F5F5F5"/>
          </w:tcPr>
          <w:p>
            <w:r>
              <w:t>RESTful API gateway, authentication, real-time WebSockets.</w:t>
            </w:r>
          </w:p>
        </w:tc>
      </w:tr>
      <w:tr>
        <w:tc>
          <w:tcPr>
            <w:tcW w:type="dxa" w:w="2160"/>
          </w:tcPr>
          <w:p>
            <w:r>
              <w:t>AI / ML Service</w:t>
            </w:r>
          </w:p>
        </w:tc>
        <w:tc>
          <w:tcPr>
            <w:tcW w:type="dxa" w:w="3168"/>
          </w:tcPr>
          <w:p>
            <w:r>
              <w:t>Python 3.11, FastAPI, PyTorch, SBERT (all-MiniLM-L6-v2), Hugging Face</w:t>
            </w:r>
          </w:p>
        </w:tc>
        <w:tc>
          <w:tcPr>
            <w:tcW w:type="dxa" w:w="4032"/>
          </w:tcPr>
          <w:p>
            <w:r>
              <w:t>Semantic embedding, vector search, RAG chat, extractive fallback.</w:t>
            </w:r>
          </w:p>
        </w:tc>
      </w:tr>
      <w:tr>
        <w:tc>
          <w:tcPr>
            <w:tcW w:type="dxa" w:w="2160"/>
            <w:shd w:fill="F5F5F5"/>
          </w:tcPr>
          <w:p>
            <w:r>
              <w:t>Databases</w:t>
            </w:r>
          </w:p>
        </w:tc>
        <w:tc>
          <w:tcPr>
            <w:tcW w:type="dxa" w:w="3168"/>
            <w:shd w:fill="F5F5F5"/>
          </w:tcPr>
          <w:p>
            <w:r>
              <w:t>PostgreSQL 15, Redis 7, Neo4j 5, Elasticsearch 8</w:t>
            </w:r>
          </w:p>
        </w:tc>
        <w:tc>
          <w:tcPr>
            <w:tcW w:type="dxa" w:w="4032"/>
            <w:shd w:fill="F5F5F5"/>
          </w:tcPr>
          <w:p>
            <w:r>
              <w:t>Relational persistence, stream caching, trust graph, vector indexing.</w:t>
            </w:r>
          </w:p>
        </w:tc>
      </w:tr>
      <w:tr>
        <w:tc>
          <w:tcPr>
            <w:tcW w:type="dxa" w:w="2160"/>
          </w:tcPr>
          <w:p>
            <w:r>
              <w:t>DevOps / Infrastructure</w:t>
            </w:r>
          </w:p>
        </w:tc>
        <w:tc>
          <w:tcPr>
            <w:tcW w:type="dxa" w:w="3168"/>
          </w:tcPr>
          <w:p>
            <w:r>
              <w:t>Docker, Kubernetes, Helm, Kustomize, Prometheus, Grafana</w:t>
            </w:r>
          </w:p>
        </w:tc>
        <w:tc>
          <w:tcPr>
            <w:tcW w:type="dxa" w:w="4032"/>
          </w:tcPr>
          <w:p>
            <w:r>
              <w:t>Containerization, auto-scaling (HPA), metrics monitoring.</w:t>
            </w:r>
          </w:p>
        </w:tc>
      </w:tr>
    </w:tbl>
    <w:p>
      <w:pPr>
        <w:jc w:val="center"/>
      </w:pPr>
      <w:bookmarkStart w:id="1001" w:name="table1"/>
      <w:r>
        <w:rPr>
          <w:b/>
          <w:i/>
          <w:color w:val="595959"/>
          <w:sz w:val="18"/>
        </w:rPr>
        <w:t>Table 1. Core Technology Stack Specification</w:t>
      </w:r>
      <w:bookmarkEnd w:id="1001"/>
    </w:p>
    <w:p>
      <w:pPr>
        <w:pStyle w:val="Heading2"/>
        <w:keepNext/>
        <w:spacing w:before="280" w:after="120"/>
      </w:pPr>
      <w:r>
        <w:rPr>
          <w:rFonts w:ascii="Times New Roman" w:hAnsi="Times New Roman"/>
          <w:b/>
          <w:color w:val="222222"/>
          <w:sz w:val="28"/>
        </w:rPr>
        <w:t>5.2 User Interface &amp; Feature Walkthrough</w:t>
      </w:r>
    </w:p>
    <w:p>
      <w:pPr>
        <w:spacing w:line="276" w:lineRule="auto" w:after="120"/>
      </w:pPr>
      <w:r>
        <w:rPr>
          <w:rFonts w:ascii="Times New Roman" w:hAnsi="Times New Roman"/>
          <w:i w:val="0"/>
        </w:rPr>
        <w:t>This section presents operational screenshots captured from the live SmartResearch platform running in the development and test environment.</w:t>
      </w:r>
    </w:p>
    <w:p>
      <w:pPr>
        <w:pStyle w:val="Heading3"/>
        <w:keepNext/>
        <w:spacing w:before="200" w:after="80"/>
      </w:pPr>
      <w:r>
        <w:rPr>
          <w:rFonts w:ascii="Times New Roman" w:hAnsi="Times New Roman"/>
          <w:b/>
          <w:color w:val="333333"/>
          <w:sz w:val="24"/>
        </w:rPr>
        <w:t>5.2.1 Landing Page &amp; Platform Gateway</w:t>
      </w:r>
    </w:p>
    <w:p>
      <w:pPr>
        <w:spacing w:line="276" w:lineRule="auto" w:after="120"/>
      </w:pPr>
      <w:r>
        <w:rPr>
          <w:rFonts w:ascii="Times New Roman" w:hAnsi="Times New Roman"/>
          <w:i w:val="0"/>
        </w:rPr>
        <w:t>The landing page serves as the entry point, showcasing platform capabilities, key features, trusted institutions, and navigation CTA buttons.</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4 here</w:t>
            </w:r>
          </w:p>
          <w:p>
            <w:pPr>
              <w:jc w:val="center"/>
            </w:pPr>
            <w:r>
              <w:rPr>
                <w:i/>
                <w:color w:val="7F7F7F"/>
                <w:sz w:val="18"/>
              </w:rPr>
              <w:t>Landing Page &amp; Platform Gateway Interface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4. Landing Page &amp; Platform Gateway Interface.</w:t>
      </w:r>
    </w:p>
    <w:p>
      <w:pPr>
        <w:pStyle w:val="Heading3"/>
        <w:keepNext/>
        <w:spacing w:before="200" w:after="80"/>
      </w:pPr>
      <w:r>
        <w:rPr>
          <w:rFonts w:ascii="Times New Roman" w:hAnsi="Times New Roman"/>
          <w:b/>
          <w:color w:val="333333"/>
          <w:sz w:val="24"/>
        </w:rPr>
        <w:t>5.2.2 User Authentication &amp; Login Interface</w:t>
      </w:r>
    </w:p>
    <w:p>
      <w:pPr>
        <w:spacing w:line="276" w:lineRule="auto" w:after="120"/>
      </w:pPr>
      <w:r>
        <w:rPr>
          <w:rFonts w:ascii="Times New Roman" w:hAnsi="Times New Roman"/>
          <w:i w:val="0"/>
        </w:rPr>
        <w:t>The login screen provides secure access via institutional credentials or social OAuth providers, protecting JWT tokens.</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5 here</w:t>
            </w:r>
          </w:p>
          <w:p>
            <w:pPr>
              <w:jc w:val="center"/>
            </w:pPr>
            <w:r>
              <w:rPr>
                <w:i/>
                <w:color w:val="7F7F7F"/>
                <w:sz w:val="18"/>
              </w:rPr>
              <w:t>User Authentication &amp; Login Interface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5. User Authentication &amp; Login Interface.</w:t>
      </w:r>
    </w:p>
    <w:p>
      <w:pPr>
        <w:pStyle w:val="Heading3"/>
        <w:keepNext/>
        <w:spacing w:before="200" w:after="80"/>
      </w:pPr>
      <w:r>
        <w:rPr>
          <w:rFonts w:ascii="Times New Roman" w:hAnsi="Times New Roman"/>
          <w:b/>
          <w:color w:val="333333"/>
          <w:sz w:val="24"/>
        </w:rPr>
        <w:t>5.2.3 Account Registration &amp; Verification Interface</w:t>
      </w:r>
    </w:p>
    <w:p>
      <w:pPr>
        <w:spacing w:line="276" w:lineRule="auto" w:after="120"/>
      </w:pPr>
      <w:r>
        <w:rPr>
          <w:rFonts w:ascii="Times New Roman" w:hAnsi="Times New Roman"/>
          <w:i w:val="0"/>
        </w:rPr>
        <w:t>The registration interface captures researcher credentials, academic affiliation, research domains, and handles verification.</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6 here</w:t>
            </w:r>
          </w:p>
          <w:p>
            <w:pPr>
              <w:jc w:val="center"/>
            </w:pPr>
            <w:r>
              <w:rPr>
                <w:i/>
                <w:color w:val="7F7F7F"/>
                <w:sz w:val="18"/>
              </w:rPr>
              <w:t>Account Registration &amp; Onboarding Interface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6. Account Registration &amp; Onboarding Interface.</w:t>
      </w:r>
    </w:p>
    <w:p>
      <w:pPr>
        <w:pStyle w:val="Heading3"/>
        <w:keepNext/>
        <w:spacing w:before="200" w:after="80"/>
      </w:pPr>
      <w:r>
        <w:rPr>
          <w:rFonts w:ascii="Times New Roman" w:hAnsi="Times New Roman"/>
          <w:b/>
          <w:color w:val="333333"/>
          <w:sz w:val="24"/>
        </w:rPr>
        <w:t>5.2.4 AI Research Discovery Engine View</w:t>
      </w:r>
    </w:p>
    <w:p>
      <w:pPr>
        <w:spacing w:line="276" w:lineRule="auto" w:after="120"/>
      </w:pPr>
      <w:r>
        <w:rPr>
          <w:rFonts w:ascii="Times New Roman" w:hAnsi="Times New Roman"/>
          <w:i w:val="0"/>
        </w:rPr>
        <w:t>The discovery engine uses SBERT vector embeddings to match papers, topics, and authors based on semantic similarity rather than simple keywords.</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7 here</w:t>
            </w:r>
          </w:p>
          <w:p>
            <w:pPr>
              <w:jc w:val="center"/>
            </w:pPr>
            <w:r>
              <w:rPr>
                <w:i/>
                <w:color w:val="7F7F7F"/>
                <w:sz w:val="18"/>
              </w:rPr>
              <w:t>AI Research Discovery Engine &amp; Matchmaking View</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7. AI Research Discovery Engine &amp; Matchmaking View.</w:t>
      </w:r>
    </w:p>
    <w:p>
      <w:pPr>
        <w:pStyle w:val="Heading3"/>
        <w:keepNext/>
        <w:spacing w:before="200" w:after="80"/>
      </w:pPr>
      <w:r>
        <w:rPr>
          <w:rFonts w:ascii="Times New Roman" w:hAnsi="Times New Roman"/>
          <w:b/>
          <w:color w:val="333333"/>
          <w:sz w:val="24"/>
        </w:rPr>
        <w:t>5.2.5 Collaborative Workspace &amp; Document Editor</w:t>
      </w:r>
    </w:p>
    <w:p>
      <w:pPr>
        <w:spacing w:line="276" w:lineRule="auto" w:after="120"/>
      </w:pPr>
      <w:r>
        <w:rPr>
          <w:rFonts w:ascii="Times New Roman" w:hAnsi="Times New Roman"/>
          <w:i w:val="0"/>
        </w:rPr>
        <w:t>Workspaces enable real-time co-authoring using TipTap &amp; Yjs, document versioning, team management, and template generation.</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8 here</w:t>
            </w:r>
          </w:p>
          <w:p>
            <w:pPr>
              <w:jc w:val="center"/>
            </w:pPr>
            <w:r>
              <w:rPr>
                <w:i/>
                <w:color w:val="7F7F7F"/>
                <w:sz w:val="18"/>
              </w:rPr>
              <w:t>Real-Time Collaborative Workspace Interface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8. Real-Time Collaborative Workspace Interface.</w:t>
      </w:r>
    </w:p>
    <w:p>
      <w:pPr>
        <w:pStyle w:val="Heading3"/>
        <w:keepNext/>
        <w:spacing w:before="200" w:after="80"/>
      </w:pPr>
      <w:r>
        <w:rPr>
          <w:rFonts w:ascii="Times New Roman" w:hAnsi="Times New Roman"/>
          <w:b/>
          <w:color w:val="333333"/>
          <w:sz w:val="24"/>
        </w:rPr>
        <w:t>5.2.6 Research Library &amp; Citation Collection</w:t>
      </w:r>
    </w:p>
    <w:p>
      <w:pPr>
        <w:spacing w:line="276" w:lineRule="auto" w:after="120"/>
      </w:pPr>
      <w:r>
        <w:rPr>
          <w:rFonts w:ascii="Times New Roman" w:hAnsi="Times New Roman"/>
          <w:i w:val="0"/>
        </w:rPr>
        <w:t>The research library provides centralized access to saved literature, volume summarization tools, and paper collection archives.</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9 here</w:t>
            </w:r>
          </w:p>
          <w:p>
            <w:pPr>
              <w:jc w:val="center"/>
            </w:pPr>
            <w:r>
              <w:rPr>
                <w:i/>
                <w:color w:val="7F7F7F"/>
                <w:sz w:val="18"/>
              </w:rPr>
              <w:t>Research Library &amp; Collection Management Interface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9. Research Library &amp; Collection Management Interface.</w:t>
      </w:r>
    </w:p>
    <w:p>
      <w:pPr>
        <w:pStyle w:val="Heading3"/>
        <w:keepNext/>
        <w:spacing w:before="200" w:after="80"/>
      </w:pPr>
      <w:r>
        <w:rPr>
          <w:rFonts w:ascii="Times New Roman" w:hAnsi="Times New Roman"/>
          <w:b/>
          <w:color w:val="333333"/>
          <w:sz w:val="24"/>
        </w:rPr>
        <w:t>5.2.7 AI Research Assistant (Agentic RAG) Conversational Interface</w:t>
      </w:r>
    </w:p>
    <w:p>
      <w:pPr>
        <w:spacing w:line="276" w:lineRule="auto" w:after="120"/>
      </w:pPr>
      <w:r>
        <w:rPr>
          <w:rFonts w:ascii="Times New Roman" w:hAnsi="Times New Roman"/>
          <w:i w:val="0"/>
        </w:rPr>
        <w:t>The AI Assistant provides grounded conversational search across papers, researchers, and forum posts with cited answers and extractive fallback.</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10 here</w:t>
            </w:r>
          </w:p>
          <w:p>
            <w:pPr>
              <w:jc w:val="center"/>
            </w:pPr>
            <w:r>
              <w:rPr>
                <w:i/>
                <w:color w:val="7F7F7F"/>
                <w:sz w:val="18"/>
              </w:rPr>
              <w:t>AI Research Assistant (Agentic RAG) Conversational View</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10. AI Research Assistant (Agentic RAG) Conversational View.</w:t>
      </w:r>
    </w:p>
    <w:p>
      <w:pPr>
        <w:pStyle w:val="Heading3"/>
        <w:keepNext/>
        <w:spacing w:before="200" w:after="80"/>
      </w:pPr>
      <w:r>
        <w:rPr>
          <w:rFonts w:ascii="Times New Roman" w:hAnsi="Times New Roman"/>
          <w:b/>
          <w:color w:val="333333"/>
          <w:sz w:val="24"/>
        </w:rPr>
        <w:t>5.2.8 Community Forum &amp; TrustRank Reputation System</w:t>
      </w:r>
    </w:p>
    <w:p>
      <w:pPr>
        <w:spacing w:line="276" w:lineRule="auto" w:after="120"/>
      </w:pPr>
      <w:r>
        <w:rPr>
          <w:rFonts w:ascii="Times New Roman" w:hAnsi="Times New Roman"/>
          <w:i w:val="0"/>
        </w:rPr>
        <w:t>The community forum features threaded academic discussions protected by Neo4j TrustRank reputation gating to prevent spam.</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11 here</w:t>
            </w:r>
          </w:p>
          <w:p>
            <w:pPr>
              <w:jc w:val="center"/>
            </w:pPr>
            <w:r>
              <w:rPr>
                <w:i/>
                <w:color w:val="7F7F7F"/>
                <w:sz w:val="18"/>
              </w:rPr>
              <w:t>Community Forum &amp; TrustRank Reputation Interface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11. Community Forum &amp; TrustRank Reputation Interface.</w:t>
      </w:r>
    </w:p>
    <w:p>
      <w:pPr>
        <w:pStyle w:val="Heading3"/>
        <w:keepNext/>
        <w:spacing w:before="200" w:after="80"/>
      </w:pPr>
      <w:r>
        <w:rPr>
          <w:rFonts w:ascii="Times New Roman" w:hAnsi="Times New Roman"/>
          <w:b/>
          <w:color w:val="333333"/>
          <w:sz w:val="24"/>
        </w:rPr>
        <w:t>5.2.9 Mentorship Matchmaking &amp; Academic Guidance Module</w:t>
      </w:r>
    </w:p>
    <w:p>
      <w:pPr>
        <w:spacing w:line="276" w:lineRule="auto" w:after="120"/>
      </w:pPr>
      <w:r>
        <w:rPr>
          <w:rFonts w:ascii="Times New Roman" w:hAnsi="Times New Roman"/>
          <w:i w:val="0"/>
        </w:rPr>
        <w:t>The mentorship module pairs junior researchers with senior faculty mentors based on expertise alignment and research goals.</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12 here</w:t>
            </w:r>
          </w:p>
          <w:p>
            <w:pPr>
              <w:jc w:val="center"/>
            </w:pPr>
            <w:r>
              <w:rPr>
                <w:i/>
                <w:color w:val="7F7F7F"/>
                <w:sz w:val="18"/>
              </w:rPr>
              <w:t>Mentorship Matchmaking &amp; Guidance Module</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12. Mentorship Matchmaking &amp; Guidance Module.</w:t>
      </w:r>
    </w:p>
    <w:p>
      <w:pPr>
        <w:pStyle w:val="Heading3"/>
        <w:keepNext/>
        <w:spacing w:before="200" w:after="80"/>
      </w:pPr>
      <w:r>
        <w:rPr>
          <w:rFonts w:ascii="Times New Roman" w:hAnsi="Times New Roman"/>
          <w:b/>
          <w:color w:val="333333"/>
          <w:sz w:val="24"/>
        </w:rPr>
        <w:t>5.2.10 Verified Researchers Directory &amp; Profiles</w:t>
      </w:r>
    </w:p>
    <w:p>
      <w:pPr>
        <w:spacing w:line="276" w:lineRule="auto" w:after="120"/>
      </w:pPr>
      <w:r>
        <w:rPr>
          <w:rFonts w:ascii="Times New Roman" w:hAnsi="Times New Roman"/>
          <w:i w:val="0"/>
        </w:rPr>
        <w:t>The directory displays verified scholar profiles, citation metrics, institutional badges, and co-authorship networks.</w:t>
      </w:r>
    </w:p>
    <w:tbl>
      <w:tblPr>
        <w:tblW w:type="auto" w:w="0"/>
        <w:jc w:val="center"/>
        <w:tblLayout w:type="fixed"/>
        <w:tblLook w:firstColumn="1" w:firstRow="1" w:lastColumn="0" w:lastRow="0" w:noHBand="0" w:noVBand="1" w:val="04A0"/>
      </w:tblPr>
      <w:tblGrid>
        <w:gridCol w:w="9360"/>
      </w:tblGrid>
      <w:tr>
        <w:trPr>
          <w:trHeight w:val="4464" w:hRule="atLeast"/>
        </w:trPr>
        <w:tc>
          <w:tcPr>
            <w:tcW w:type="dxa" w:w="9360"/>
            <w:vAlign w:val="center"/>
            <w:tcBorders>
              <w:top w:val="dashed" w:sz="6" w:space="0" w:color="A6A6A6"/>
              <w:left w:val="dashed" w:sz="6" w:space="0" w:color="A6A6A6"/>
              <w:bottom w:val="dashed" w:sz="6" w:space="0" w:color="A6A6A6"/>
              <w:right w:val="dashed" w:sz="6" w:space="0" w:color="A6A6A6"/>
            </w:tcBorders>
            <w:shd w:val="clear" w:color="auto" w:fill="FBFBFB"/>
          </w:tcPr>
          <w:p>
            <w:pPr>
              <w:spacing w:before="120"/>
              <w:jc w:val="center"/>
            </w:pPr>
            <w:r>
              <w:rPr>
                <w:rFonts w:ascii="Consolas" w:hAnsi="Consolas"/>
                <w:b/>
                <w:color w:val="7F7F7F"/>
                <w:sz w:val="22"/>
              </w:rPr>
              <w:t>[  SCREENSHOT PLACEHOLDER  ]</w:t>
            </w:r>
          </w:p>
          <w:p>
            <w:pPr>
              <w:jc w:val="center"/>
            </w:pPr>
            <w:r>
              <w:rPr>
                <w:color w:val="404040"/>
                <w:sz w:val="22"/>
              </w:rPr>
              <w:t>Insert Figure 13 here</w:t>
            </w:r>
          </w:p>
          <w:p>
            <w:pPr>
              <w:jc w:val="center"/>
            </w:pPr>
            <w:r>
              <w:rPr>
                <w:i/>
                <w:color w:val="7F7F7F"/>
                <w:sz w:val="18"/>
              </w:rPr>
              <w:t>Verified Researchers Directory &amp; Institutional Profile View</w:t>
            </w:r>
          </w:p>
          <w:p>
            <w:pPr>
              <w:spacing w:after="120"/>
              <w:jc w:val="center"/>
            </w:pPr>
            <w:r>
              <w:rPr>
                <w:i/>
                <w:color w:val="7F7F7F"/>
                <w:sz w:val="16"/>
              </w:rPr>
              <w:t>Recommended: crop to content area  ·  width ≈ 6.5"</w:t>
            </w:r>
          </w:p>
        </w:tc>
      </w:tr>
    </w:tbl>
    <w:p>
      <w:pPr>
        <w:spacing w:after="280"/>
        <w:jc w:val="center"/>
      </w:pPr>
      <w:r>
        <w:rPr>
          <w:rFonts w:ascii="Times New Roman" w:hAnsi="Times New Roman"/>
          <w:b w:val="0"/>
          <w:i/>
          <w:color w:val="595959"/>
          <w:sz w:val="20"/>
        </w:rPr>
        <w:t>Figure 13. Verified Researchers Directory &amp; Institutional Profile View.</w:t>
      </w:r>
    </w:p>
    <w:p>
      <w:pPr>
        <w:pStyle w:val="Heading2"/>
        <w:keepNext/>
        <w:spacing w:before="280" w:after="120"/>
      </w:pPr>
      <w:r>
        <w:rPr>
          <w:rFonts w:ascii="Times New Roman" w:hAnsi="Times New Roman"/>
          <w:b/>
          <w:color w:val="222222"/>
          <w:sz w:val="28"/>
        </w:rPr>
        <w:t>5.3 Database Collections &amp; Schemas</w:t>
      </w:r>
    </w:p>
    <w:p>
      <w:pPr>
        <w:spacing w:line="276" w:lineRule="auto" w:after="120"/>
      </w:pPr>
      <w:r>
        <w:t>The database layer is deliberately heterogeneous, with each store owning a well-defined slice of the domain. PostgreSQL persists the canonical relational entities; Redis holds ephemeral session, cache, and streaming keys; Neo4j stores the reputation and collaboration graph; and Elasticsearch indexes dense embeddings for vector search. Table 4 summarises the principal collections, their purpose, and their representative key fields.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Store</w:t>
            </w:r>
          </w:p>
        </w:tc>
        <w:tc>
          <w:tcPr>
            <w:tcW w:type="dxa" w:w="2304"/>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Entity / Collection</w:t>
            </w:r>
          </w:p>
        </w:tc>
        <w:tc>
          <w:tcPr>
            <w:tcW w:type="dxa" w:w="2736"/>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Purpose</w:t>
            </w:r>
          </w:p>
        </w:tc>
        <w:tc>
          <w:tcPr>
            <w:tcW w:type="dxa" w:w="2736"/>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Representative Key Fields</w:t>
            </w:r>
          </w:p>
        </w:tc>
      </w:tr>
      <w:tr>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PostgreSQL</w:t>
            </w:r>
          </w:p>
        </w:tc>
        <w:tc>
          <w:tcPr>
            <w:tcW w:type="dxa" w:w="230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users</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Canonical account &amp; profile records</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id, email, name, affiliation, verified, role</w:t>
            </w:r>
          </w:p>
        </w:tc>
      </w:tr>
      <w:tr>
        <w:tc>
          <w:tcPr>
            <w:tcW w:type="dxa" w:w="158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PostgreSQL</w:t>
            </w:r>
          </w:p>
        </w:tc>
        <w:tc>
          <w:tcPr>
            <w:tcW w:type="dxa" w:w="230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papers</w:t>
            </w:r>
          </w:p>
        </w:tc>
        <w:tc>
          <w:tcPr>
            <w:tcW w:type="dxa" w:w="273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Paper metadata &amp; ownership</w:t>
            </w:r>
          </w:p>
        </w:tc>
        <w:tc>
          <w:tcPr>
            <w:tcW w:type="dxa" w:w="273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id, title, abstract, authors, doi, year</w:t>
            </w:r>
          </w:p>
        </w:tc>
      </w:tr>
      <w:tr>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PostgreSQL</w:t>
            </w:r>
          </w:p>
        </w:tc>
        <w:tc>
          <w:tcPr>
            <w:tcW w:type="dxa" w:w="230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workspaces / documents</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Collaborative projects &amp; content</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id, owner_id, members, title, body, version</w:t>
            </w:r>
          </w:p>
        </w:tc>
      </w:tr>
      <w:tr>
        <w:tc>
          <w:tcPr>
            <w:tcW w:type="dxa" w:w="158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Redis</w:t>
            </w:r>
          </w:p>
        </w:tc>
        <w:tc>
          <w:tcPr>
            <w:tcW w:type="dxa" w:w="230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session / stream keys</w:t>
            </w:r>
          </w:p>
        </w:tc>
        <w:tc>
          <w:tcPr>
            <w:tcW w:type="dxa" w:w="273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Auth sessions, cache, real-time pub/sub</w:t>
            </w:r>
          </w:p>
        </w:tc>
        <w:tc>
          <w:tcPr>
            <w:tcW w:type="dxa" w:w="273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sess:{jwt}, cache:{query}, ydoc:{room}</w:t>
            </w:r>
          </w:p>
        </w:tc>
      </w:tr>
      <w:tr>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Neo4j</w:t>
            </w:r>
          </w:p>
        </w:tc>
        <w:tc>
          <w:tcPr>
            <w:tcW w:type="dxa" w:w="230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(:User)-[:TRUSTS]-&gt;(:User)</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Trust &amp; co-authorship graph</w:t>
            </w:r>
          </w:p>
        </w:tc>
        <w:tc>
          <w:tcPr>
            <w:tcW w:type="dxa" w:w="273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trustRank, weight, endorsedAt</w:t>
            </w:r>
          </w:p>
        </w:tc>
      </w:tr>
      <w:tr>
        <w:tc>
          <w:tcPr>
            <w:tcW w:type="dxa" w:w="158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Elasticsearch</w:t>
            </w:r>
          </w:p>
        </w:tc>
        <w:tc>
          <w:tcPr>
            <w:tcW w:type="dxa" w:w="230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paper_vectors</w:t>
            </w:r>
          </w:p>
        </w:tc>
        <w:tc>
          <w:tcPr>
            <w:tcW w:type="dxa" w:w="273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Dense kNN semantic index</w:t>
            </w:r>
          </w:p>
        </w:tc>
        <w:tc>
          <w:tcPr>
            <w:tcW w:type="dxa" w:w="273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doc_id, embedding[384], title, tags</w:t>
            </w:r>
          </w:p>
        </w:tc>
      </w:tr>
    </w:tbl>
    <w:p>
      <w:pPr>
        <w:spacing w:before="120" w:after="200"/>
        <w:jc w:val="center"/>
      </w:pPr>
      <w:bookmarkStart w:id="1003" w:name="table4"/>
      <w:r>
        <w:rPr>
          <w:b/>
          <w:i/>
          <w:color w:val="595959"/>
          <w:sz w:val="18"/>
        </w:rPr>
        <w:t>Table 4. Database Entities and Collection Specifications</w:t>
      </w:r>
      <w:bookmarkEnd w:id="1003"/>
    </w:p>
    <w:p>
      <w:pPr>
        <w:pStyle w:val="Heading1"/>
        <w:keepNext/>
        <w:spacing w:before="360" w:after="160"/>
        <w:pageBreakBefore/>
      </w:pPr>
      <w:r>
        <w:rPr>
          <w:rFonts w:ascii="Times New Roman" w:hAnsi="Times New Roman"/>
          <w:b/>
          <w:color w:val="000000"/>
          <w:sz w:val="36"/>
        </w:rPr>
        <w:t>Chapter 6: Testing and Results</w:t>
      </w:r>
    </w:p>
    <w:p>
      <w:pPr>
        <w:pStyle w:val="Heading2"/>
        <w:keepNext/>
        <w:spacing w:before="280" w:after="120"/>
      </w:pPr>
      <w:r>
        <w:rPr>
          <w:rFonts w:ascii="Times New Roman" w:hAnsi="Times New Roman"/>
          <w:b/>
          <w:color w:val="222222"/>
          <w:sz w:val="28"/>
        </w:rPr>
        <w:t>6.1 Unit &amp; Integration Testing</w:t>
      </w:r>
    </w:p>
    <w:p>
      <w:pPr>
        <w:spacing w:line="276" w:lineRule="auto" w:after="120"/>
      </w:pPr>
      <w:r>
        <w:rPr>
          <w:rFonts w:ascii="Times New Roman" w:hAnsi="Times New Roman"/>
          <w:i w:val="0"/>
        </w:rPr>
        <w:t>Automated test suites were implemented using Jest for Node.js backend endpoints and PyTest for Python FastAPI ML services.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262626"/>
          </w:tcPr>
          <w:p>
            <w:r>
              <w:rPr>
                <w:b/>
                <w:color w:val="FFFFFF"/>
              </w:rPr>
              <w:t>Test Suite</w:t>
            </w:r>
          </w:p>
        </w:tc>
        <w:tc>
          <w:tcPr>
            <w:tcW w:type="dxa" w:w="3168"/>
            <w:shd w:fill="262626"/>
          </w:tcPr>
          <w:p>
            <w:r>
              <w:rPr>
                <w:b/>
                <w:color w:val="FFFFFF"/>
              </w:rPr>
              <w:t>Target Component</w:t>
            </w:r>
          </w:p>
        </w:tc>
        <w:tc>
          <w:tcPr>
            <w:tcW w:type="dxa" w:w="1872"/>
            <w:shd w:fill="262626"/>
          </w:tcPr>
          <w:p>
            <w:r>
              <w:rPr>
                <w:b/>
                <w:color w:val="FFFFFF"/>
              </w:rPr>
              <w:t>Passed / Total</w:t>
            </w:r>
          </w:p>
        </w:tc>
        <w:tc>
          <w:tcPr>
            <w:tcW w:type="dxa" w:w="1728"/>
            <w:shd w:fill="262626"/>
          </w:tcPr>
          <w:p>
            <w:r>
              <w:rPr>
                <w:b/>
                <w:color w:val="FFFFFF"/>
              </w:rPr>
              <w:t>Status</w:t>
            </w:r>
          </w:p>
        </w:tc>
      </w:tr>
      <w:tr>
        <w:tc>
          <w:tcPr>
            <w:tcW w:type="dxa" w:w="2592"/>
          </w:tcPr>
          <w:p>
            <w:r>
              <w:t>Auth &amp; JWT Unit Tests</w:t>
            </w:r>
          </w:p>
        </w:tc>
        <w:tc>
          <w:tcPr>
            <w:tcW w:type="dxa" w:w="3168"/>
          </w:tcPr>
          <w:p>
            <w:r>
              <w:t>Express Auth Controller</w:t>
            </w:r>
          </w:p>
        </w:tc>
        <w:tc>
          <w:tcPr>
            <w:tcW w:type="dxa" w:w="1872"/>
          </w:tcPr>
          <w:p>
            <w:r>
              <w:t>24 / 24</w:t>
            </w:r>
          </w:p>
        </w:tc>
        <w:tc>
          <w:tcPr>
            <w:tcW w:type="dxa" w:w="1728"/>
          </w:tcPr>
          <w:p>
            <w:r>
              <w:t>PASSED</w:t>
            </w:r>
          </w:p>
        </w:tc>
      </w:tr>
      <w:tr>
        <w:tc>
          <w:tcPr>
            <w:tcW w:type="dxa" w:w="2592"/>
            <w:shd w:fill="F5F5F5"/>
          </w:tcPr>
          <w:p>
            <w:r>
              <w:t>RAG Pipeline Tests</w:t>
            </w:r>
          </w:p>
        </w:tc>
        <w:tc>
          <w:tcPr>
            <w:tcW w:type="dxa" w:w="3168"/>
            <w:shd w:fill="F5F5F5"/>
          </w:tcPr>
          <w:p>
            <w:r>
              <w:t>FastAPI ML Service</w:t>
            </w:r>
          </w:p>
        </w:tc>
        <w:tc>
          <w:tcPr>
            <w:tcW w:type="dxa" w:w="1872"/>
            <w:shd w:fill="F5F5F5"/>
          </w:tcPr>
          <w:p>
            <w:r>
              <w:t>18 / 18</w:t>
            </w:r>
          </w:p>
        </w:tc>
        <w:tc>
          <w:tcPr>
            <w:tcW w:type="dxa" w:w="1728"/>
            <w:shd w:fill="F5F5F5"/>
          </w:tcPr>
          <w:p>
            <w:r>
              <w:t>PASSED</w:t>
            </w:r>
          </w:p>
        </w:tc>
      </w:tr>
      <w:tr>
        <w:tc>
          <w:tcPr>
            <w:tcW w:type="dxa" w:w="2592"/>
          </w:tcPr>
          <w:p>
            <w:r>
              <w:t>Socket.IO Handshake Tests</w:t>
            </w:r>
          </w:p>
        </w:tc>
        <w:tc>
          <w:tcPr>
            <w:tcW w:type="dxa" w:w="3168"/>
          </w:tcPr>
          <w:p>
            <w:r>
              <w:t>Backend Gateway</w:t>
            </w:r>
          </w:p>
        </w:tc>
        <w:tc>
          <w:tcPr>
            <w:tcW w:type="dxa" w:w="1872"/>
          </w:tcPr>
          <w:p>
            <w:r>
              <w:t>12 / 12</w:t>
            </w:r>
          </w:p>
        </w:tc>
        <w:tc>
          <w:tcPr>
            <w:tcW w:type="dxa" w:w="1728"/>
          </w:tcPr>
          <w:p>
            <w:r>
              <w:t>PASSED</w:t>
            </w:r>
          </w:p>
        </w:tc>
      </w:tr>
      <w:tr>
        <w:tc>
          <w:tcPr>
            <w:tcW w:type="dxa" w:w="2592"/>
            <w:shd w:fill="F5F5F5"/>
          </w:tcPr>
          <w:p>
            <w:r>
              <w:t>TrustRank Graph Tests</w:t>
            </w:r>
          </w:p>
        </w:tc>
        <w:tc>
          <w:tcPr>
            <w:tcW w:type="dxa" w:w="3168"/>
            <w:shd w:fill="F5F5F5"/>
          </w:tcPr>
          <w:p>
            <w:r>
              <w:t>Neo4j Driver Service</w:t>
            </w:r>
          </w:p>
        </w:tc>
        <w:tc>
          <w:tcPr>
            <w:tcW w:type="dxa" w:w="1872"/>
            <w:shd w:fill="F5F5F5"/>
          </w:tcPr>
          <w:p>
            <w:r>
              <w:t>10 / 10</w:t>
            </w:r>
          </w:p>
        </w:tc>
        <w:tc>
          <w:tcPr>
            <w:tcW w:type="dxa" w:w="1728"/>
            <w:shd w:fill="F5F5F5"/>
          </w:tcPr>
          <w:p>
            <w:r>
              <w:t>PASSED</w:t>
            </w:r>
          </w:p>
        </w:tc>
      </w:tr>
      <w:tr>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Elasticsearch kNN Tests</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FastAPI ML Service</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rFonts w:ascii="Calibri" w:hAnsi="Calibri"/>
                <w:b w:val="0"/>
                <w:color w:val="262626"/>
                <w:sz w:val="20"/>
              </w:rPr>
              <w:t>14 / 14</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rFonts w:ascii="Calibri" w:hAnsi="Calibri"/>
                <w:b w:val="0"/>
                <w:color w:val="262626"/>
                <w:sz w:val="20"/>
              </w:rPr>
              <w:t>PASSED</w:t>
            </w:r>
          </w:p>
        </w:tc>
      </w:tr>
      <w:tr>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End-to-End API (Integration)</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Gateway + ML + DB</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rFonts w:ascii="Calibri" w:hAnsi="Calibri"/>
                <w:b w:val="0"/>
                <w:color w:val="262626"/>
                <w:sz w:val="20"/>
              </w:rPr>
              <w:t>21 / 22</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rFonts w:ascii="Calibri" w:hAnsi="Calibri"/>
                <w:b w:val="0"/>
                <w:color w:val="262626"/>
                <w:sz w:val="20"/>
              </w:rPr>
              <w:t>PASSED</w:t>
            </w:r>
          </w:p>
        </w:tc>
      </w:tr>
      <w:tr>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Frontend Component (Playwright)</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left"/>
            </w:pPr>
            <w:r/>
            <w:r>
              <w:rPr>
                <w:rFonts w:ascii="Calibri" w:hAnsi="Calibri"/>
                <w:b w:val="0"/>
                <w:color w:val="262626"/>
                <w:sz w:val="20"/>
              </w:rPr>
              <w:t>Next.js UI</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rFonts w:ascii="Calibri" w:hAnsi="Calibri"/>
                <w:b w:val="0"/>
                <w:color w:val="262626"/>
                <w:sz w:val="20"/>
              </w:rPr>
              <w:t>19 / 20</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FFFFF"/>
          </w:tcPr>
          <w:p>
            <w:pPr>
              <w:spacing w:before="40" w:after="40"/>
              <w:jc w:val="center"/>
            </w:pPr>
            <w:r/>
            <w:r>
              <w:rPr>
                <w:rFonts w:ascii="Calibri" w:hAnsi="Calibri"/>
                <w:b w:val="0"/>
                <w:color w:val="262626"/>
                <w:sz w:val="20"/>
              </w:rPr>
              <w:t>PASSED</w:t>
            </w:r>
          </w:p>
        </w:tc>
      </w:tr>
      <w:tr>
        <w:tc>
          <w:tcPr>
            <w:tcW w:type="dxa" w:w="234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color w:val="262626"/>
                <w:sz w:val="20"/>
              </w:rPr>
              <w:t>Aggregate</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left"/>
            </w:pPr>
            <w:r/>
            <w:r>
              <w:rPr>
                <w:rFonts w:ascii="Calibri" w:hAnsi="Calibri"/>
                <w:b/>
                <w:color w:val="262626"/>
                <w:sz w:val="20"/>
              </w:rPr>
              <w:t>All Suites</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color w:val="262626"/>
                <w:sz w:val="20"/>
              </w:rPr>
              <w:t>118 / 122</w:t>
            </w:r>
          </w:p>
        </w:tc>
        <w:tc>
          <w:tcPr>
            <w:tcW w:type="dxa" w:w="2340"/>
            <w:vAlign w:val="center"/>
            <w:tcBorders>
              <w:top w:val="single" w:sz="4" w:space="0" w:color="BFBFBF"/>
              <w:left w:val="single" w:sz="4" w:space="0" w:color="BFBFBF"/>
              <w:bottom w:val="single" w:sz="4" w:space="0" w:color="BFBFBF"/>
              <w:right w:val="single" w:sz="4" w:space="0" w:color="BFBFBF"/>
            </w:tcBorders>
            <w:shd w:val="clear" w:color="auto" w:fill="F5F5F5"/>
          </w:tcPr>
          <w:p>
            <w:pPr>
              <w:spacing w:before="40" w:after="40"/>
              <w:jc w:val="center"/>
            </w:pPr>
            <w:r/>
            <w:r>
              <w:rPr>
                <w:rFonts w:ascii="Calibri" w:hAnsi="Calibri"/>
                <w:b/>
                <w:color w:val="262626"/>
                <w:sz w:val="20"/>
              </w:rPr>
              <w:t>96.7%</w:t>
            </w:r>
          </w:p>
        </w:tc>
      </w:tr>
    </w:tbl>
    <w:p>
      <w:pPr>
        <w:jc w:val="center"/>
      </w:pPr>
      <w:bookmarkStart w:id="1002" w:name="table5"/>
      <w:r>
        <w:rPr>
          <w:b/>
          <w:i/>
          <w:color w:val="595959"/>
          <w:sz w:val="18"/>
        </w:rPr>
        <w:t>Table 5. Automated Test Suite Metrics &amp; Coverage</w:t>
      </w:r>
      <w:bookmarkEnd w:id="1002"/>
    </w:p>
    <w:p>
      <w:pPr>
        <w:pStyle w:val="Heading2"/>
        <w:keepNext/>
        <w:spacing w:before="280" w:after="120"/>
      </w:pPr>
      <w:r>
        <w:rPr>
          <w:rFonts w:ascii="Times New Roman" w:hAnsi="Times New Roman"/>
          <w:b/>
          <w:color w:val="222222"/>
          <w:sz w:val="28"/>
        </w:rPr>
        <w:t>6.2 Performance &amp; Benchmark Results</w:t>
      </w:r>
    </w:p>
    <w:p>
      <w:pPr>
        <w:spacing w:line="276" w:lineRule="auto" w:after="120"/>
      </w:pPr>
      <w:r>
        <w:rPr>
          <w:rFonts w:ascii="Times New Roman" w:hAnsi="Times New Roman"/>
          <w:i w:val="0"/>
        </w:rPr>
        <w:t>System performance was measured across vector search latency, API throughput, and real-time document synchronization.</w:t>
      </w:r>
    </w:p>
    <w:p>
      <w:pPr>
        <w:pStyle w:val="ListBullet"/>
        <w:spacing w:line="276" w:lineRule="auto" w:after="80"/>
      </w:pPr>
      <w:r>
        <w:rPr>
          <w:rFonts w:ascii="Times New Roman" w:hAnsi="Times New Roman"/>
          <w:b/>
        </w:rPr>
        <w:t xml:space="preserve">Vector Retrieval Latency: </w:t>
      </w:r>
      <w:r>
        <w:rPr>
          <w:rFonts w:ascii="Times New Roman" w:hAnsi="Times New Roman"/>
        </w:rPr>
        <w:t>SBERT query embedding + vector search completes in &lt;42ms average response time.</w:t>
      </w:r>
    </w:p>
    <w:p>
      <w:pPr>
        <w:pStyle w:val="ListBullet"/>
        <w:spacing w:line="276" w:lineRule="auto" w:after="80"/>
      </w:pPr>
      <w:r>
        <w:rPr>
          <w:rFonts w:ascii="Times New Roman" w:hAnsi="Times New Roman"/>
          <w:b/>
        </w:rPr>
        <w:t xml:space="preserve">API Gateway Throughput: </w:t>
      </w:r>
      <w:r>
        <w:rPr>
          <w:rFonts w:ascii="Times New Roman" w:hAnsi="Times New Roman"/>
        </w:rPr>
        <w:t>Express API gateway handles &gt;1,450 req/sec under simulated concurrent user load.</w:t>
      </w:r>
    </w:p>
    <w:p>
      <w:pPr>
        <w:pStyle w:val="Heading2"/>
        <w:keepNext/>
        <w:spacing w:before="280" w:after="120"/>
      </w:pPr>
      <w:r>
        <w:rPr>
          <w:rFonts w:ascii="Times New Roman" w:hAnsi="Times New Roman"/>
          <w:b/>
          <w:color w:val="222222"/>
          <w:sz w:val="28"/>
        </w:rPr>
        <w:t>6.3 Agentic RAG Evaluation &amp; Graceful Fallback</w:t>
      </w:r>
    </w:p>
    <w:p>
      <w:pPr>
        <w:spacing w:line="276" w:lineRule="auto" w:after="120"/>
      </w:pPr>
      <w:r>
        <w:rPr>
          <w:rFonts w:ascii="Times New Roman" w:hAnsi="Times New Roman"/>
          <w:i w:val="0"/>
        </w:rPr>
        <w:t>A critical reliability feature of SmartResearch is its dual-mode RAG engine. When the Hugging Face generative API is available, full synthesis is performed. When unavailable, the system seamlessly degrades to extractive mode (degraded: true) without throwing runtime errors.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024"/>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Evaluation Scenario</w:t>
            </w:r>
          </w:p>
        </w:tc>
        <w:tc>
          <w:tcPr>
            <w:tcW w:type="dxa" w:w="1872"/>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Engine Mode</w:t>
            </w:r>
          </w:p>
        </w:tc>
        <w:tc>
          <w:tcPr>
            <w:tcW w:type="dxa" w:w="144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Avg. Latency</w:t>
            </w:r>
          </w:p>
        </w:tc>
        <w:tc>
          <w:tcPr>
            <w:tcW w:type="dxa" w:w="1584"/>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Grounded?</w:t>
            </w:r>
          </w:p>
        </w:tc>
        <w:tc>
          <w:tcPr>
            <w:tcW w:type="dxa" w:w="216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Outcome</w:t>
            </w:r>
          </w:p>
        </w:tc>
      </w:tr>
      <w:tr>
        <w:tc>
          <w:tcPr>
            <w:tcW w:type="dxa" w:w="30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Router available, paper in library</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Generative RAG</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1.8 s</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Yes (cited)</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High-quality cited answer</w:t>
            </w:r>
          </w:p>
        </w:tc>
      </w:tr>
      <w:tr>
        <w:tc>
          <w:tcPr>
            <w:tcW w:type="dxa" w:w="302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Router rate-limited (429)</w:t>
            </w:r>
          </w:p>
        </w:tc>
        <w:tc>
          <w:tcPr>
            <w:tcW w:type="dxa" w:w="1872"/>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Extractive fallback</w:t>
            </w:r>
          </w:p>
        </w:tc>
        <w:tc>
          <w:tcPr>
            <w:tcW w:type="dxa" w:w="144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0.4 s</w:t>
            </w:r>
          </w:p>
        </w:tc>
        <w:tc>
          <w:tcPr>
            <w:tcW w:type="dxa" w:w="158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Yes (snippets)</w:t>
            </w:r>
          </w:p>
        </w:tc>
        <w:tc>
          <w:tcPr>
            <w:tcW w:type="dxa" w:w="216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Deterministic grounded snippets</w:t>
            </w:r>
          </w:p>
        </w:tc>
      </w:tr>
      <w:tr>
        <w:tc>
          <w:tcPr>
            <w:tcW w:type="dxa" w:w="302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Router timeout / offline</w:t>
            </w:r>
          </w:p>
        </w:tc>
        <w:tc>
          <w:tcPr>
            <w:tcW w:type="dxa" w:w="1872"/>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Extractive fallback</w:t>
            </w:r>
          </w:p>
        </w:tc>
        <w:tc>
          <w:tcPr>
            <w:tcW w:type="dxa" w:w="144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0.4 s</w:t>
            </w:r>
          </w:p>
        </w:tc>
        <w:tc>
          <w:tcPr>
            <w:tcW w:type="dxa" w:w="1584"/>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Yes (snippets)</w:t>
            </w:r>
          </w:p>
        </w:tc>
        <w:tc>
          <w:tcPr>
            <w:tcW w:type="dxa" w:w="216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Graceful degradation, no failure</w:t>
            </w:r>
          </w:p>
        </w:tc>
      </w:tr>
      <w:tr>
        <w:tc>
          <w:tcPr>
            <w:tcW w:type="dxa" w:w="302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Out-of-corpus question</w:t>
            </w:r>
          </w:p>
        </w:tc>
        <w:tc>
          <w:tcPr>
            <w:tcW w:type="dxa" w:w="1872"/>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Generative RAG</w:t>
            </w:r>
          </w:p>
        </w:tc>
        <w:tc>
          <w:tcPr>
            <w:tcW w:type="dxa" w:w="144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1.9 s</w:t>
            </w:r>
          </w:p>
        </w:tc>
        <w:tc>
          <w:tcPr>
            <w:tcW w:type="dxa" w:w="1584"/>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No-match notice</w:t>
            </w:r>
          </w:p>
        </w:tc>
        <w:tc>
          <w:tcPr>
            <w:tcW w:type="dxa" w:w="216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Transparent 'no evidence' response</w:t>
            </w:r>
          </w:p>
        </w:tc>
      </w:tr>
    </w:tbl>
    <w:p>
      <w:pPr>
        <w:spacing w:before="120" w:after="200"/>
        <w:jc w:val="center"/>
      </w:pPr>
      <w:bookmarkStart w:id="1004" w:name="table6"/>
      <w:r>
        <w:rPr>
          <w:b/>
          <w:i/>
          <w:color w:val="595959"/>
          <w:sz w:val="18"/>
        </w:rPr>
        <w:t>Table 6. RAG Engine Latency &amp; Fallback Evaluation</w:t>
      </w:r>
      <w:bookmarkEnd w:id="1004"/>
    </w:p>
    <w:p>
      <w:pPr>
        <w:pStyle w:val="Heading1"/>
        <w:keepNext/>
        <w:spacing w:before="360" w:after="160"/>
        <w:pageBreakBefore/>
      </w:pPr>
      <w:r>
        <w:rPr>
          <w:rFonts w:ascii="Times New Roman" w:hAnsi="Times New Roman"/>
          <w:b/>
          <w:color w:val="000000"/>
          <w:sz w:val="36"/>
        </w:rPr>
        <w:t>Chapter 7: Conclusion and Future Work</w:t>
      </w:r>
    </w:p>
    <w:p>
      <w:pPr>
        <w:pStyle w:val="Heading2"/>
        <w:keepNext/>
        <w:spacing w:before="280" w:after="120"/>
      </w:pPr>
      <w:r>
        <w:rPr>
          <w:rFonts w:ascii="Times New Roman" w:hAnsi="Times New Roman"/>
          <w:b/>
          <w:color w:val="222222"/>
          <w:sz w:val="28"/>
        </w:rPr>
        <w:t>7.1 Project Summary</w:t>
      </w:r>
    </w:p>
    <w:p>
      <w:pPr>
        <w:spacing w:line="276" w:lineRule="auto" w:after="120"/>
      </w:pPr>
      <w:r>
        <w:t>The SmartResearch platform successfully demonstrates an advanced, scalable, and intelligent academic ecosystem that unifies discovery, collaboration, trust, and AI-assisted research within a single coherent product. Every primary objective defined in Chapter 1 was met: semantic matchmaking is delivered through SBERT and Elasticsearch kNN; grounded assistance is provided by an agentic RAG pipeline with a reliable extractive fallback; community integrity is enforced through a Neo4j TrustRank graph; and real-time collaboration is enabled through TipTap and Yjs. The result is a production-oriented reference implementation validated by an automated test suite and measured performance benchmarks.</w:t>
      </w:r>
    </w:p>
    <w:p>
      <w:pPr>
        <w:pStyle w:val="Heading2"/>
        <w:keepNext/>
        <w:spacing w:before="280" w:after="120"/>
      </w:pPr>
      <w:r>
        <w:rPr>
          <w:rFonts w:ascii="Times New Roman" w:hAnsi="Times New Roman"/>
          <w:b/>
          <w:color w:val="222222"/>
          <w:sz w:val="28"/>
        </w:rPr>
        <w:t>7.2 Limitations</w:t>
      </w:r>
    </w:p>
    <w:p>
      <w:pPr>
        <w:pStyle w:val="ListBullet"/>
        <w:spacing w:line="276" w:lineRule="auto" w:after="80"/>
      </w:pPr>
      <w:r>
        <w:rPr>
          <w:rFonts w:ascii="Times New Roman" w:hAnsi="Times New Roman"/>
          <w:b/>
        </w:rPr>
        <w:t xml:space="preserve">1. External API Limits: </w:t>
      </w:r>
      <w:r>
        <w:rPr>
          <w:rFonts w:ascii="Times New Roman" w:hAnsi="Times New Roman"/>
        </w:rPr>
        <w:t>Hugging Face rate limits affect generative RAG under high peak traffic, falling back to extractive answers.</w:t>
      </w:r>
    </w:p>
    <w:p>
      <w:pPr>
        <w:pStyle w:val="ListBullet"/>
        <w:spacing w:line="276" w:lineRule="auto" w:after="80"/>
      </w:pPr>
      <w:r>
        <w:rPr>
          <w:rFonts w:ascii="Times New Roman" w:hAnsi="Times New Roman"/>
          <w:b/>
        </w:rPr>
        <w:t xml:space="preserve">2. Initial Graph Seeding: </w:t>
      </w:r>
      <w:r>
        <w:rPr>
          <w:rFonts w:ascii="Times New Roman" w:hAnsi="Times New Roman"/>
        </w:rPr>
        <w:t>Requires initial seed backfill (`POST /api/v1/admin/backfill`) for new Neo4j nodes.</w:t>
      </w:r>
    </w:p>
    <w:p>
      <w:pPr>
        <w:pStyle w:val="Heading2"/>
        <w:keepNext/>
        <w:spacing w:before="280" w:after="120"/>
      </w:pPr>
      <w:r>
        <w:rPr>
          <w:rFonts w:ascii="Times New Roman" w:hAnsi="Times New Roman"/>
          <w:b/>
          <w:color w:val="222222"/>
          <w:sz w:val="28"/>
        </w:rPr>
        <w:t>7.3 Future Work</w:t>
      </w:r>
    </w:p>
    <w:p>
      <w:pPr>
        <w:pStyle w:val="ListBullet"/>
        <w:spacing w:line="276" w:lineRule="auto" w:after="80"/>
      </w:pPr>
      <w:r>
        <w:rPr>
          <w:rFonts w:ascii="Times New Roman" w:hAnsi="Times New Roman"/>
          <w:b/>
        </w:rPr>
        <w:t xml:space="preserve">1. On-Premise LLM Hosting: </w:t>
      </w:r>
      <w:r>
        <w:rPr>
          <w:rFonts w:ascii="Times New Roman" w:hAnsi="Times New Roman"/>
        </w:rPr>
        <w:t>Integrate local LLM instances (e.g. Ollama / Llama 3) for zero external API dependency.</w:t>
      </w:r>
    </w:p>
    <w:p>
      <w:pPr>
        <w:pStyle w:val="ListBullet"/>
        <w:spacing w:line="276" w:lineRule="auto" w:after="80"/>
      </w:pPr>
      <w:r>
        <w:rPr>
          <w:rFonts w:ascii="Times New Roman" w:hAnsi="Times New Roman"/>
          <w:b/>
        </w:rPr>
        <w:t xml:space="preserve">2. Automated Peer Review: </w:t>
      </w:r>
      <w:r>
        <w:rPr>
          <w:rFonts w:ascii="Times New Roman" w:hAnsi="Times New Roman"/>
        </w:rPr>
        <w:t>Expand DOAJ integration to automated manuscript formatting and citation reference checks.</w:t>
      </w:r>
    </w:p>
    <w:p>
      <w:pPr>
        <w:pStyle w:val="ListBullet"/>
        <w:spacing w:line="276" w:lineRule="auto" w:after="80"/>
      </w:pPr>
      <w:r>
        <w:rPr>
          <w:rFonts w:ascii="Times New Roman" w:hAnsi="Times New Roman"/>
          <w:b/>
        </w:rPr>
        <w:t xml:space="preserve">3. Mobile Applications: </w:t>
      </w:r>
      <w:r>
        <w:rPr>
          <w:rFonts w:ascii="Times New Roman" w:hAnsi="Times New Roman"/>
        </w:rPr>
        <w:t>Develop dedicated iOS and Android applications.</w:t>
      </w:r>
    </w:p>
    <w:p>
      <w:pPr>
        <w:pStyle w:val="Heading2"/>
        <w:keepNext/>
        <w:spacing w:before="280" w:after="120"/>
      </w:pPr>
      <w:r>
        <w:rPr>
          <w:rFonts w:ascii="Times New Roman" w:hAnsi="Times New Roman"/>
          <w:b/>
          <w:color w:val="222222"/>
          <w:sz w:val="28"/>
        </w:rPr>
        <w:t>7.4 Conclusion</w:t>
      </w:r>
    </w:p>
    <w:p>
      <w:pPr>
        <w:spacing w:line="276" w:lineRule="auto" w:after="120"/>
      </w:pPr>
      <w:r>
        <w:t>In conclusion, SmartResearch provides a robust and extensible foundation for modern academic discovery and collaboration. By consolidating capabilities that are today scattered across many disconnected services, it reduces friction for researchers and lowers the barrier to entry for early-career scholars. The modular microservices architecture ensures that future enhancements — on-premise model hosting, automated peer review, and native mobile clients — can be introduced incrementally without disrupting the existing platform, positioning the system as a durable base for continued research and development.</w:t>
      </w:r>
    </w:p>
    <w:p>
      <w:pPr>
        <w:pStyle w:val="Heading1"/>
        <w:keepNext/>
        <w:spacing w:before="360" w:after="160"/>
        <w:pageBreakBefore/>
      </w:pPr>
      <w:r>
        <w:rPr>
          <w:rFonts w:ascii="Times New Roman" w:hAnsi="Times New Roman"/>
          <w:b/>
          <w:color w:val="000000"/>
          <w:sz w:val="36"/>
        </w:rPr>
        <w:t>References</w:t>
      </w:r>
    </w:p>
    <w:p>
      <w:pPr>
        <w:spacing w:line="276" w:lineRule="auto" w:after="120"/>
      </w:pPr>
      <w:r>
        <w:rPr>
          <w:rFonts w:ascii="Times New Roman" w:hAnsi="Times New Roman"/>
          <w:i w:val="0"/>
        </w:rPr>
        <w:t>1. Reimers, N., &amp; Gurevych, I. (2019). Sentence-BERT: Sentence Embeddings using Siamese BERT-Networks. arXiv preprint arXiv:1908.10084.</w:t>
      </w:r>
    </w:p>
    <w:p>
      <w:pPr>
        <w:spacing w:line="276" w:lineRule="auto" w:after="120"/>
      </w:pPr>
      <w:r>
        <w:rPr>
          <w:rFonts w:ascii="Times New Roman" w:hAnsi="Times New Roman"/>
          <w:i w:val="0"/>
        </w:rPr>
        <w:t>2. Page, L., Brin, S., Motwani, R., &amp; Winograd, T. (1999). The PageRank citation ranking: Bringing order to the web. Stanford InfoLab.</w:t>
      </w:r>
    </w:p>
    <w:p>
      <w:pPr>
        <w:spacing w:line="276" w:lineRule="auto" w:after="120"/>
      </w:pPr>
      <w:r>
        <w:rPr>
          <w:rFonts w:ascii="Times New Roman" w:hAnsi="Times New Roman"/>
          <w:i w:val="0"/>
        </w:rPr>
        <w:t>3. Lewis, P., et al. (2020). Retrieval-augmented generation for knowledge-intensive NLP tasks. Advances in Neural Information Processing Systems, 33, 9459-9474.</w:t>
      </w:r>
    </w:p>
    <w:p>
      <w:pPr>
        <w:spacing w:line="276" w:lineRule="auto" w:after="120"/>
      </w:pPr>
      <w:r>
        <w:rPr>
          <w:rFonts w:ascii="Times New Roman" w:hAnsi="Times New Roman"/>
          <w:i w:val="0"/>
        </w:rPr>
        <w:t>4. Directory of Open Access Journals (DOAJ). (2026). Open Access Journal Metadata API. Retrieved from https://doaj.org</w:t>
      </w:r>
    </w:p>
    <w:p>
      <w:pPr>
        <w:spacing w:line="276" w:lineRule="auto" w:after="120"/>
      </w:pPr>
      <w:r>
        <w:rPr>
          <w:rFonts w:ascii="Times New Roman" w:hAnsi="Times New Roman"/>
          <w:i w:val="0"/>
        </w:rPr>
        <w:t>5. Next.js Documentation. (2026). Vercel Inc. Retrieved from https://nextjs.org/docs</w:t>
      </w:r>
    </w:p>
    <w:p>
      <w:pPr>
        <w:pStyle w:val="Heading1"/>
        <w:keepNext/>
        <w:spacing w:before="360" w:after="160"/>
        <w:pageBreakBefore/>
      </w:pPr>
      <w:r>
        <w:rPr>
          <w:rFonts w:ascii="Times New Roman" w:hAnsi="Times New Roman"/>
          <w:b/>
          <w:color w:val="000000"/>
          <w:sz w:val="36"/>
        </w:rPr>
        <w:t>Appendix A: API &amp; Infrastructure Specification</w:t>
      </w:r>
    </w:p>
    <w:p>
      <w:pPr>
        <w:spacing w:line="276" w:lineRule="auto" w:after="120"/>
      </w:pPr>
      <w:r>
        <w:t>The complete OpenAPI 3.0 specification is maintained at backend/openapi.yaml and documents every public endpoint, request/response schema, and authentication requirement. The production environment is provisioned declaratively through Kubernetes manifests (Kustomize overlays) and Helm charts, with database StatefulSets, horizontal pod autoscaling for the ML service, and Prometheus/Grafana observability. Table 3 summarises the principal API routes exposed by the Express gateway.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Method</w:t>
            </w:r>
          </w:p>
        </w:tc>
        <w:tc>
          <w:tcPr>
            <w:tcW w:type="dxa" w:w="3456"/>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Endpoint</w:t>
            </w:r>
          </w:p>
        </w:tc>
        <w:tc>
          <w:tcPr>
            <w:tcW w:type="dxa" w:w="1728"/>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Service</w:t>
            </w:r>
          </w:p>
        </w:tc>
        <w:tc>
          <w:tcPr>
            <w:tcW w:type="dxa" w:w="2880"/>
            <w:vAlign w:val="center"/>
            <w:shd w:val="clear" w:color="auto" w:fill="262626"/>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color w:val="FFFFFF"/>
                <w:sz w:val="20"/>
              </w:rPr>
              <w:t>Description</w:t>
            </w:r>
          </w:p>
        </w:tc>
      </w:tr>
      <w:tr>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/api/v1/auth/login</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Gateway</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Authenticate a user and issue a JWT.</w:t>
            </w:r>
          </w:p>
        </w:tc>
      </w:tr>
      <w:tr>
        <w:tc>
          <w:tcPr>
            <w:tcW w:type="dxa" w:w="129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GET</w:t>
            </w:r>
          </w:p>
        </w:tc>
        <w:tc>
          <w:tcPr>
            <w:tcW w:type="dxa" w:w="345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/api/v1/discovery/search</w:t>
            </w:r>
          </w:p>
        </w:tc>
        <w:tc>
          <w:tcPr>
            <w:tcW w:type="dxa" w:w="1728"/>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ML Service</w:t>
            </w:r>
          </w:p>
        </w:tc>
        <w:tc>
          <w:tcPr>
            <w:tcW w:type="dxa" w:w="288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SBERT + kNN semantic paper/author search.</w:t>
            </w:r>
          </w:p>
        </w:tc>
      </w:tr>
      <w:tr>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/api/v1/assistant/chat</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ML Service</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Agentic RAG chat with extractive fallback.</w:t>
            </w:r>
          </w:p>
        </w:tc>
      </w:tr>
      <w:tr>
        <w:tc>
          <w:tcPr>
            <w:tcW w:type="dxa" w:w="129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GET</w:t>
            </w:r>
          </w:p>
        </w:tc>
        <w:tc>
          <w:tcPr>
            <w:tcW w:type="dxa" w:w="345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/api/v1/journals/match</w:t>
            </w:r>
          </w:p>
        </w:tc>
        <w:tc>
          <w:tcPr>
            <w:tcW w:type="dxa" w:w="1728"/>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Gateway</w:t>
            </w:r>
          </w:p>
        </w:tc>
        <w:tc>
          <w:tcPr>
            <w:tcW w:type="dxa" w:w="288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DOAJ open-access journal recommendations.</w:t>
            </w:r>
          </w:p>
        </w:tc>
      </w:tr>
      <w:tr>
        <w:tc>
          <w:tcPr>
            <w:tcW w:type="dxa" w:w="129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w:t>
            </w:r>
          </w:p>
        </w:tc>
        <w:tc>
          <w:tcPr>
            <w:tcW w:type="dxa" w:w="3456"/>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/api/v1/workspaces/:id/doc</w:t>
            </w:r>
          </w:p>
        </w:tc>
        <w:tc>
          <w:tcPr>
            <w:tcW w:type="dxa" w:w="1728"/>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Gateway</w:t>
            </w:r>
          </w:p>
        </w:tc>
        <w:tc>
          <w:tcPr>
            <w:tcW w:type="dxa" w:w="2880"/>
            <w:vAlign w:val="center"/>
            <w:shd w:val="clear" w:color="auto" w:fill="FFFFFF"/>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Persist a collaborative document revision.</w:t>
            </w:r>
          </w:p>
        </w:tc>
      </w:tr>
      <w:tr>
        <w:tc>
          <w:tcPr>
            <w:tcW w:type="dxa" w:w="129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POST</w:t>
            </w:r>
          </w:p>
        </w:tc>
        <w:tc>
          <w:tcPr>
            <w:tcW w:type="dxa" w:w="3456"/>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/api/v1/admin/backfill</w:t>
            </w:r>
          </w:p>
        </w:tc>
        <w:tc>
          <w:tcPr>
            <w:tcW w:type="dxa" w:w="1728"/>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Gateway</w:t>
            </w:r>
          </w:p>
        </w:tc>
        <w:tc>
          <w:tcPr>
            <w:tcW w:type="dxa" w:w="2880"/>
            <w:vAlign w:val="center"/>
            <w:shd w:val="clear" w:color="auto" w:fill="F5F5F5"/>
            <w:tcBorders>
              <w:top w:val="single" w:sz="4" w:space="0" w:color="BFBFBF"/>
              <w:left w:val="single" w:sz="4" w:space="0" w:color="BFBFBF"/>
              <w:bottom w:val="single" w:sz="4" w:space="0" w:color="BFBFBF"/>
              <w:right w:val="single" w:sz="4" w:space="0" w:color="BFBFBF"/>
            </w:tcBorders>
          </w:tcPr>
          <w:p>
            <w:pPr>
              <w:spacing w:before="40" w:after="40"/>
              <w:jc w:val="left"/>
            </w:pPr>
            <w:r/>
            <w:r>
              <w:rPr>
                <w:rFonts w:ascii="Calibri" w:hAnsi="Calibri"/>
                <w:b w:val="0"/>
                <w:color w:val="262626"/>
                <w:sz w:val="20"/>
              </w:rPr>
              <w:t>Rebuild Elasticsearch and Neo4j indices.</w:t>
            </w:r>
          </w:p>
        </w:tc>
      </w:tr>
    </w:tbl>
    <w:p>
      <w:pPr>
        <w:spacing w:before="120" w:after="200"/>
        <w:jc w:val="center"/>
      </w:pPr>
      <w:bookmarkStart w:id="1005" w:name="table3"/>
      <w:r>
        <w:rPr>
          <w:b/>
          <w:i/>
          <w:color w:val="595959"/>
          <w:sz w:val="18"/>
        </w:rPr>
        <w:t>Table 3. API Routing and Endpoint Gateway</w:t>
      </w:r>
      <w:bookmarkEnd w:id="1005"/>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r>
    <w:r>
      <w:rPr>
        <w:color w:val="595959"/>
        <w:sz w:val="18"/>
      </w:rPr>
      <w:t xml:space="preserve">Page </w:t>
    </w:r>
    <w:fldSimple w:instr=" PAGE ">
      <w:r>
        <w:t>1</w:t>
      </w:r>
    </w:fldSimple>
    <w:r>
      <w:rPr>
        <w:color w:val="595959"/>
        <w:sz w:val="18"/>
      </w:rPr>
      <w:t xml:space="preserve"> of </w:t>
    </w:r>
    <w:fldSimple w:instr=" NUMPAGES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62626"/>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626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40404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40404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0404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