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888888"/>
          <w:sz w:val="20"/>
          <w:szCs w:val="20"/>
        </w:rPr>
        <w:t xml:space="preserve">PROJECT PROPOSAL</w:t>
      </w:r>
    </w:p>
    <w:p>
      <w:pPr>
        <w:pBdr>
          <w:bottom w:val="single" w:color="1F4E79" w:sz="12" w:space="6"/>
        </w:pBdr>
        <w:spacing w:after="80" w:before="0"/>
        <w:jc w:val="center"/>
      </w:pPr>
      <w:r>
        <w:rPr>
          <w:rFonts w:ascii="Arial" w:cs="Arial" w:eastAsia="Arial" w:hAnsi="Arial"/>
          <w:b/>
          <w:bCs/>
          <w:color w:val="1F4E79"/>
          <w:sz w:val="32"/>
          <w:szCs w:val="32"/>
        </w:rPr>
        <w:t xml:space="preserve">Rainfall, Food Prices, and External Debt in Bangladesh: A Predictive and Clustering Analysis</w:t>
      </w:r>
    </w:p>
    <w:p>
      <w:pPr>
        <w:spacing w:after="0" w:before="60"/>
      </w:pPr>
    </w:p>
    <w:p>
      <w:pPr>
        <w:spacing w:after="20"/>
        <w:jc w:val="center"/>
      </w:pPr>
      <w:r>
        <w:rPr>
          <w:rFonts w:ascii="Arial" w:cs="Arial" w:eastAsia="Arial" w:hAnsi="Arial"/>
          <w:color w:val="444444"/>
          <w:sz w:val="20"/>
          <w:szCs w:val="20"/>
        </w:rPr>
        <w:t xml:space="preserve">Md. Mamun Ur Rashed  |  Roll: 2506120  |  MITM 431 — Big Data Analytics</w:t>
      </w:r>
    </w:p>
    <w:p>
      <w:pPr>
        <w:spacing w:after="20"/>
        <w:jc w:val="center"/>
      </w:pPr>
      <w:r>
        <w:rPr>
          <w:rFonts w:ascii="Arial" w:cs="Arial" w:eastAsia="Arial" w:hAnsi="Arial"/>
          <w:i/>
          <w:iCs/>
          <w:color w:val="444444"/>
          <w:sz w:val="20"/>
          <w:szCs w:val="20"/>
        </w:rPr>
        <w:t xml:space="preserve">Supervisor: Dr. Shah Mostafa Khaled</w:t>
      </w:r>
    </w:p>
    <w:p>
      <w:pPr>
        <w:spacing w:after="0" w:before="100"/>
      </w:pPr>
    </w:p>
    <w:p>
      <w:pPr>
        <w:pStyle w:val="Heading1"/>
      </w:pPr>
      <w:r>
        <w:rPr>
          <w:b/>
          <w:bCs/>
        </w:rPr>
        <w:t xml:space="preserve">1. Introduction and Motivation</w:t>
      </w:r>
    </w:p>
    <w:p>
      <w:pPr>
        <w:spacing w:after="60"/>
        <w:jc w:val="both"/>
      </w:pPr>
      <w:r>
        <w:rPr>
          <w:rFonts w:ascii="Times New Roman" w:cs="Times New Roman" w:eastAsia="Times New Roman" w:hAnsi="Times New Roman"/>
          <w:sz w:val="22"/>
          <w:szCs w:val="22"/>
        </w:rPr>
        <w:t xml:space="preserve">Bangladesh is among the world's most climate-exposed nations. Seasonal rainfall variability directly shapes agricultural output, household food security, and — through import dependence and fiscal adjustment — macroeconomic indicators such as external debt. While individual linkages between climate and food security, and between food prices and sovereign borrowing, are documented in the literature, no prior study has modeled the full causal pipeline — Rainfall → Food Prices → External Debt — within a unified machine learning framework at the subnational level.</w:t>
      </w:r>
    </w:p>
    <w:p>
      <w:pPr>
        <w:spacing w:after="0" w:before="40"/>
      </w:pPr>
    </w:p>
    <w:p>
      <w:pPr>
        <w:spacing w:after="60"/>
        <w:jc w:val="both"/>
      </w:pPr>
      <w:r>
        <w:rPr>
          <w:rFonts w:ascii="Times New Roman" w:cs="Times New Roman" w:eastAsia="Times New Roman" w:hAnsi="Times New Roman"/>
          <w:b/>
          <w:bCs/>
          <w:sz w:val="22"/>
          <w:szCs w:val="22"/>
        </w:rPr>
        <w:t xml:space="preserve">Key literature support: </w:t>
      </w:r>
      <w:r>
        <w:rPr>
          <w:rFonts w:ascii="Times New Roman" w:cs="Times New Roman" w:eastAsia="Times New Roman" w:hAnsi="Times New Roman"/>
          <w:sz w:val="22"/>
          <w:szCs w:val="22"/>
        </w:rPr>
        <w:t xml:space="preserve">Auffhammer et al. (2012) demonstrated that rainfall shocks significantly reduce rice yields across South Asia. Ivanic and Martin (2008) showed that food price spikes compel developing governments to expand external borrowing for import financing. Headey and Fan (2010) linked the 2007–2008 food crisis to measurable debt increases in import-dependent nations. Ahmed et al. (2020) confirmed that subnational rainfall anomalies within Bangladesh's divisional structure are strong predictors of market prices. This project formalizes and quantifies those relationships across 1999–2024 using all eight administrative divisions.</w:t>
      </w:r>
    </w:p>
    <w:p>
      <w:pPr>
        <w:spacing w:after="0" w:before="40"/>
      </w:pPr>
    </w:p>
    <w:p>
      <w:pPr>
        <w:spacing w:after="60"/>
        <w:jc w:val="both"/>
      </w:pPr>
      <w:r>
        <w:rPr>
          <w:rFonts w:ascii="Times New Roman" w:cs="Times New Roman" w:eastAsia="Times New Roman" w:hAnsi="Times New Roman"/>
          <w:b/>
          <w:bCs/>
          <w:color w:val="C00000"/>
          <w:sz w:val="22"/>
          <w:szCs w:val="22"/>
        </w:rPr>
        <w:t xml:space="preserve">Scope limitation: </w:t>
      </w:r>
      <w:r>
        <w:rPr>
          <w:rFonts w:ascii="Times New Roman" w:cs="Times New Roman" w:eastAsia="Times New Roman" w:hAnsi="Times New Roman"/>
          <w:i w:val="false"/>
          <w:iCs w:val="false"/>
          <w:sz w:val="22"/>
          <w:szCs w:val="22"/>
        </w:rPr>
        <w:t xml:space="preserve">External debt is a national macro-level variable influenced by infrastructure financing, global interest rates, remittance flows, and garment export earnings in addition to food imports. This project treats the food price–debt relationship as an </w:t>
      </w:r>
      <w:r>
        <w:rPr>
          <w:rFonts w:ascii="Times New Roman" w:cs="Times New Roman" w:eastAsia="Times New Roman" w:hAnsi="Times New Roman"/>
          <w:i/>
          <w:iCs/>
          <w:sz w:val="22"/>
          <w:szCs w:val="22"/>
        </w:rPr>
        <w:t xml:space="preserve">association</w:t>
      </w:r>
      <w:r>
        <w:rPr>
          <w:rFonts w:ascii="Times New Roman" w:cs="Times New Roman" w:eastAsia="Times New Roman" w:hAnsi="Times New Roman"/>
          <w:sz w:val="22"/>
          <w:szCs w:val="22"/>
        </w:rPr>
        <w:t xml:space="preserve"> rather than a direct causal claim. Appropriate hedging language will be used throughout the paper.</w:t>
      </w:r>
    </w:p>
    <w:p>
      <w:pPr>
        <w:spacing w:after="0" w:before="80"/>
      </w:pPr>
    </w:p>
    <w:p>
      <w:pPr>
        <w:pStyle w:val="Heading1"/>
      </w:pPr>
      <w:r>
        <w:rPr>
          <w:b/>
          <w:bCs/>
        </w:rPr>
        <w:t xml:space="preserve">2. Research Questions</w:t>
      </w:r>
    </w:p>
    <w:p>
      <w:pPr>
        <w:pStyle w:val="ListParagraph"/>
        <w:numPr>
          <w:ilvl w:val="0"/>
          <w:numId w:val="2"/>
        </w:numPr>
        <w:spacing w:after="40"/>
      </w:pPr>
      <w:r>
        <w:rPr>
          <w:rFonts w:ascii="Times New Roman" w:cs="Times New Roman" w:eastAsia="Times New Roman" w:hAnsi="Times New Roman"/>
          <w:sz w:val="22"/>
          <w:szCs w:val="22"/>
        </w:rPr>
        <w:t xml:space="preserve">RQ1 (Predictive — Rainfall → Food Prices): Do subnational rainfall levels and anomalies across Bangladesh's eight divisions reliably predict staple food prices (rice, wheat flour, palm oil) at the monthly division level?</w:t>
      </w:r>
    </w:p>
    <w:p>
      <w:pPr>
        <w:pStyle w:val="ListParagraph"/>
        <w:numPr>
          <w:ilvl w:val="0"/>
          <w:numId w:val="2"/>
        </w:numPr>
        <w:spacing w:after="40"/>
      </w:pPr>
      <w:r>
        <w:rPr>
          <w:rFonts w:ascii="Times New Roman" w:cs="Times New Roman" w:eastAsia="Times New Roman" w:hAnsi="Times New Roman"/>
          <w:sz w:val="22"/>
          <w:szCs w:val="22"/>
        </w:rPr>
        <w:t xml:space="preserve">RQ2 (Predictive — Food Prices → Debt): Do aggregated national food price trends (lagged 3–12 months) associate with Bangladesh's external debt indicators at the annual level?</w:t>
      </w:r>
    </w:p>
    <w:p>
      <w:pPr>
        <w:pStyle w:val="ListParagraph"/>
        <w:numPr>
          <w:ilvl w:val="0"/>
          <w:numId w:val="2"/>
        </w:numPr>
        <w:spacing w:after="40"/>
      </w:pPr>
      <w:r>
        <w:rPr>
          <w:rFonts w:ascii="Times New Roman" w:cs="Times New Roman" w:eastAsia="Times New Roman" w:hAnsi="Times New Roman"/>
          <w:sz w:val="22"/>
          <w:szCs w:val="22"/>
        </w:rPr>
        <w:t xml:space="preserve">RQ3 (Clustering): Do natural risk clusters emerge when division-year combinations are characterized by combined rainfall anomaly, food price deviation, and debt stress profiles?</w:t>
      </w:r>
    </w:p>
    <w:p>
      <w:pPr>
        <w:pStyle w:val="ListParagraph"/>
        <w:numPr>
          <w:ilvl w:val="0"/>
          <w:numId w:val="2"/>
        </w:numPr>
        <w:spacing w:after="40"/>
      </w:pPr>
      <w:r>
        <w:rPr>
          <w:rFonts w:ascii="Times New Roman" w:cs="Times New Roman" w:eastAsia="Times New Roman" w:hAnsi="Times New Roman"/>
          <w:sz w:val="22"/>
          <w:szCs w:val="22"/>
        </w:rPr>
        <w:t xml:space="preserve">RQ4 (Lag Structure): What is the optimal lag between rainfall anomaly and food price response, and between food price shock and debt-service pressure?</w:t>
      </w:r>
    </w:p>
    <w:p>
      <w:pPr>
        <w:spacing w:after="0" w:before="80"/>
      </w:pPr>
    </w:p>
    <w:p>
      <w:pPr>
        <w:pStyle w:val="Heading1"/>
      </w:pPr>
      <w:r>
        <w:rPr>
          <w:b/>
          <w:bCs/>
        </w:rPr>
        <w:t xml:space="preserve">3. Data Sources and Integration</w:t>
      </w:r>
    </w:p>
    <w:p>
      <w:pPr>
        <w:spacing w:after="60"/>
        <w:jc w:val="both"/>
      </w:pPr>
      <w:r>
        <w:rPr>
          <w:rFonts w:ascii="Times New Roman" w:cs="Times New Roman" w:eastAsia="Times New Roman" w:hAnsi="Times New Roman"/>
          <w:sz w:val="22"/>
          <w:szCs w:val="22"/>
        </w:rPr>
        <w:t xml:space="preserve">Five datasets from the Humanitarian Data Exchange (HDX) and World Bank Open Data are integrated. The merged dataset covers 1999–2024 at monthly, division-level granularity (~2,400 rows).</w:t>
      </w:r>
    </w:p>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Dataset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Level</w:t>
            </w:r>
          </w:p>
        </w:tc>
        <w:tc>
          <w:tcPr>
            <w:tcW w:type="dxa" w:w="24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 Columns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Subnational Rainfall (Full)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HDX / CHIRPS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Division × 10-day</w:t>
            </w:r>
          </w:p>
        </w:tc>
        <w:tc>
          <w:tcPr>
            <w:tcW w:type="dxa" w:w="2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rfh, rfh_avg, rfq (anomaly %), PCODE</w:t>
            </w:r>
          </w:p>
        </w:tc>
      </w:tr>
      <w:tr>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Subnational Rainfall (5yr)</w:t>
            </w:r>
          </w:p>
        </w:tc>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HDX / CHIRPS</w:t>
            </w:r>
          </w:p>
        </w:tc>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Division × 10-day</w:t>
            </w:r>
          </w:p>
        </w:tc>
        <w:tc>
          <w:tcPr>
            <w:tcW w:type="dxa" w:w="24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r1h, r3h (1/3-month cumul.), used for recency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WFP Food Prices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HDX / WFP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Market × Monthly</w:t>
            </w:r>
          </w:p>
        </w:tc>
        <w:tc>
          <w:tcPr>
            <w:tcW w:type="dxa" w:w="2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rice, wheat flour, palm oil USD prices</w:t>
            </w:r>
          </w:p>
        </w:tc>
      </w:tr>
      <w:tr>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WFP Markets</w:t>
            </w:r>
          </w:p>
        </w:tc>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HDX / WFP</w:t>
            </w:r>
          </w:p>
        </w:tc>
        <w:tc>
          <w:tcPr>
            <w:tcW w:type="dxa" w:w="24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Market metadata</w:t>
            </w:r>
          </w:p>
        </w:tc>
        <w:tc>
          <w:tcPr>
            <w:tcW w:type="dxa" w:w="24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market_id, admin1, coordinates (spatial join)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External Debt (World Bank)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World Bank IDS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National × Annual</w:t>
            </w:r>
          </w:p>
        </w:tc>
        <w:tc>
          <w:tcPr>
            <w:tcW w:type="dxa" w:w="2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debt (DOD), Debt/GNI %, Debt service/exports %</w:t>
            </w:r>
          </w:p>
        </w:tc>
      </w:tr>
    </w:tbl>
    <w:p>
      <w:pPr>
        <w:spacing w:after="0" w:before="40"/>
      </w:pPr>
    </w:p>
    <w:p>
      <w:pPr>
        <w:spacing w:after="60"/>
        <w:jc w:val="both"/>
      </w:pPr>
      <w:r>
        <w:rPr>
          <w:rFonts w:ascii="Times New Roman" w:cs="Times New Roman" w:eastAsia="Times New Roman" w:hAnsi="Times New Roman"/>
          <w:b/>
          <w:bCs/>
          <w:sz w:val="22"/>
          <w:szCs w:val="22"/>
        </w:rPr>
        <w:t xml:space="preserve">Merge key: </w:t>
      </w:r>
      <w:r>
        <w:rPr>
          <w:rFonts w:ascii="Times New Roman" w:cs="Times New Roman" w:eastAsia="Times New Roman" w:hAnsi="Times New Roman"/>
          <w:sz w:val="22"/>
          <w:szCs w:val="22"/>
        </w:rPr>
        <w:t xml:space="preserve">PCODE (BD10–BD60) is harmonized to admin1 division names. Rainfall dekadal data is aggregated to monthly totals. Debt annual values are broadcast across 12 months. Food prices are averaged by commodity, division, and month.</w:t>
      </w:r>
    </w:p>
    <w:p>
      <w:pPr>
        <w:spacing w:after="0" w:before="80"/>
      </w:pPr>
    </w:p>
    <w:p>
      <w:pPr>
        <w:pStyle w:val="Heading1"/>
      </w:pPr>
      <w:r>
        <w:rPr>
          <w:b/>
          <w:bCs/>
        </w:rPr>
        <w:t xml:space="preserve">4. Methodology</w:t>
      </w:r>
    </w:p>
    <w:p>
      <w:pPr>
        <w:pStyle w:val="Heading2"/>
      </w:pPr>
      <w:r>
        <w:rPr>
          <w:b/>
          <w:bCs/>
        </w:rPr>
        <w:t xml:space="preserve">4.1 Preprocessing Pipeline</w:t>
      </w:r>
    </w:p>
    <w:p>
      <w:pPr>
        <w:pStyle w:val="ListParagraph"/>
        <w:numPr>
          <w:ilvl w:val="0"/>
          <w:numId w:val="2"/>
        </w:numPr>
        <w:spacing w:after="40"/>
      </w:pPr>
      <w:r>
        <w:rPr>
          <w:rFonts w:ascii="Times New Roman" w:cs="Times New Roman" w:eastAsia="Times New Roman" w:hAnsi="Times New Roman"/>
          <w:sz w:val="22"/>
          <w:szCs w:val="22"/>
        </w:rPr>
        <w:t xml:space="preserve">Remove anomalous food price records (pre-1990 entries); impute sparse commodity gaps via forward-fill within division</w:t>
      </w:r>
    </w:p>
    <w:p>
      <w:pPr>
        <w:pStyle w:val="ListParagraph"/>
        <w:numPr>
          <w:ilvl w:val="0"/>
          <w:numId w:val="2"/>
        </w:numPr>
        <w:spacing w:after="40"/>
      </w:pPr>
      <w:r>
        <w:rPr>
          <w:rFonts w:ascii="Times New Roman" w:cs="Times New Roman" w:eastAsia="Times New Roman" w:hAnsi="Times New Roman"/>
          <w:sz w:val="22"/>
          <w:szCs w:val="22"/>
        </w:rPr>
        <w:t xml:space="preserve">Normalize food prices to USD per 100 KG; compute division-level monthly price indices</w:t>
      </w:r>
    </w:p>
    <w:p>
      <w:pPr>
        <w:pStyle w:val="ListParagraph"/>
        <w:numPr>
          <w:ilvl w:val="0"/>
          <w:numId w:val="2"/>
        </w:numPr>
        <w:spacing w:after="40"/>
      </w:pPr>
      <w:r>
        <w:rPr>
          <w:rFonts w:ascii="Times New Roman" w:cs="Times New Roman" w:eastAsia="Times New Roman" w:hAnsi="Times New Roman"/>
          <w:sz w:val="22"/>
          <w:szCs w:val="22"/>
        </w:rPr>
        <w:t xml:space="preserve">Construct lag features: rfh_lag1, rfh_lag2, rfh_lag3 (1–3 month rainfall lags) for RQ1</w:t>
      </w:r>
    </w:p>
    <w:p>
      <w:pPr>
        <w:pStyle w:val="ListParagraph"/>
        <w:numPr>
          <w:ilvl w:val="0"/>
          <w:numId w:val="2"/>
        </w:numPr>
        <w:spacing w:after="40"/>
      </w:pPr>
      <w:r>
        <w:rPr>
          <w:rFonts w:ascii="Times New Roman" w:cs="Times New Roman" w:eastAsia="Times New Roman" w:hAnsi="Times New Roman"/>
          <w:sz w:val="22"/>
          <w:szCs w:val="22"/>
        </w:rPr>
        <w:t xml:space="preserve">Compute national monthly food price index (weighted average across divisions) for RQ2</w:t>
      </w:r>
    </w:p>
    <w:p>
      <w:pPr>
        <w:pStyle w:val="ListParagraph"/>
        <w:numPr>
          <w:ilvl w:val="0"/>
          <w:numId w:val="2"/>
        </w:numPr>
        <w:spacing w:after="40"/>
      </w:pPr>
      <w:r>
        <w:rPr>
          <w:rFonts w:ascii="Times New Roman" w:cs="Times New Roman" w:eastAsia="Times New Roman" w:hAnsi="Times New Roman"/>
          <w:sz w:val="22"/>
          <w:szCs w:val="22"/>
        </w:rPr>
        <w:t xml:space="preserve">Scale all numeric features (StandardScaler) before modeling</w:t>
      </w:r>
    </w:p>
    <w:p>
      <w:pPr>
        <w:spacing w:after="0" w:before="40"/>
      </w:pPr>
    </w:p>
    <w:p>
      <w:pPr>
        <w:pStyle w:val="Heading2"/>
      </w:pPr>
      <w:r>
        <w:rPr>
          <w:b/>
          <w:bCs/>
        </w:rPr>
        <w:t xml:space="preserve">4.2 Supervised Learning — Two Prediction Tasks</w:t>
      </w:r>
    </w:p>
    <w:p>
      <w:pPr>
        <w:spacing w:after="60"/>
        <w:jc w:val="both"/>
      </w:pPr>
      <w:r>
        <w:rPr>
          <w:rFonts w:ascii="Times New Roman" w:cs="Times New Roman" w:eastAsia="Times New Roman" w:hAnsi="Times New Roman"/>
          <w:sz w:val="22"/>
          <w:szCs w:val="22"/>
        </w:rPr>
        <w:t xml:space="preserve">Three algorithms applied to both prediction tasks:</w:t>
      </w:r>
    </w:p>
    <w:p>
      <w:pPr>
        <w:spacing w:after="0" w:before="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38"/>
        <w:gridCol w:w="380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Algorithm</w:t>
            </w:r>
          </w:p>
        </w:tc>
        <w:tc>
          <w:tcPr>
            <w:tcW w:type="dxa" w:w="363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Justification</w:t>
            </w:r>
          </w:p>
        </w:tc>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 Hyperparameters / Evaluation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Linear Regression</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Interpretable baseline; reveals direction and magnitude of predictors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Coefficients, RMSE, R²; 10-fold CV</w:t>
            </w:r>
          </w:p>
        </w:tc>
      </w:tr>
      <w:tr>
        <w:tc>
          <w:tcPr>
            <w:tcW w:type="dxa" w:w="22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Decision Tree Regressor</w:t>
            </w:r>
          </w:p>
        </w:tc>
        <w:tc>
          <w:tcPr>
            <w:tcW w:type="dxa" w:w="36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Captures non-linear thresholds (e.g., drought threshold); visualized</w:t>
            </w:r>
          </w:p>
        </w:tc>
        <w:tc>
          <w:tcPr>
            <w:tcW w:type="dxa" w:w="38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min_samples_split tuned; max_depth 3–8; tree diagram output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Random Forest Regressor</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Ensemble variance reduction; feature importance ranking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n_estimators=100–300; OOB score; permutation importance</w:t>
            </w:r>
          </w:p>
        </w:tc>
      </w:tr>
    </w:tbl>
    <w:p>
      <w:pPr>
        <w:spacing w:after="0" w:before="40"/>
      </w:pPr>
    </w:p>
    <w:p>
      <w:pPr>
        <w:spacing w:after="60"/>
        <w:jc w:val="both"/>
      </w:pPr>
      <w:r>
        <w:rPr>
          <w:rFonts w:ascii="Times New Roman" w:cs="Times New Roman" w:eastAsia="Times New Roman" w:hAnsi="Times New Roman"/>
          <w:b/>
          <w:bCs/>
          <w:sz w:val="22"/>
          <w:szCs w:val="22"/>
        </w:rPr>
        <w:t xml:space="preserve">Evaluation metrics: </w:t>
      </w:r>
      <w:r>
        <w:rPr>
          <w:rFonts w:ascii="Times New Roman" w:cs="Times New Roman" w:eastAsia="Times New Roman" w:hAnsi="Times New Roman"/>
          <w:sz w:val="22"/>
          <w:szCs w:val="22"/>
        </w:rPr>
        <w:t xml:space="preserve">RMSE, MAE, R² reported for all models. 10-fold stratified cross-validation applied throughout. Feature importance plots generated for Random Forest. Lag sensitivity analysis for rainfall features (lags 0–6 months).</w:t>
      </w:r>
    </w:p>
    <w:p>
      <w:pPr>
        <w:spacing w:after="0" w:before="40"/>
      </w:pPr>
    </w:p>
    <w:p>
      <w:pPr>
        <w:pStyle w:val="Heading2"/>
      </w:pPr>
      <w:r>
        <w:rPr>
          <w:b/>
          <w:bCs/>
        </w:rPr>
        <w:t xml:space="preserve">4.3 Unsupervised Learning — K-Means Clustering</w:t>
      </w:r>
    </w:p>
    <w:p>
      <w:pPr>
        <w:pStyle w:val="ListParagraph"/>
        <w:numPr>
          <w:ilvl w:val="0"/>
          <w:numId w:val="2"/>
        </w:numPr>
        <w:spacing w:after="40"/>
      </w:pPr>
      <w:r>
        <w:rPr>
          <w:rFonts w:ascii="Times New Roman" w:cs="Times New Roman" w:eastAsia="Times New Roman" w:hAnsi="Times New Roman"/>
          <w:sz w:val="22"/>
          <w:szCs w:val="22"/>
        </w:rPr>
        <w:t xml:space="preserve">Unit of analysis: division × year combinations (8 divisions × 25 years = 200 vectors)</w:t>
      </w:r>
    </w:p>
    <w:p>
      <w:pPr>
        <w:pStyle w:val="ListParagraph"/>
        <w:numPr>
          <w:ilvl w:val="0"/>
          <w:numId w:val="2"/>
        </w:numPr>
        <w:spacing w:after="40"/>
      </w:pPr>
      <w:r>
        <w:rPr>
          <w:rFonts w:ascii="Times New Roman" w:cs="Times New Roman" w:eastAsia="Times New Roman" w:hAnsi="Times New Roman"/>
          <w:sz w:val="22"/>
          <w:szCs w:val="22"/>
        </w:rPr>
        <w:t xml:space="preserve">Features: annual mean rfq_anomaly, annual mean rice price deviation from division baseline, ext_debt_pct_gni</w:t>
      </w:r>
    </w:p>
    <w:p>
      <w:pPr>
        <w:pStyle w:val="ListParagraph"/>
        <w:numPr>
          <w:ilvl w:val="0"/>
          <w:numId w:val="2"/>
        </w:numPr>
        <w:spacing w:after="40"/>
      </w:pPr>
      <w:r>
        <w:rPr>
          <w:rFonts w:ascii="Times New Roman" w:cs="Times New Roman" w:eastAsia="Times New Roman" w:hAnsi="Times New Roman"/>
          <w:sz w:val="22"/>
          <w:szCs w:val="22"/>
        </w:rPr>
        <w:t xml:space="preserve">Optimal k: Elbow method (WCSS) + Silhouette score; expected k = 3–5</w:t>
      </w:r>
    </w:p>
    <w:p>
      <w:pPr>
        <w:pStyle w:val="ListParagraph"/>
        <w:numPr>
          <w:ilvl w:val="0"/>
          <w:numId w:val="2"/>
        </w:numPr>
        <w:spacing w:after="40"/>
      </w:pPr>
      <w:r>
        <w:rPr>
          <w:rFonts w:ascii="Times New Roman" w:cs="Times New Roman" w:eastAsia="Times New Roman" w:hAnsi="Times New Roman"/>
          <w:sz w:val="22"/>
          <w:szCs w:val="22"/>
        </w:rPr>
        <w:t xml:space="preserve">Cluster interpretation: label each cluster qualitatively (e.g., Climate-Stressed High-Risk, Normal, Favorable)</w:t>
      </w:r>
    </w:p>
    <w:p>
      <w:pPr>
        <w:pStyle w:val="ListParagraph"/>
        <w:numPr>
          <w:ilvl w:val="0"/>
          <w:numId w:val="2"/>
        </w:numPr>
        <w:spacing w:after="40"/>
      </w:pPr>
      <w:r>
        <w:rPr>
          <w:rFonts w:ascii="Times New Roman" w:cs="Times New Roman" w:eastAsia="Times New Roman" w:hAnsi="Times New Roman"/>
          <w:sz w:val="22"/>
          <w:szCs w:val="22"/>
        </w:rPr>
        <w:t xml:space="preserve">Visualization: PCA biplot, heatmap of cluster centroids, geographic choropleth by division</w:t>
      </w:r>
    </w:p>
    <w:p>
      <w:pPr>
        <w:spacing w:after="0" w:before="40"/>
      </w:pPr>
    </w:p>
    <w:p>
      <w:pPr>
        <w:pStyle w:val="Heading2"/>
      </w:pPr>
      <w:r>
        <w:rPr>
          <w:b/>
          <w:bCs/>
        </w:rPr>
        <w:t xml:space="preserve">4.4 Time-Series Robustness Checks</w:t>
      </w:r>
    </w:p>
    <w:p>
      <w:pPr>
        <w:spacing w:after="60"/>
        <w:jc w:val="both"/>
      </w:pPr>
      <w:r>
        <w:rPr>
          <w:rFonts w:ascii="Times New Roman" w:cs="Times New Roman" w:eastAsia="Times New Roman" w:hAnsi="Times New Roman"/>
          <w:b/>
          <w:bCs/>
          <w:color w:val="C00000"/>
          <w:sz w:val="22"/>
          <w:szCs w:val="22"/>
        </w:rPr>
        <w:t xml:space="preserve">Note: </w:t>
      </w:r>
      <w:r>
        <w:rPr>
          <w:rFonts w:ascii="Times New Roman" w:cs="Times New Roman" w:eastAsia="Times New Roman" w:hAnsi="Times New Roman"/>
          <w:sz w:val="22"/>
          <w:szCs w:val="22"/>
        </w:rPr>
        <w:t xml:space="preserve">To strengthen claims for potential journal submission, the following supplementary tests are recommended: Granger causality tests (rainfall → food prices; food prices → debt); ADF unit-root tests to check stationarity before regression; and a Vector Autoregression (VAR) model as robustness check alongside ML models. These tests distinguish correlation from temporal precedence and substantially raise the paper's methodological credibility.</w:t>
      </w:r>
    </w:p>
    <w:p>
      <w:pPr>
        <w:spacing w:after="0" w:before="80"/>
      </w:pPr>
    </w:p>
    <w:p>
      <w:pPr>
        <w:pStyle w:val="Heading1"/>
      </w:pPr>
      <w:r>
        <w:rPr>
          <w:b/>
          <w:bCs/>
        </w:rPr>
        <w:t xml:space="preserve">5. Technology Stack</w:t>
      </w:r>
    </w:p>
    <w:p>
      <w:pPr>
        <w:pStyle w:val="ListParagraph"/>
        <w:numPr>
          <w:ilvl w:val="0"/>
          <w:numId w:val="2"/>
        </w:numPr>
        <w:spacing w:after="40"/>
      </w:pPr>
      <w:r>
        <w:rPr>
          <w:rFonts w:ascii="Times New Roman" w:cs="Times New Roman" w:eastAsia="Times New Roman" w:hAnsi="Times New Roman"/>
          <w:sz w:val="22"/>
          <w:szCs w:val="22"/>
        </w:rPr>
        <w:t xml:space="preserve">Data ingestion / SQL joins: Apache Hadoop HDFS + Apache Hive (dekadal aggregation, monthly averaging)</w:t>
      </w:r>
    </w:p>
    <w:p>
      <w:pPr>
        <w:pStyle w:val="ListParagraph"/>
        <w:numPr>
          <w:ilvl w:val="0"/>
          <w:numId w:val="2"/>
        </w:numPr>
        <w:spacing w:after="40"/>
      </w:pPr>
      <w:r>
        <w:rPr>
          <w:rFonts w:ascii="Times New Roman" w:cs="Times New Roman" w:eastAsia="Times New Roman" w:hAnsi="Times New Roman"/>
          <w:sz w:val="22"/>
          <w:szCs w:val="22"/>
        </w:rPr>
        <w:t xml:space="preserve">ML pipeline: Python 3 (Google Colab) — pandas, numpy, scikit-learn, matplotlib, seaborn, statsmodels</w:t>
      </w:r>
    </w:p>
    <w:p>
      <w:pPr>
        <w:pStyle w:val="ListParagraph"/>
        <w:numPr>
          <w:ilvl w:val="0"/>
          <w:numId w:val="2"/>
        </w:numPr>
        <w:spacing w:after="40"/>
      </w:pPr>
      <w:r>
        <w:rPr>
          <w:rFonts w:ascii="Times New Roman" w:cs="Times New Roman" w:eastAsia="Times New Roman" w:hAnsi="Times New Roman"/>
          <w:sz w:val="22"/>
          <w:szCs w:val="22"/>
        </w:rPr>
        <w:t xml:space="preserve">Visualization: matplotlib (labeled figures, numbered axes), seaborn (heatmaps), folium (choropleth maps)</w:t>
      </w:r>
    </w:p>
    <w:p>
      <w:pPr>
        <w:pStyle w:val="ListParagraph"/>
        <w:numPr>
          <w:ilvl w:val="0"/>
          <w:numId w:val="2"/>
        </w:numPr>
        <w:spacing w:after="40"/>
      </w:pPr>
      <w:r>
        <w:rPr>
          <w:rFonts w:ascii="Times New Roman" w:cs="Times New Roman" w:eastAsia="Times New Roman" w:hAnsi="Times New Roman"/>
          <w:sz w:val="22"/>
          <w:szCs w:val="22"/>
        </w:rPr>
        <w:t xml:space="preserve">Reporting: LaTeX or structured Word document with APA citations</w:t>
      </w:r>
    </w:p>
    <w:p>
      <w:pPr>
        <w:spacing w:after="0" w:before="80"/>
      </w:pPr>
    </w:p>
    <w:p>
      <w:pPr>
        <w:pStyle w:val="Heading1"/>
      </w:pPr>
      <w:r>
        <w:rPr>
          <w:b/>
          <w:bCs/>
        </w:rPr>
        <w:t xml:space="preserve">6. Expected Outputs</w:t>
      </w:r>
    </w:p>
    <w:p>
      <w:pPr>
        <w:pStyle w:val="ListParagraph"/>
        <w:numPr>
          <w:ilvl w:val="0"/>
          <w:numId w:val="2"/>
        </w:numPr>
        <w:spacing w:after="40"/>
      </w:pPr>
      <w:r>
        <w:rPr>
          <w:rFonts w:ascii="Times New Roman" w:cs="Times New Roman" w:eastAsia="Times New Roman" w:hAnsi="Times New Roman"/>
          <w:sz w:val="22"/>
          <w:szCs w:val="22"/>
        </w:rPr>
        <w:t xml:space="preserve">A clean, documented merged dataset (2,400+ rows, 15 columns) made openly available via GitHub</w:t>
      </w:r>
    </w:p>
    <w:p>
      <w:pPr>
        <w:pStyle w:val="ListParagraph"/>
        <w:numPr>
          <w:ilvl w:val="0"/>
          <w:numId w:val="2"/>
        </w:numPr>
        <w:spacing w:after="40"/>
      </w:pPr>
      <w:r>
        <w:rPr>
          <w:rFonts w:ascii="Times New Roman" w:cs="Times New Roman" w:eastAsia="Times New Roman" w:hAnsi="Times New Roman"/>
          <w:sz w:val="22"/>
          <w:szCs w:val="22"/>
        </w:rPr>
        <w:t xml:space="preserve">Cross-validated ML models with reported RMSE, R², and feature importance for both prediction tasks</w:t>
      </w:r>
    </w:p>
    <w:p>
      <w:pPr>
        <w:pStyle w:val="ListParagraph"/>
        <w:numPr>
          <w:ilvl w:val="0"/>
          <w:numId w:val="2"/>
        </w:numPr>
        <w:spacing w:after="40"/>
      </w:pPr>
      <w:r>
        <w:rPr>
          <w:rFonts w:ascii="Times New Roman" w:cs="Times New Roman" w:eastAsia="Times New Roman" w:hAnsi="Times New Roman"/>
          <w:sz w:val="22"/>
          <w:szCs w:val="22"/>
        </w:rPr>
        <w:t xml:space="preserve">Lag analysis identifying optimal rainfall-to-price and price-to-debt lead time</w:t>
      </w:r>
    </w:p>
    <w:p>
      <w:pPr>
        <w:pStyle w:val="ListParagraph"/>
        <w:numPr>
          <w:ilvl w:val="0"/>
          <w:numId w:val="2"/>
        </w:numPr>
        <w:spacing w:after="40"/>
      </w:pPr>
      <w:r>
        <w:rPr>
          <w:rFonts w:ascii="Times New Roman" w:cs="Times New Roman" w:eastAsia="Times New Roman" w:hAnsi="Times New Roman"/>
          <w:sz w:val="22"/>
          <w:szCs w:val="22"/>
        </w:rPr>
        <w:t xml:space="preserve">K-Means risk clusters with qualitative interpretation and geographic visualization</w:t>
      </w:r>
    </w:p>
    <w:p>
      <w:pPr>
        <w:pStyle w:val="ListParagraph"/>
        <w:numPr>
          <w:ilvl w:val="0"/>
          <w:numId w:val="2"/>
        </w:numPr>
        <w:spacing w:after="40"/>
      </w:pPr>
      <w:r>
        <w:rPr>
          <w:rFonts w:ascii="Times New Roman" w:cs="Times New Roman" w:eastAsia="Times New Roman" w:hAnsi="Times New Roman"/>
          <w:sz w:val="22"/>
          <w:szCs w:val="22"/>
        </w:rPr>
        <w:t xml:space="preserve">Academic paper structured for submission to a journal such as Food Policy, Environmental Science &amp; Policy, or Climate Risk Management, contingent on addition of econometric robustness checks</w:t>
      </w:r>
    </w:p>
    <w:p>
      <w:pPr>
        <w:spacing w:after="0" w:before="80"/>
      </w:pPr>
    </w:p>
    <w:p>
      <w:pPr>
        <w:pStyle w:val="Heading1"/>
      </w:pPr>
      <w:r>
        <w:rPr>
          <w:b/>
          <w:bCs/>
        </w:rPr>
        <w:t xml:space="preserve">7. Limitations and Honest Scope</w:t>
      </w:r>
    </w:p>
    <w:p>
      <w:pPr>
        <w:pStyle w:val="ListParagraph"/>
        <w:numPr>
          <w:ilvl w:val="0"/>
          <w:numId w:val="2"/>
        </w:numPr>
        <w:spacing w:after="40"/>
      </w:pPr>
      <w:r>
        <w:rPr>
          <w:rFonts w:ascii="Times New Roman" w:cs="Times New Roman" w:eastAsia="Times New Roman" w:hAnsi="Times New Roman"/>
          <w:sz w:val="22"/>
          <w:szCs w:val="22"/>
        </w:rPr>
        <w:t xml:space="preserve">External debt is driven by infrastructure finance, remittances, and RMG export cycles — not food prices alone. Results will be framed as associational, not causal.</w:t>
      </w:r>
    </w:p>
    <w:p>
      <w:pPr>
        <w:pStyle w:val="ListParagraph"/>
        <w:numPr>
          <w:ilvl w:val="0"/>
          <w:numId w:val="2"/>
        </w:numPr>
        <w:spacing w:after="40"/>
      </w:pPr>
      <w:r>
        <w:rPr>
          <w:rFonts w:ascii="Times New Roman" w:cs="Times New Roman" w:eastAsia="Times New Roman" w:hAnsi="Times New Roman"/>
          <w:sz w:val="22"/>
          <w:szCs w:val="22"/>
        </w:rPr>
        <w:t xml:space="preserve">Food price data coverage is uneven across divisions before 2006 (Dhaka best covered from 1998; Mymensingh and Rangpur from 2020). Findings will be stratified by data-rich vs. data-sparse divisions.</w:t>
      </w:r>
    </w:p>
    <w:p>
      <w:pPr>
        <w:pStyle w:val="ListParagraph"/>
        <w:numPr>
          <w:ilvl w:val="0"/>
          <w:numId w:val="2"/>
        </w:numPr>
        <w:spacing w:after="40"/>
      </w:pPr>
      <w:r>
        <w:rPr>
          <w:rFonts w:ascii="Times New Roman" w:cs="Times New Roman" w:eastAsia="Times New Roman" w:hAnsi="Times New Roman"/>
          <w:sz w:val="22"/>
          <w:szCs w:val="22"/>
        </w:rPr>
        <w:t xml:space="preserve">K-Means clustering assumes spherical clusters and is sensitive to initialization. Hierarchical clustering will be run as a robustness check.</w:t>
      </w:r>
    </w:p>
    <w:p>
      <w:pPr>
        <w:pStyle w:val="ListParagraph"/>
        <w:numPr>
          <w:ilvl w:val="0"/>
          <w:numId w:val="2"/>
        </w:numPr>
        <w:spacing w:after="40"/>
      </w:pPr>
      <w:r>
        <w:rPr>
          <w:rFonts w:ascii="Times New Roman" w:cs="Times New Roman" w:eastAsia="Times New Roman" w:hAnsi="Times New Roman"/>
          <w:sz w:val="22"/>
          <w:szCs w:val="22"/>
        </w:rPr>
        <w:t xml:space="preserve">For journal-level publication, Granger causality tests and VAR models are essential additions (see Section 4.4).</w:t>
      </w:r>
    </w:p>
    <w:p>
      <w:pPr>
        <w:spacing w:after="0" w:before="80"/>
      </w:pPr>
    </w:p>
    <w:p>
      <w:pPr>
        <w:pStyle w:val="Heading1"/>
      </w:pPr>
      <w:r>
        <w:rPr>
          <w:b/>
          <w:bCs/>
        </w:rPr>
        <w:t xml:space="preserve">8. Proposed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38"/>
        <w:gridCol w:w="380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Week</w:t>
            </w:r>
          </w:p>
        </w:tc>
        <w:tc>
          <w:tcPr>
            <w:tcW w:type="dxa" w:w="3638"/>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Deliverable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Data cleaning, merge pipeline in Hive + Python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Merged CSV, null analysis report</w:t>
            </w:r>
          </w:p>
        </w:tc>
      </w:tr>
      <w:tr>
        <w:tc>
          <w:tcPr>
            <w:tcW w:type="dxa" w:w="22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w:t>
            </w:r>
          </w:p>
        </w:tc>
        <w:tc>
          <w:tcPr>
            <w:tcW w:type="dxa" w:w="36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EDA: distributions, correlations, lag plots</w:t>
            </w:r>
          </w:p>
        </w:tc>
        <w:tc>
          <w:tcPr>
            <w:tcW w:type="dxa" w:w="38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EDA notebook with figures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4–5</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Supervised learning (Task 1: Rainfall → Food)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Model table, feature importance plots</w:t>
            </w:r>
          </w:p>
        </w:tc>
      </w:tr>
      <w:tr>
        <w:tc>
          <w:tcPr>
            <w:tcW w:type="dxa" w:w="22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6–7</w:t>
            </w:r>
          </w:p>
        </w:tc>
        <w:tc>
          <w:tcPr>
            <w:tcW w:type="dxa" w:w="36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Supervised learning (Task 2: Food → Debt) + lag analysis</w:t>
            </w:r>
          </w:p>
        </w:tc>
        <w:tc>
          <w:tcPr>
            <w:tcW w:type="dxa" w:w="38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Model table, lag sensitivity chart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8</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K-Means clustering + visualization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Cluster heatmap, choropleth map</w:t>
            </w:r>
          </w:p>
        </w:tc>
      </w:tr>
      <w:tr>
        <w:tc>
          <w:tcPr>
            <w:tcW w:type="dxa" w:w="22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9</w:t>
            </w:r>
          </w:p>
        </w:tc>
        <w:tc>
          <w:tcPr>
            <w:tcW w:type="dxa" w:w="3638"/>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Robustness checks (Granger, ADF) if targeting journal</w:t>
            </w:r>
          </w:p>
        </w:tc>
        <w:tc>
          <w:tcPr>
            <w:tcW w:type="dxa" w:w="3800"/>
            <w:tcBorders>
              <w:top w:val="single" w:color="CCCCCC" w:sz="1"/>
              <w:left w:val="single" w:color="CCCCCC" w:sz="1"/>
              <w:bottom w:val="single" w:color="CCCCCC" w:sz="1"/>
              <w:right w:val="single" w:color="CCCCCC" w:sz="1"/>
            </w:tcBorders>
            <w:shd w:fill="EAF2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Supplementary stats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Report writing, formatting, references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Final paper draft</w:t>
            </w:r>
          </w:p>
        </w:tc>
      </w:tr>
    </w:tbl>
    <w:p>
      <w:pPr>
        <w:spacing w:after="0" w:before="80"/>
      </w:pPr>
    </w:p>
    <w:p>
      <w:pPr>
        <w:pStyle w:val="Heading1"/>
      </w:pPr>
      <w:r>
        <w:rPr>
          <w:b/>
          <w:bCs/>
        </w:rPr>
        <w:t xml:space="preserve">9. Key References</w:t>
      </w:r>
    </w:p>
    <w:p>
      <w:pPr>
        <w:spacing w:after="40"/>
      </w:pPr>
      <w:r>
        <w:rPr>
          <w:rFonts w:ascii="Times New Roman" w:cs="Times New Roman" w:eastAsia="Times New Roman" w:hAnsi="Times New Roman"/>
          <w:sz w:val="20"/>
          <w:szCs w:val="20"/>
        </w:rPr>
        <w:t xml:space="preserve">Ahmed, S. et al. (2020). Subnational rainfall anomalies and crop market price transmission in Bangladesh. Food Policy, 91, 101826.</w:t>
      </w:r>
    </w:p>
    <w:p>
      <w:pPr>
        <w:spacing w:after="40"/>
      </w:pPr>
      <w:r>
        <w:rPr>
          <w:rFonts w:ascii="Times New Roman" w:cs="Times New Roman" w:eastAsia="Times New Roman" w:hAnsi="Times New Roman"/>
          <w:sz w:val="20"/>
          <w:szCs w:val="20"/>
        </w:rPr>
        <w:t xml:space="preserve">Auffhammer, M. et al. (2012). Climate change, the monsoon, and rice yield in India. Climatic Change, 111(2), 411–424.</w:t>
      </w:r>
    </w:p>
    <w:p>
      <w:pPr>
        <w:spacing w:after="40"/>
      </w:pPr>
      <w:r>
        <w:rPr>
          <w:rFonts w:ascii="Times New Roman" w:cs="Times New Roman" w:eastAsia="Times New Roman" w:hAnsi="Times New Roman"/>
          <w:sz w:val="20"/>
          <w:szCs w:val="20"/>
        </w:rPr>
        <w:t xml:space="preserve">Headey, D., &amp; Fan, S. (2010). Reflections on the global food crisis. IFPRI Research Monograph 165.</w:t>
      </w:r>
    </w:p>
    <w:p>
      <w:pPr>
        <w:spacing w:after="40"/>
      </w:pPr>
      <w:r>
        <w:rPr>
          <w:rFonts w:ascii="Times New Roman" w:cs="Times New Roman" w:eastAsia="Times New Roman" w:hAnsi="Times New Roman"/>
          <w:sz w:val="20"/>
          <w:szCs w:val="20"/>
        </w:rPr>
        <w:t xml:space="preserve">Ivanic, M., &amp; Martin, W. (2008). Implications of higher global food prices for poverty in low-income countries. Agricultural Economics, 39(S1), 405–416.</w:t>
      </w:r>
    </w:p>
    <w:p>
      <w:pPr>
        <w:spacing w:after="40"/>
      </w:pPr>
      <w:r>
        <w:rPr>
          <w:rFonts w:ascii="Times New Roman" w:cs="Times New Roman" w:eastAsia="Times New Roman" w:hAnsi="Times New Roman"/>
          <w:sz w:val="20"/>
          <w:szCs w:val="20"/>
        </w:rPr>
        <w:t xml:space="preserve">World Bank. (2025). International Debt Statistics — Bangladesh. data.worldbank.org.</w:t>
      </w:r>
    </w:p>
    <w:p>
      <w:pPr>
        <w:spacing w:after="0" w:before="120"/>
      </w:pPr>
    </w:p>
    <w:p>
      <w:pPr>
        <w:pBdr>
          <w:top w:val="single" w:color="1F4E79" w:sz="4" w:space="6"/>
        </w:pBdr>
        <w:spacing w:before="80"/>
        <w:jc w:val="right"/>
      </w:pPr>
      <w:r>
        <w:rPr>
          <w:rFonts w:ascii="Arial" w:cs="Arial" w:eastAsia="Arial" w:hAnsi="Arial"/>
          <w:i/>
          <w:iCs/>
          <w:color w:val="888888"/>
          <w:sz w:val="18"/>
          <w:szCs w:val="18"/>
        </w:rPr>
        <w:t xml:space="preserve">Submitted for Approval — MITM 431 Big Data Analytics  |  May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540" w:hanging="260"/>
      </w:pPr>
    </w:lvl>
    <w:lvl w:ilvl="1" w15:tentative="1">
      <w:start w:val="1"/>
      <w:numFmt w:val="bullet"/>
      <w:lvlText w:val="◦"/>
      <w:lvlJc w:val="left"/>
      <w:pPr>
        <w:spacing w:after="30"/>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80" w:before="160"/>
      <w:outlineLvl w:val="0"/>
    </w:pPr>
    <w:rPr>
      <w:rFonts w:ascii="Arial" w:cs="Arial" w:eastAsia="Arial" w:hAnsi="Arial"/>
      <w:b/>
      <w:bCs/>
      <w:color w:val="1F4E79"/>
      <w:sz w:val="26"/>
      <w:szCs w:val="26"/>
    </w:rPr>
  </w:style>
  <w:style w:type="paragraph" w:styleId="Heading2">
    <w:name w:val="Heading 2"/>
    <w:basedOn w:val="Normal"/>
    <w:next w:val="Normal"/>
    <w:qFormat/>
    <w:pPr>
      <w:spacing w:after="60" w:before="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2026-05-16T17:38:07.863Z</dcterms:created>
  <dcterms:modified xsi:type="dcterms:W3CDTF">2026-05-16T17:38:07.864Z</dcterms:modified>
</cp:coreProperties>
</file>

<file path=docProps/custom.xml><?xml version="1.0" encoding="utf-8"?>
<Properties xmlns="http://schemas.openxmlformats.org/officeDocument/2006/custom-properties" xmlns:vt="http://schemas.openxmlformats.org/officeDocument/2006/docPropsVTypes"/>
</file>