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Rainfall, Food Prices, and External Debt in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333333"/>
          <w:sz w:val="22"/>
          <w:szCs w:val="22"/>
          <w:rtl w:val="0"/>
        </w:rPr>
        <w:t xml:space="preserve">A Predictive and Clustering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0" w:sz="8" w:val="single"/>
        </w:pBd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" w:lineRule="auto"/>
        <w:jc w:val="center"/>
        <w:rPr/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Mostofa Aminur Rashid (2506107)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•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 Md. Mamun Ur Rashed (2506120)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  •  MITM 431 — Big Data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5" w:before="10" w:lineRule="auto"/>
        <w:jc w:val="center"/>
        <w:rPr>
          <w:b w:val="1"/>
          <w:bCs w:val="1"/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555555"/>
          <w:sz w:val="18"/>
          <w:szCs w:val="18"/>
          <w:rtl w:val="0"/>
        </w:rPr>
        <w:t xml:space="preserve">Supervisor: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18"/>
          <w:szCs w:val="18"/>
          <w:rtl w:val="0"/>
        </w:rPr>
        <w:t xml:space="preserve">Dr. Shah Mostafa Khaled</w:t>
      </w:r>
    </w:p>
    <w:p w:rsidR="00000000" w:rsidDel="00000000" w:rsidP="00000000" w:rsidRDefault="00000000" w:rsidRPr="00000000" w14:paraId="00000006">
      <w:pPr>
        <w:spacing w:after="85" w:before="10" w:lineRule="auto"/>
        <w:jc w:val="center"/>
        <w:rPr>
          <w:b w:val="1"/>
          <w:bCs w:val="1"/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1.  INTRODUCTION AND MOTIVATION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5" w:before="0" w:line="264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Bangladesh is among the world's most climate-exposed nations, where seasonal rainfall directly shapes agricultural output, food security, and macroeconomic stability. Individual linkages — climate to food security, and food prices to sovereign borrowing — are documented in the literature, yet no prior study has modelled the full pipeline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Rainfall → Food Prices → External Debt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within a unified machine-learning framework at the subnational level. </w:t>
      </w:r>
    </w:p>
    <w:p w:rsidR="00000000" w:rsidDel="00000000" w:rsidP="00000000" w:rsidRDefault="00000000" w:rsidRPr="00000000" w14:paraId="00000009">
      <w:pPr>
        <w:spacing w:after="55" w:before="0" w:line="264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Auffhammer et al. (2012) showed rainfall shocks reduce rice yields across South Asia; Ivanic &amp; Martin (2008) demonstrated that food price spikes drive external borrowing in import-dependent nations; Headey &amp; Fan (2010) linked the 2007–08 food crisis to measurable debt increases; and Ahmed et al. (2020) confirmed that subnational rainfall anomalies predict Bangladesh market prices. This project quantifies and integrates those relationships across 1999–2024 using all eight administrative divisions. </w:t>
      </w:r>
    </w:p>
    <w:p w:rsidR="00000000" w:rsidDel="00000000" w:rsidP="00000000" w:rsidRDefault="00000000" w:rsidRPr="00000000" w14:paraId="0000000A">
      <w:pPr>
        <w:spacing w:after="55" w:before="0" w:line="264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External debt is also driven by infrastructure finance, remittances, and RMG export cycles; results are framed as associational rather than strictly causal.</w:t>
      </w:r>
    </w:p>
    <w:p w:rsidR="00000000" w:rsidDel="00000000" w:rsidP="00000000" w:rsidRDefault="00000000" w:rsidRPr="00000000" w14:paraId="0000000B">
      <w:pPr>
        <w:spacing w:after="55" w:before="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2.  RESEARCH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RQ1 (Supervised):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subnational rainfall levels and anomalies predict staple food prices (rice, wheat flour, palm oil) at the monthly division level?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RQ2 (Supervised):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aggregated national food price trends (lagged 3–12 months) associate with Bangladesh's external debt indicators at the annual level?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RQ3 (Clustering):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natural risk clusters emerge when division–year combinations are characterised by combined rainfall anomaly, food price deviation, and debt stress profiles?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RQ4 (Lag Analysis):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is the optimal lag between rainfall anomaly and food price response, and between food price shock and debt-service pressure?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3.  DATA SOURCES AND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64" w:lineRule="auto"/>
        <w:jc w:val="both"/>
        <w:rPr/>
      </w:pPr>
      <w:r w:rsidDel="00000000" w:rsidR="00000000" w:rsidRPr="00000000">
        <w:rPr>
          <w:rtl w:val="0"/>
        </w:rPr>
        <w:t xml:space="preserve">Five HDX / World Bank datasets are merged into a singel panel (∼2,400 rows: 8 divisions × 25 years × 12 months, 15 columns). Merge key: PCODE (BD10–BD60) harmonised to admin1 division names; dekadal rainfall aggregated to monthly totals; annual debt values broadcast across 12 months; food prices averaged by commodity, division, and month.</w:t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80"/>
        <w:gridCol w:w="1500"/>
        <w:gridCol w:w="2260"/>
        <w:gridCol w:w="3806"/>
        <w:tblGridChange w:id="0">
          <w:tblGrid>
            <w:gridCol w:w="2180"/>
            <w:gridCol w:w="1500"/>
            <w:gridCol w:w="2260"/>
            <w:gridCol w:w="3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Granularity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Columns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Subnational Rainfall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HDX / CHIRPS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adm_level=1, 8 divisions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rfh, rfh_avg, rfq (anomaly %), PCODE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Subnational Rainfall (5yr)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HDX / CHIRPS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adm_level=1 (recency 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r1h, r3h (1- and 3-month cumulative)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WFP Food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HDX / WFP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→ division–month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Rice (coarse), Wheat flour, Palm oil (USD/100 kg)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WFP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HDX / WFP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market_id, admin1 (spatial join key)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External Debt (World Bank)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World Bank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 → broadcast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Debt total (DOD), Debt/GNI %, Debt service/exports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before="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4. 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4.1   Preprocessing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anomalous food price records (pre-1990 entries); impute sparse commodity gaps via division-level forward-fill after 2005.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Construct lag features: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rfh_lag1–lag6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(1–6 month rainfall lags) for RQ1 &amp; RQ4; national monthly food price index for RQ2.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Normalise food prices to USD/100 kg; apply StandardScaler before all ML models.</w:t>
      </w:r>
    </w:p>
    <w:p w:rsidR="00000000" w:rsidDel="00000000" w:rsidP="00000000" w:rsidRDefault="00000000" w:rsidRPr="00000000" w14:paraId="00000032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4.2   Supervised Learning — Two Prediction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5" w:before="0" w:line="264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Three algorithms applied to both prediction tasks (Rainfall → Food Prices; Food Prices → Debt).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Evaluation: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 10-fold cross-validation; RMSE, MAE, and R² reported for every model.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600"/>
        <w:gridCol w:w="2946"/>
        <w:tblGridChange w:id="0">
          <w:tblGrid>
            <w:gridCol w:w="2200"/>
            <w:gridCol w:w="4600"/>
            <w:gridCol w:w="29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d2d2d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Key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Linear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Interpretable baseline; quantifies predictor direction and magnitude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Coefficients, RMSE, 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Decision Tree 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Captures non-linear thresholds (e.g. drought cutoffs); visualised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Tree diagram, depth 3–8, min_samples_split 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Random Forest Regressor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Ensemble variance reduction; feature importance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55.0" w:type="dxa"/>
              <w:left w:w="100.0" w:type="dxa"/>
              <w:bottom w:w="55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n_estimators 100–300, OOB score, permutation importance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4.3   Unsupervised Learning — K-Means Clustering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of analysis: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Division × year vectors (8 × 25 = 200). Features: annual rfq anomaly, rice price deviation from division baseline, ext_debt_pct_gni.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Optimal 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Elbow method (WCSS) + Silhouette score; expected k = 3–5. Hierarchical clustering used as robustness check.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Outputs: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PCA biplot, cluster centroid heatmap, division-level choropleth; qualitative labels (e.g. “Climate-Stressed High-Risk”, “Favourable”).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5. 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55" w:before="0" w:line="264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Data ingestion &amp; SQL joins: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Apache Hadoop HDFS + Hive (dekadal aggregation, monthly averaging).  </w:t>
      </w:r>
    </w:p>
    <w:p w:rsidR="00000000" w:rsidDel="00000000" w:rsidP="00000000" w:rsidRDefault="00000000" w:rsidRPr="00000000" w14:paraId="00000047">
      <w:pPr>
        <w:spacing w:after="55" w:before="0" w:line="264" w:lineRule="auto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ML pipeline: 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Python 3 / Google Colab — pandas, numpy, scikit-learn, statsmodels, matplotlib, seaborn, folium.</w:t>
      </w:r>
    </w:p>
    <w:p w:rsidR="00000000" w:rsidDel="00000000" w:rsidP="00000000" w:rsidRDefault="00000000" w:rsidRPr="00000000" w14:paraId="00000048">
      <w:pPr>
        <w:spacing w:after="55" w:before="0" w:line="264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matplotlib (labeled figures, numbered axes), seaborn (heatmaps), folium (choropleth maps)</w:t>
      </w:r>
    </w:p>
    <w:p w:rsidR="00000000" w:rsidDel="00000000" w:rsidP="00000000" w:rsidRDefault="00000000" w:rsidRPr="00000000" w14:paraId="00000049">
      <w:pPr>
        <w:spacing w:after="55" w:before="0" w:line="264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6.  EXPECTED OUTPUTS AND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clean, documented merged dataset (2,400+ rows, 15 columns) made openly available via GitHub.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Cross-validated ML models with RMSE, R², and feature importance for both prediction tasks; lag sensitivity chart for RQ4.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K-Means risk clusters with qualitative interpretation and division-level choropleth visualisation.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Publication path: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addition of Granger causality and ADF unit-root tests, the paper targets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Food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Environmental Science &amp;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Climate Risk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(Q2–Q3 journals).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000000" w:space="8" w:sz="18" w:val="single"/>
        </w:pBdr>
        <w:shd w:fill="f2f2f2" w:val="clear"/>
        <w:spacing w:after="55" w:before="110" w:lineRule="auto"/>
        <w:ind w:left="14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2"/>
          <w:szCs w:val="22"/>
          <w:rtl w:val="0"/>
        </w:rPr>
        <w:t xml:space="preserve">7. 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External debt has many drivers beyond food prices (infrastructure loans, remittances, RMG exports); all results are framed as associations, not causal claims.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coverage: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Food price data is uneven before 2006 (Mymensingh &amp; Rangpur available only from 2020); findings are stratified by data-rich vs. data-sparse divisions.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64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Clustering: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K-Means assumes spherical clusters and is sensitive to initialisation; hierarchical clustering is applied as a robustness check.</w:t>
      </w:r>
    </w:p>
    <w:p w:rsidR="00000000" w:rsidDel="00000000" w:rsidP="00000000" w:rsidRDefault="00000000" w:rsidRPr="00000000" w14:paraId="0000005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jc w:val="right"/>
        <w:rPr/>
      </w:pP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         Approval          </m:t>
            </m:r>
          </m:e>
        </m:bar>
      </m:oMath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bkNP0iWtzyYz6x0ju8xtwaZnA==">CgMxLjA4AHIhMWZKcUtFWG1FVXE5V2ZYMzVwUks1SzRxTTFtR0UtZzhD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