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Rainfall, Food Prices, and External Debt in Bangladesh</w:t>
      </w:r>
    </w:p>
    <w:p>
      <w:pPr>
        <w:spacing w:after="30" w:before="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22"/>
          <w:szCs w:val="22"/>
        </w:rPr>
        <w:t xml:space="preserve">A Predictive and Clustering Analysis</w:t>
      </w:r>
    </w:p>
    <w:p>
      <w:pPr>
        <w:pBdr>
          <w:bottom w:val="single" w:color="000000" w:sz="8"/>
        </w:pBdr>
        <w:spacing w:after="0" w:before="0"/>
      </w:pPr>
    </w:p>
    <w:p>
      <w:pPr>
        <w:spacing w:after="0" w:before="3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Md. Mamun Ur Rashed  •  Roll: 2506120  •  MITM 431 — Big Data Analytics</w:t>
      </w:r>
    </w:p>
    <w:p>
      <w:pPr>
        <w:spacing w:after="85" w:before="1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Supervisor: Dr. Shah Mostafa Khaled</w:t>
      </w:r>
    </w:p>
    <w:p>
      <w:pPr>
        <w:pBdr>
          <w:left w:val="single" w:color="000000" w:sz="18" w:space="8"/>
        </w:pBdr>
        <w:shd w:fill="F2F2F2" w:val="clear"/>
        <w:spacing w:after="55" w:before="110"/>
        <w:ind w:left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 INTRODUCTION AND MOTIVATION</w:t>
      </w:r>
    </w:p>
    <w:p>
      <w:pPr>
        <w:spacing w:after="55" w:before="0" w:line="264" w:lineRule="auto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Bangladesh is among the world's most climate-exposed nations, where seasonal rainfall directly shapes agricultural output, food security, and macroeconomic stability. Individual linkages — climate to food security, and food prices to sovereign borrowing — are documented in the literature, yet no prior study has modelled the full pipeline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Rainfall → Food Prices → External Debt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within a unified machine-learning framework at the subnational level. Auffhammer et al. (2012) showed rainfall shocks reduce rice yields across South Asia; Ivanic &amp; Martin (2008) demonstrated that food price spikes drive external borrowing in import-dependent nations; Headey &amp; Fan (2010) linked the 2007–08 food crisis to measurable debt increases; and Ahmed et al. (2020) confirmed that subnational rainfall anomalies predict Bangladesh market prices. This project quantifies and integrates those relationships across 1999–2024 using all eight administrative divisions.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Note: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External debt is also driven by infrastructure finance, remittances, and RMG export cycles; results are framed as associational rather than strictly causal.</w:t>
      </w:r>
    </w:p>
    <w:p>
      <w:pPr>
        <w:pBdr>
          <w:left w:val="single" w:color="000000" w:sz="18" w:space="8"/>
        </w:pBdr>
        <w:shd w:fill="F2F2F2" w:val="clear"/>
        <w:spacing w:after="55" w:before="110"/>
        <w:ind w:left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 RESEARCH QUESTIONS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RQ1 (Supervised):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Do subnational rainfall levels and anomalies predict staple food prices (rice, wheat flour, palm oil) at the monthly division level?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RQ2 (Supervised):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Do aggregated national food price trends (lagged 3–12 months) associate with Bangladesh's external debt indicators at the annual level?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RQ3 (Clustering):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Do natural risk clusters emerge when division–year combinations are characterised by combined rainfall anomaly, food price deviation, and debt stress profiles?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RQ4 (Lag Analysis):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What is the optimal lag between rainfall anomaly and food price response, and between food price shock and debt-service pressure?</w:t>
      </w:r>
    </w:p>
    <w:p>
      <w:pPr>
        <w:pBdr>
          <w:left w:val="single" w:color="000000" w:sz="18" w:space="8"/>
        </w:pBdr>
        <w:shd w:fill="F2F2F2" w:val="clear"/>
        <w:spacing w:after="55" w:before="110"/>
        <w:ind w:left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 DATA SOURCES AND INTEGRATION</w:t>
      </w:r>
    </w:p>
    <w:p>
      <w:pPr>
        <w:spacing w:after="40" w:before="0" w:line="264" w:lineRule="auto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Five HDX / World Bank datasets are merged into a single panel (∼2,400 rows: 8 divisions × 25 years × 12 months, 15 columns). Merge key: PCODE (BD10–BD60) harmonised to admin1 division names; dekadal rainfall aggregated to monthly totals; annual debt values broadcast across 12 months; food prices averaged by commodity, division, and month.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0"/>
        <w:gridCol w:w="1500"/>
        <w:gridCol w:w="2260"/>
        <w:gridCol w:w="3806"/>
      </w:tblGrid>
      <w:tr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Granularity</w:t>
            </w:r>
          </w:p>
        </w:tc>
        <w:tc>
          <w:tcPr>
            <w:tcW w:type="dxa" w:w="38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 Used</w:t>
            </w:r>
          </w:p>
        </w:tc>
      </w:tr>
      <w:tr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Subnational Rainfall (Full)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HDX / CHIRPS</w:t>
            </w:r>
          </w:p>
        </w:tc>
        <w:tc>
          <w:tcPr>
            <w:tcW w:type="dxa" w:w="2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adm_level=1, 8 divisions</w:t>
            </w:r>
          </w:p>
        </w:tc>
        <w:tc>
          <w:tcPr>
            <w:tcW w:type="dxa" w:w="38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rfh, rfh_avg, rfq (anomaly %), PCODE</w:t>
            </w:r>
          </w:p>
        </w:tc>
      </w:tr>
      <w:tr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Subnational Rainfall (5yr)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HDX / CHIRPS</w:t>
            </w:r>
          </w:p>
        </w:tc>
        <w:tc>
          <w:tcPr>
            <w:tcW w:type="dxa" w:w="2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adm_level=1 (recency layer)</w:t>
            </w:r>
          </w:p>
        </w:tc>
        <w:tc>
          <w:tcPr>
            <w:tcW w:type="dxa" w:w="38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r1h, r3h (1- and 3-month cumulative)</w:t>
            </w:r>
          </w:p>
        </w:tc>
      </w:tr>
      <w:tr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WFP Food Prices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HDX / WFP</w:t>
            </w:r>
          </w:p>
        </w:tc>
        <w:tc>
          <w:tcPr>
            <w:tcW w:type="dxa" w:w="2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Market → division–month avg</w:t>
            </w:r>
          </w:p>
        </w:tc>
        <w:tc>
          <w:tcPr>
            <w:tcW w:type="dxa" w:w="38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Rice (coarse), Wheat flour, Palm oil (USD/100 kg)</w:t>
            </w:r>
          </w:p>
        </w:tc>
      </w:tr>
      <w:tr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WFP Markets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HDX / WFP</w:t>
            </w:r>
          </w:p>
        </w:tc>
        <w:tc>
          <w:tcPr>
            <w:tcW w:type="dxa" w:w="2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Market metadata</w:t>
            </w:r>
          </w:p>
        </w:tc>
        <w:tc>
          <w:tcPr>
            <w:tcW w:type="dxa" w:w="38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market_id, admin1 (spatial join key)</w:t>
            </w:r>
          </w:p>
        </w:tc>
      </w:tr>
      <w:tr>
        <w:tc>
          <w:tcPr>
            <w:tcW w:type="dxa" w:w="218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External Debt (World Bank)</w:t>
            </w:r>
          </w:p>
        </w:tc>
        <w:tc>
          <w:tcPr>
            <w:tcW w:type="dxa" w:w="15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World Bank IDS</w:t>
            </w:r>
          </w:p>
        </w:tc>
        <w:tc>
          <w:tcPr>
            <w:tcW w:type="dxa" w:w="226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National → broadcast monthly</w:t>
            </w:r>
          </w:p>
        </w:tc>
        <w:tc>
          <w:tcPr>
            <w:tcW w:type="dxa" w:w="380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Debt total (DOD), Debt/GNI %, Debt service/exports %</w:t>
            </w:r>
          </w:p>
        </w:tc>
      </w:tr>
    </w:tbl>
    <w:p>
      <w:pPr>
        <w:pBdr>
          <w:left w:val="single" w:color="000000" w:sz="18" w:space="8"/>
        </w:pBdr>
        <w:shd w:fill="F2F2F2" w:val="clear"/>
        <w:spacing w:after="55" w:before="110"/>
        <w:ind w:left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  METHODOLOGY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4.1   Preprocessing Pipeline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Remove anomalous food price records (pre-1990 entries); impute sparse commodity gaps via division-level forward-fill after 2005.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Construct lag features: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 rfh_lag1–lag6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(1–6 month rainfall lags) for RQ1 &amp; RQ4; national monthly food price index for RQ2.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Normalise food prices to USD/100 kg; apply StandardScaler before all ML models.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4.2   Supervised Learning — Two Prediction Tasks</w:t>
      </w:r>
    </w:p>
    <w:p>
      <w:pPr>
        <w:spacing w:after="35" w:before="0" w:line="264" w:lineRule="auto"/>
        <w:jc w:val="both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Three algorithms applied to both prediction tasks (Rainfall → Food Prices; Food Prices → Debt).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Evaluation: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10-fold cross-validation; RMSE, MAE, and R² reported for every model.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946"/>
      </w:tblGrid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Algorithm</w:t>
            </w:r>
          </w:p>
        </w:tc>
        <w:tc>
          <w:tcPr>
            <w:tcW w:type="dxa" w:w="4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  <w:tc>
          <w:tcPr>
            <w:tcW w:type="dxa" w:w="294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2D2D2D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Outputs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Linear Regression</w:t>
            </w:r>
          </w:p>
        </w:tc>
        <w:tc>
          <w:tcPr>
            <w:tcW w:type="dxa" w:w="4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Interpretable baseline; quantifies predictor direction and magnitude</w:t>
            </w:r>
          </w:p>
        </w:tc>
        <w:tc>
          <w:tcPr>
            <w:tcW w:type="dxa" w:w="294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Coefficients, RMSE, R²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Decision Tree Regressor</w:t>
            </w:r>
          </w:p>
        </w:tc>
        <w:tc>
          <w:tcPr>
            <w:tcW w:type="dxa" w:w="4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Captures non-linear thresholds (e.g. drought cutoffs); visualised</w:t>
            </w:r>
          </w:p>
        </w:tc>
        <w:tc>
          <w:tcPr>
            <w:tcW w:type="dxa" w:w="294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2F2F2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Tree diagram, depth 3–8, min_samples_split tuned</w:t>
            </w:r>
          </w:p>
        </w:tc>
      </w:tr>
      <w:tr>
        <w:tc>
          <w:tcPr>
            <w:tcW w:type="dxa" w:w="22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Random Forest Regressor</w:t>
            </w:r>
          </w:p>
        </w:tc>
        <w:tc>
          <w:tcPr>
            <w:tcW w:type="dxa" w:w="4600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Ensemble variance reduction; feature importance ranking</w:t>
            </w:r>
          </w:p>
        </w:tc>
        <w:tc>
          <w:tcPr>
            <w:tcW w:type="dxa" w:w="2946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n_estimators 100–300, OOB score, permutation importance</w:t>
            </w:r>
          </w:p>
        </w:tc>
      </w:tr>
    </w:tbl>
    <w:p>
      <w:pPr>
        <w:spacing w:after="30" w:before="8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4.3   Unsupervised Learning — K-Means Clustering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Unit of analysis: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Division × year vectors (8 × 25 = 200). Features: annual rfq anomaly, rice price deviation from division baseline, ext_debt_pct_gni.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Optimal k: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Elbow method (WCSS) + Silhouette score; expected k = 3–5. Hierarchical clustering used as robustness check.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Outputs: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PCA biplot, cluster centroid heatmap, division-level choropleth; qualitative labels (e.g. “Climate-Stressed High-Risk”, “Favourable”).</w:t>
      </w:r>
    </w:p>
    <w:p>
      <w:pPr>
        <w:pBdr>
          <w:left w:val="single" w:color="000000" w:sz="18" w:space="8"/>
        </w:pBdr>
        <w:shd w:fill="F2F2F2" w:val="clear"/>
        <w:spacing w:after="55" w:before="110"/>
        <w:ind w:left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  TECHNOLOGY STACK</w:t>
      </w:r>
    </w:p>
    <w:p>
      <w:pPr>
        <w:spacing w:after="55" w:before="0" w:line="264" w:lineRule="auto"/>
        <w:jc w:val="both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ingestion &amp; SQL joins: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Apache Hadoop HDFS + Hive (dekadal aggregation, monthly averaging).  </w:t>
      </w: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ML pipeline: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Python 3 / Google Colab — pandas, numpy, scikit-learn, statsmodels, matplotlib, seaborn, folium.</w:t>
      </w:r>
    </w:p>
    <w:p>
      <w:pPr>
        <w:pBdr>
          <w:left w:val="single" w:color="000000" w:sz="18" w:space="8"/>
        </w:pBdr>
        <w:shd w:fill="F2F2F2" w:val="clear"/>
        <w:spacing w:after="55" w:before="110"/>
        <w:ind w:left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  EXPECTED OUTPUTS AND CONTRIBUTION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 clean, documented merged dataset (2,400+ rows, 15 columns) made openly available via GitHub.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Cross-validated ML models with RMSE, R², and feature importance for both prediction tasks; lag sensitivity chart for RQ4.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K-Means risk clusters with qualitative interpretation and division-level choropleth visualisation.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Publication path: 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With addition of Granger causality and ADF unit-root tests, the paper targets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Food Policy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Environmental Science &amp; Policy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, or </w:t>
      </w: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Climate Risk Management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(Q2–Q3 journals).</w:t>
      </w:r>
    </w:p>
    <w:p>
      <w:pPr>
        <w:pBdr>
          <w:left w:val="single" w:color="000000" w:sz="18" w:space="8"/>
        </w:pBdr>
        <w:shd w:fill="F2F2F2" w:val="clear"/>
        <w:spacing w:after="55" w:before="110"/>
        <w:ind w:left="14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  LIMITATIONS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Scope: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External debt has many drivers beyond food prices (infrastructure loans, remittances, RMG exports); all results are framed as associations, not causal claims.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coverage: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Food price data is uneven before 2006 (Mymensingh &amp; Rangpur available only from 2020); findings are stratified by data-rich vs. data-sparse divisions.</w:t>
      </w:r>
    </w:p>
    <w:p>
      <w:pPr>
        <w:pStyle w:val="ListParagraph"/>
        <w:numPr>
          <w:ilvl w:val="0"/>
          <w:numId w:val="2"/>
        </w:numPr>
        <w:spacing w:after="30" w:before="0" w:line="264" w:lineRule="auto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Clustering:</w:t>
      </w:r>
      <w:r>
        <w:rPr>
          <w:rFonts w:ascii="Calibri" w:cs="Calibri" w:eastAsia="Calibri" w:hAnsi="Calibri"/>
          <w:color w:val="000000"/>
          <w:sz w:val="20"/>
          <w:szCs w:val="20"/>
        </w:rPr>
        <w:t xml:space="preserve"> K-Means assumes spherical clusters and is sensitive to initialisation; hierarchical clustering is applied as a robustness check.</w:t>
      </w:r>
    </w:p>
    <w:p>
      <w:pPr>
        <w:spacing w:after="0" w:before="60"/>
      </w:pPr>
    </w:p>
    <w:p>
      <w:pPr>
        <w:pBdr>
          <w:bottom w:val="single" w:color="000000" w:sz="4"/>
        </w:pBdr>
        <w:spacing w:after="0" w:before="0"/>
      </w:pPr>
    </w:p>
    <w:p>
      <w:pPr>
        <w:spacing w:after="0" w:before="28"/>
        <w:jc w:val="center"/>
      </w:pPr>
      <w:r>
        <w:rPr>
          <w:rFonts w:ascii="Calibri" w:cs="Calibri" w:eastAsia="Calibri" w:hAnsi="Calibri"/>
          <w:i/>
          <w:iCs/>
          <w:color w:val="777777"/>
          <w:sz w:val="16"/>
          <w:szCs w:val="16"/>
        </w:rPr>
        <w:t xml:space="preserve">MITM 431 — Big Data Analytics  •  Project Proposal  •  May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30"/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2026-05-17T08:12:34.600Z</dcterms:created>
  <dcterms:modified xsi:type="dcterms:W3CDTF">2026-05-17T08:12:34.616Z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