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0" w:space="5"/>
        </w:pBdr>
        <w:spacing w:after="36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Rainfall, Food Prices, and External Debt in Bangladesh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br/>
        <w:t xml:space="preserve">
A Predictive and Clustering Analysis</w:t>
      </w:r>
    </w:p>
    <w:p>
      <w:pPr>
        <w:spacing w:after="60" w:before="28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Md. Mamun Ur Rashed  |  Roll: 2506120  |  MITM 431 — Big Data Analytics  |  Supervisor: Dr. Shah Mostafa Khaled</w:t>
      </w:r>
    </w:p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1. Introduction and Motivation</w:t>
      </w:r>
    </w:p>
    <w:p>
      <w:pPr>
        <w:spacing w:after="28" w:before="0"/>
        <w:jc w:val="both"/>
      </w:pPr>
      <w:r>
        <w:rPr>
          <w:rFonts w:ascii="Arial" w:cs="Arial" w:eastAsia="Arial" w:hAnsi="Arial"/>
          <w:sz w:val="18"/>
          <w:szCs w:val="18"/>
        </w:rPr>
        <w:t xml:space="preserve">Bangladesh is among the world's most climate-exposed nations, where seasonal rainfall directly shapes agricultural output, food security, and macroeconomic stability. While individual linkages — climate to food security, food prices to sovereign borrowing — are documented in the literature, no prior study has modeled the full pipeline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Rainfall → Food Prices → External Debt</w:t>
      </w:r>
      <w:r>
        <w:rPr>
          <w:rFonts w:ascii="Arial" w:cs="Arial" w:eastAsia="Arial" w:hAnsi="Arial"/>
          <w:sz w:val="18"/>
          <w:szCs w:val="18"/>
        </w:rPr>
        <w:t xml:space="preserve"> within a unified ML framework at the subnational level. Auffhammer et al. (2012) showed rainfall shocks reduce rice yields across South Asia; Ivanic &amp; Martin (2008) demonstrated that food price spikes drive external borrowing; Headey &amp; Fan (2010) linked the 2007–08 food crisis to measurable debt increases in import-dependent nations; Ahmed et al. (2020) confirmed subnational rainfall anomalies predict Bangladesh market prices. This project quantifies and integrates those relationships across 1999–2024 using all eight administrative divisions.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Note: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 external debt is also driven by infrastructure finance, remittances, and RMG export cycles — results are framed as associational, not strictly causal.</w:t>
      </w:r>
    </w:p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2. Research Questions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RQ1 (Supervised):</w:t>
      </w:r>
      <w:r>
        <w:rPr>
          <w:rFonts w:ascii="Arial" w:cs="Arial" w:eastAsia="Arial" w:hAnsi="Arial"/>
          <w:sz w:val="18"/>
          <w:szCs w:val="18"/>
        </w:rPr>
        <w:t xml:space="preserve"> Do subnational rainfall levels and anomalies predict staple food prices (rice, wheat flour, palm oil) at the monthly division level?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RQ2 (Supervised):</w:t>
      </w:r>
      <w:r>
        <w:rPr>
          <w:rFonts w:ascii="Arial" w:cs="Arial" w:eastAsia="Arial" w:hAnsi="Arial"/>
          <w:sz w:val="18"/>
          <w:szCs w:val="18"/>
        </w:rPr>
        <w:t xml:space="preserve"> Do aggregated national food price trends (lagged 3–12 months) associate with Bangladesh's external debt indicators at the annual level?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RQ3 (Clustering):</w:t>
      </w:r>
      <w:r>
        <w:rPr>
          <w:rFonts w:ascii="Arial" w:cs="Arial" w:eastAsia="Arial" w:hAnsi="Arial"/>
          <w:sz w:val="18"/>
          <w:szCs w:val="18"/>
        </w:rPr>
        <w:t xml:space="preserve"> Do natural risk clusters emerge when division-year combinations are characterized by combined rainfall anomaly, food price deviation, and debt stress profiles?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RQ4 (Lag Analysis):</w:t>
      </w:r>
      <w:r>
        <w:rPr>
          <w:rFonts w:ascii="Arial" w:cs="Arial" w:eastAsia="Arial" w:hAnsi="Arial"/>
          <w:sz w:val="18"/>
          <w:szCs w:val="18"/>
        </w:rPr>
        <w:t xml:space="preserve"> What is the optimal lag between rainfall anomaly and food price response, and between food price shock and debt-service pressure?</w:t>
      </w:r>
    </w:p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3. Data Sources and Integration</w:t>
      </w:r>
    </w:p>
    <w:p>
      <w:pPr>
        <w:spacing w:after="36" w:before="0"/>
        <w:jc w:val="both"/>
      </w:pPr>
      <w:r>
        <w:rPr>
          <w:rFonts w:ascii="Arial" w:cs="Arial" w:eastAsia="Arial" w:hAnsi="Arial"/>
          <w:sz w:val="18"/>
          <w:szCs w:val="18"/>
        </w:rPr>
        <w:t xml:space="preserve">Five HDX / World Bank datasets are merged into one panel (~2,400 rows: 8 divisions × 25 years × 12 months, 15 columns). Merge key: PCODE (BD10–BD60) harmonized to admin1 division names; dekadal rainfall aggregated to monthly totals; annual debt broadcast across 12 months; food prices averaged by commodity, division, and month.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200"/>
        <w:gridCol w:w="436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Dataset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 Used</w:t>
            </w:r>
          </w:p>
        </w:tc>
        <w:tc>
          <w:tcPr>
            <w:tcW w:type="dxa" w:w="4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Subnational Rainfall (Full)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HDX / CHIRPS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adm_level=1, 8 divisions</w:t>
            </w:r>
          </w:p>
        </w:tc>
        <w:tc>
          <w:tcPr>
            <w:tcW w:type="dxa" w:w="4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rfh, rfh_avg, rfq (anomaly%), PCODE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Subnational Rainfall (5yr)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HDX / CHIRPS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adm_level=1 (recent)</w:t>
            </w:r>
          </w:p>
        </w:tc>
        <w:tc>
          <w:tcPr>
            <w:tcW w:type="dxa" w:w="4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r1h, r3h (1/3-month cumulative)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WFP Food Prices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HDX / WFP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Market → division-month avg</w:t>
            </w:r>
          </w:p>
        </w:tc>
        <w:tc>
          <w:tcPr>
            <w:tcW w:type="dxa" w:w="4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Rice (coarse), Wheat flour, Palm oil (USD/100KG)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WFP Markets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HDX / WFP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Market metadata</w:t>
            </w:r>
          </w:p>
        </w:tc>
        <w:tc>
          <w:tcPr>
            <w:tcW w:type="dxa" w:w="4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market_id, admin1 (spatial join key)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External Debt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World Bank 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National → broadcast monthly</w:t>
            </w:r>
          </w:p>
        </w:tc>
        <w:tc>
          <w:tcPr>
            <w:tcW w:type="dxa" w:w="43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Debt total (DOD), Debt/GNI%, Debt service/exports%</w:t>
            </w:r>
          </w:p>
        </w:tc>
      </w:tr>
    </w:tbl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4. Methodology</w:t>
      </w:r>
    </w:p>
    <w:p>
      <w:pPr>
        <w:spacing w:after="24" w:before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4.1  Preprocessing Pipeline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Remove anomalous food price records (pre-1990); impute sparse commodity gaps via division-level forward-fill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Construct lag features: rfh_lag1–lag6 (1–6 month rainfall lags) for RQ1 &amp; RQ4; national monthly food price index for RQ2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Normalize food prices to USD/100 KG; StandardScaler applied before all ML models</w:t>
      </w:r>
    </w:p>
    <w:p>
      <w:pPr>
        <w:spacing w:after="24" w:before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4.2  Supervised Learning — Two Prediction Tasks</w:t>
      </w:r>
    </w:p>
    <w:p>
      <w:pPr>
        <w:spacing w:after="30" w:before="0"/>
        <w:jc w:val="both"/>
      </w:pPr>
      <w:r>
        <w:rPr>
          <w:rFonts w:ascii="Arial" w:cs="Arial" w:eastAsia="Arial" w:hAnsi="Arial"/>
          <w:sz w:val="18"/>
          <w:szCs w:val="18"/>
        </w:rPr>
        <w:t xml:space="preserve">Three algorithms applied to both tasks (Rainfall → Food Prices; Food Prices → Debt). 10-fold cross-validation throughout; RMSE, MAE, R² reported for all models.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00"/>
        <w:gridCol w:w="356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Algorithm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Justification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Outputs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Linear Regression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Interpretable baseline; reveals predictor direction &amp; magnitude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Coefficients, RMSE, R²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Decision Tree Regressor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Captures non-linear thresholds (e.g. drought cutoffs); visualized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Tree diagram, depth 3–8, min_samples_split tuned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Random Forest Regressor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Ensemble variance reduction; feature importance ranking</w:t>
            </w:r>
          </w:p>
        </w:tc>
        <w:tc>
          <w:tcPr>
            <w:tcW w:type="dxa" w:w="35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n_estimators=100–300, OOB score, permutation importance</w:t>
            </w:r>
          </w:p>
        </w:tc>
      </w:tr>
    </w:tbl>
    <w:p>
      <w:pPr>
        <w:spacing w:after="24" w:before="6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4.3  Unsupervised Learning — K-Means Clustering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Unit of analysis:</w:t>
      </w:r>
      <w:r>
        <w:rPr>
          <w:rFonts w:ascii="Arial" w:cs="Arial" w:eastAsia="Arial" w:hAnsi="Arial"/>
          <w:sz w:val="18"/>
          <w:szCs w:val="18"/>
        </w:rPr>
        <w:t xml:space="preserve"> Division × year vectors (8 × 25 = 200). Features: annual rfq_anomaly, rice price deviation from division baseline, ext_debt_pct_gni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Optimal k:</w:t>
      </w:r>
      <w:r>
        <w:rPr>
          <w:rFonts w:ascii="Arial" w:cs="Arial" w:eastAsia="Arial" w:hAnsi="Arial"/>
          <w:sz w:val="18"/>
          <w:szCs w:val="18"/>
        </w:rPr>
        <w:t xml:space="preserve"> Elbow method (WCSS) + Silhouette score; expected k = 3–5. Hierarchical clustering as robustness check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Outputs:</w:t>
      </w:r>
      <w:r>
        <w:rPr>
          <w:rFonts w:ascii="Arial" w:cs="Arial" w:eastAsia="Arial" w:hAnsi="Arial"/>
          <w:sz w:val="18"/>
          <w:szCs w:val="18"/>
        </w:rPr>
        <w:t xml:space="preserve"> PCA biplot, cluster centroid heatmap, geographic choropleth by division; qualitative cluster labels (e.g., Climate-Stressed High-Risk, Favorable)</w:t>
      </w:r>
    </w:p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5. Technology Stack</w:t>
      </w:r>
    </w:p>
    <w:p>
      <w:pPr>
        <w:spacing w:after="28" w:before="0"/>
        <w:jc w:val="both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Data ingestion &amp; SQL joins:</w:t>
      </w:r>
      <w:r>
        <w:rPr>
          <w:rFonts w:ascii="Arial" w:cs="Arial" w:eastAsia="Arial" w:hAnsi="Arial"/>
          <w:sz w:val="18"/>
          <w:szCs w:val="18"/>
        </w:rPr>
        <w:t xml:space="preserve"> Apache Hadoop HDFS + Hive (dekadal aggregation, monthly averaging).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ML pipeline:</w:t>
      </w:r>
      <w:r>
        <w:rPr>
          <w:rFonts w:ascii="Arial" w:cs="Arial" w:eastAsia="Arial" w:hAnsi="Arial"/>
          <w:sz w:val="18"/>
          <w:szCs w:val="18"/>
        </w:rPr>
        <w:t xml:space="preserve"> Python 3 / Google Colab — pandas, numpy, scikit-learn, statsmodels, matplotlib, seaborn, folium.</w:t>
      </w:r>
    </w:p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6. Expected Outputs and Contribution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A clean, documented merged dataset (2,400+ rows, 15 columns) made available via GitHub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Cross-validated ML models with RMSE, R², and feature importance for both prediction tasks; lag sensitivity chart for RQ4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K-Means risk clusters with qualitative interpretation and division-level choropleth visualization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Publication path:</w:t>
      </w:r>
      <w:r>
        <w:rPr>
          <w:rFonts w:ascii="Arial" w:cs="Arial" w:eastAsia="Arial" w:hAnsi="Arial"/>
          <w:sz w:val="18"/>
          <w:szCs w:val="18"/>
        </w:rPr>
        <w:t xml:space="preserve"> With addition of Granger causality and ADF unit-root tests, the paper targets Food Policy, Environmental Science &amp; Policy, or Climate Risk Management (Q2–Q3 journals)</w:t>
      </w:r>
    </w:p>
    <w:p>
      <w:pPr>
        <w:pBdr>
          <w:bottom w:val="single" w:color="1F4E79" w:sz="5" w:space="3"/>
        </w:pBdr>
        <w:spacing w:after="40" w:before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7. Limitations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External debt has many drivers beyond food prices (infrastructure loans, remittances, RMG exports); results are framed as associations, not causal claims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Food price coverage is uneven before 2006 (Mymensingh &amp; Rangpur from 2020 only); findings stratified by data-rich vs. data-sparse divisions</w:t>
      </w:r>
    </w:p>
    <w:p>
      <w:pPr>
        <w:pStyle w:val="ListParagraph"/>
        <w:numPr>
          <w:ilvl w:val="0"/>
          <w:numId w:val="2"/>
        </w:numPr>
        <w:spacing w:after="22" w:before="0"/>
      </w:pPr>
      <w:r>
        <w:rPr>
          <w:rFonts w:ascii="Arial" w:cs="Arial" w:eastAsia="Arial" w:hAnsi="Arial"/>
          <w:sz w:val="18"/>
          <w:szCs w:val="18"/>
        </w:rPr>
        <w:t xml:space="preserve">K-Means assumes spherical clusters and is initialization-sensitive; hierarchical clustering applied as robustness check</w:t>
      </w:r>
    </w:p>
    <w:p>
      <w:pPr>
        <w:pBdr>
          <w:top w:val="single" w:color="1F4E79" w:sz="4" w:space="5"/>
        </w:pBdr>
        <w:spacing w:after="0" w:before="6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MITM 431 Big Data Analytics  |  Submitted for Approval  |  May 2026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2"/>
        <w:ind w:left="440" w:hanging="220"/>
      </w:pPr>
    </w:lvl>
    <w:lvl w:ilvl="1" w15:tentative="1">
      <w:start w:val="1"/>
      <w:numFmt w:val="bullet"/>
      <w:lvlText w:val="◦"/>
      <w:lvlJc w:val="left"/>
      <w:pPr>
        <w:spacing w:after="18"/>
        <w:ind w:left="7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2026-05-16T18:01:16.737Z</dcterms:created>
  <dcterms:modified xsi:type="dcterms:W3CDTF">2026-05-16T18:01:16.752Z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