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18" w:rsidRDefault="00E43F18" w:rsidP="007E6F6A">
      <w:pPr>
        <w:jc w:val="center"/>
        <w:rPr>
          <w:b/>
          <w:sz w:val="56"/>
          <w:szCs w:val="56"/>
          <w:u w:val="single"/>
        </w:rPr>
      </w:pPr>
      <w:r>
        <w:rPr>
          <w:b/>
          <w:sz w:val="56"/>
          <w:szCs w:val="56"/>
          <w:u w:val="single"/>
        </w:rPr>
        <w:t>MBR – MASTER BOOT RECORD</w:t>
      </w:r>
    </w:p>
    <w:p w:rsidR="00E43F18" w:rsidRDefault="00E43F18" w:rsidP="007E6F6A">
      <w:pPr>
        <w:jc w:val="center"/>
      </w:pPr>
      <w:r>
        <w:t>Para visualizarmos no HxD Hex Editor, devemos abrir o dispositivo, como mostrado na figura abaixo. Usando a opção: Discos Físicos</w:t>
      </w:r>
    </w:p>
    <w:p w:rsidR="00E43F18" w:rsidRDefault="00E43F18" w:rsidP="007E6F6A">
      <w:pPr>
        <w:jc w:val="center"/>
      </w:pPr>
      <w:r>
        <w:rPr>
          <w:noProof/>
          <w:lang w:eastAsia="pt-BR"/>
        </w:rPr>
        <w:drawing>
          <wp:inline distT="0" distB="0" distL="0" distR="0">
            <wp:extent cx="9863799" cy="4879497"/>
            <wp:effectExtent l="19050" t="0" r="4101"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870785" cy="4882953"/>
                    </a:xfrm>
                    <a:prstGeom prst="rect">
                      <a:avLst/>
                    </a:prstGeom>
                    <a:noFill/>
                    <a:ln w="9525">
                      <a:noFill/>
                      <a:miter lim="800000"/>
                      <a:headEnd/>
                      <a:tailEnd/>
                    </a:ln>
                  </pic:spPr>
                </pic:pic>
              </a:graphicData>
            </a:graphic>
          </wp:inline>
        </w:drawing>
      </w:r>
    </w:p>
    <w:p w:rsidR="00E43F18" w:rsidRDefault="00E43F18" w:rsidP="007E6F6A">
      <w:pPr>
        <w:jc w:val="center"/>
      </w:pPr>
      <w:r>
        <w:t>Olhando para o primeiro setor (MBR), temos o seguinte:</w:t>
      </w:r>
    </w:p>
    <w:p w:rsidR="00E43F18" w:rsidRDefault="00E43F18" w:rsidP="007E6F6A">
      <w:pPr>
        <w:jc w:val="center"/>
      </w:pPr>
      <w:r>
        <w:rPr>
          <w:noProof/>
          <w:lang w:eastAsia="pt-BR"/>
        </w:rPr>
        <w:drawing>
          <wp:inline distT="0" distB="0" distL="0" distR="0">
            <wp:extent cx="9945588" cy="4919958"/>
            <wp:effectExtent l="1905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953334" cy="4923790"/>
                    </a:xfrm>
                    <a:prstGeom prst="rect">
                      <a:avLst/>
                    </a:prstGeom>
                    <a:noFill/>
                    <a:ln w="9525">
                      <a:noFill/>
                      <a:miter lim="800000"/>
                      <a:headEnd/>
                      <a:tailEnd/>
                    </a:ln>
                  </pic:spPr>
                </pic:pic>
              </a:graphicData>
            </a:graphic>
          </wp:inline>
        </w:drawing>
      </w:r>
    </w:p>
    <w:p w:rsidR="00E43F18" w:rsidRDefault="00E43F18" w:rsidP="007E6F6A">
      <w:pPr>
        <w:jc w:val="center"/>
        <w:rPr>
          <w:color w:val="FF0000"/>
        </w:rPr>
      </w:pPr>
      <w:r>
        <w:rPr>
          <w:b/>
          <w:color w:val="FF0000"/>
        </w:rPr>
        <w:t xml:space="preserve">OBS: </w:t>
      </w:r>
      <w:r>
        <w:rPr>
          <w:color w:val="FF0000"/>
        </w:rPr>
        <w:t>Ao formatar o PenDrive ou um HD – (D:), dentro do Windows 7, ele não ativa a partição. Dessa forma ela não possibilita o boot. Para isso o OFFSET 1Beh deve ser = 80h</w:t>
      </w:r>
    </w:p>
    <w:p w:rsidR="00E43F18" w:rsidRDefault="00E43F18" w:rsidP="007E6F6A">
      <w:pPr>
        <w:jc w:val="center"/>
      </w:pPr>
      <w:r>
        <w:t>Abaixo a figura mostra em detalhe os bytes mais significativos da MBR</w:t>
      </w:r>
    </w:p>
    <w:p w:rsidR="00E43F18" w:rsidRDefault="00E43F18" w:rsidP="007E6F6A">
      <w:pPr>
        <w:jc w:val="center"/>
      </w:pPr>
      <w:r>
        <w:t>Outro detalhe:</w:t>
      </w:r>
    </w:p>
    <w:p w:rsidR="00E43F18" w:rsidRPr="00E43F18" w:rsidRDefault="00E43F18" w:rsidP="007E6F6A">
      <w:pPr>
        <w:jc w:val="center"/>
      </w:pPr>
      <w:r w:rsidRPr="00E43F18">
        <w:rPr>
          <w:color w:val="000000"/>
        </w:rPr>
        <w:t>Following the initial JMP instruction OEM ID is an 8–Bit Field that is reserved by Microsoft for OEM Identification. The OEM ID describes the program that created the boot record. This is often "</w:t>
      </w:r>
      <w:r w:rsidRPr="00E43F18">
        <w:rPr>
          <w:rStyle w:val="Forte"/>
          <w:color w:val="000000"/>
        </w:rPr>
        <w:t>MSWIN4.0</w:t>
      </w:r>
      <w:r w:rsidRPr="00E43F18">
        <w:rPr>
          <w:color w:val="000000"/>
        </w:rPr>
        <w:t>" for Windows 95/98/ME, "</w:t>
      </w:r>
      <w:r w:rsidRPr="00E43F18">
        <w:rPr>
          <w:rStyle w:val="Forte"/>
          <w:color w:val="000000"/>
        </w:rPr>
        <w:t>IBM 20.0</w:t>
      </w:r>
      <w:r w:rsidRPr="00E43F18">
        <w:rPr>
          <w:color w:val="000000"/>
        </w:rPr>
        <w:t>" for OS/2 and "</w:t>
      </w:r>
      <w:r w:rsidRPr="00E43F18">
        <w:rPr>
          <w:rStyle w:val="Forte"/>
          <w:color w:val="000000"/>
        </w:rPr>
        <w:t>MSDOS5.0</w:t>
      </w:r>
      <w:r w:rsidRPr="00E43F18">
        <w:rPr>
          <w:color w:val="000000"/>
        </w:rPr>
        <w:t>" for MS-DOS 4.0 and later.</w:t>
      </w:r>
    </w:p>
    <w:p w:rsidR="00E43F18" w:rsidRPr="00E43F18" w:rsidRDefault="00E43F18" w:rsidP="007E6F6A">
      <w:pPr>
        <w:jc w:val="center"/>
      </w:pPr>
      <w:r>
        <w:rPr>
          <w:noProof/>
          <w:lang w:eastAsia="pt-BR"/>
        </w:rPr>
        <w:lastRenderedPageBreak/>
        <w:drawing>
          <wp:inline distT="0" distB="0" distL="0" distR="0">
            <wp:extent cx="9945586" cy="4919957"/>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9949165" cy="4921728"/>
                    </a:xfrm>
                    <a:prstGeom prst="rect">
                      <a:avLst/>
                    </a:prstGeom>
                    <a:noFill/>
                    <a:ln w="9525">
                      <a:noFill/>
                      <a:miter lim="800000"/>
                      <a:headEnd/>
                      <a:tailEnd/>
                    </a:ln>
                  </pic:spPr>
                </pic:pic>
              </a:graphicData>
            </a:graphic>
          </wp:inline>
        </w:drawing>
      </w:r>
    </w:p>
    <w:p w:rsidR="003D6C69" w:rsidRPr="00E43F18" w:rsidRDefault="003D6C69" w:rsidP="007E6F6A">
      <w:pPr>
        <w:jc w:val="center"/>
      </w:pPr>
    </w:p>
    <w:p w:rsidR="003A4330" w:rsidRPr="00A94B28" w:rsidRDefault="00555A1C" w:rsidP="007E6F6A">
      <w:pPr>
        <w:jc w:val="center"/>
        <w:rPr>
          <w:b/>
          <w:sz w:val="56"/>
          <w:szCs w:val="56"/>
          <w:u w:val="single"/>
        </w:rPr>
      </w:pPr>
      <w:r w:rsidRPr="00A94B28">
        <w:rPr>
          <w:b/>
          <w:sz w:val="56"/>
          <w:szCs w:val="56"/>
          <w:u w:val="single"/>
        </w:rPr>
        <w:t>FAT 32</w:t>
      </w:r>
    </w:p>
    <w:p w:rsidR="00555A1C" w:rsidRDefault="00555A1C" w:rsidP="007E6F6A">
      <w:pPr>
        <w:jc w:val="center"/>
      </w:pPr>
      <w:r>
        <w:t>Um breve</w:t>
      </w:r>
      <w:r w:rsidR="00E43F18">
        <w:t xml:space="preserve"> descritivo para inicialização </w:t>
      </w:r>
      <w:r>
        <w:t>do HD, utilizando a FAT 32.</w:t>
      </w:r>
    </w:p>
    <w:p w:rsidR="00555A1C" w:rsidRDefault="00555A1C" w:rsidP="007E6F6A">
      <w:pPr>
        <w:jc w:val="center"/>
      </w:pPr>
      <w:r>
        <w:t>Diferentemente do que acontece no Floppy, onde o Mater Boot Record (MBR – Setor 0) contém o código de inicialização do sistema e logo no setor 1, temos a FAT.</w:t>
      </w:r>
    </w:p>
    <w:p w:rsidR="00555A1C" w:rsidRDefault="00555A1C" w:rsidP="007E6F6A">
      <w:pPr>
        <w:jc w:val="center"/>
      </w:pPr>
      <w:r>
        <w:t>No HD, com FAT 32, temos um cenário um pouco diferente. Como mostrado abaixo:</w:t>
      </w:r>
    </w:p>
    <w:p w:rsidR="00555A1C" w:rsidRDefault="00555A1C" w:rsidP="007E6F6A">
      <w:pPr>
        <w:jc w:val="center"/>
      </w:pPr>
      <w:r>
        <w:t>Setor 0: MBR – Usando FDISK.COM, ele calcula o tamanho do disco, reserva setores para controles internos, como: FAT, Cópia da FAT, Setores Ocultos, Diretório Raíz e informa espaço dispoinível em disco, desconsiderando esses setores.</w:t>
      </w:r>
    </w:p>
    <w:p w:rsidR="00555A1C" w:rsidRDefault="00555A1C" w:rsidP="007E6F6A">
      <w:pPr>
        <w:jc w:val="center"/>
      </w:pPr>
      <w:r>
        <w:t>Setor N: Setor de Inicialização – Usando o FORMAT.COM, ele lê os dados do MBR e configura o disco para utilização do sistema com o código de inicialização, FAT e Diretório Raiz.</w:t>
      </w: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7E6F6A" w:rsidRDefault="007E6F6A" w:rsidP="007E6F6A">
      <w:pPr>
        <w:jc w:val="center"/>
      </w:pPr>
    </w:p>
    <w:p w:rsidR="00555A1C" w:rsidRDefault="00555A1C" w:rsidP="007E6F6A">
      <w:pPr>
        <w:jc w:val="center"/>
      </w:pPr>
      <w:r>
        <w:lastRenderedPageBreak/>
        <w:t>Layout do Disco:</w:t>
      </w:r>
    </w:p>
    <w:p w:rsidR="00555A1C" w:rsidRDefault="002C4D97" w:rsidP="007E6F6A">
      <w:pPr>
        <w:jc w:val="center"/>
      </w:pPr>
      <w:r>
        <w:rPr>
          <w:noProof/>
          <w:lang w:eastAsia="pt-BR"/>
        </w:rPr>
        <w:drawing>
          <wp:inline distT="0" distB="0" distL="0" distR="0">
            <wp:extent cx="4765040" cy="666496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765040" cy="6664960"/>
                    </a:xfrm>
                    <a:prstGeom prst="rect">
                      <a:avLst/>
                    </a:prstGeom>
                    <a:noFill/>
                    <a:ln w="9525">
                      <a:noFill/>
                      <a:miter lim="800000"/>
                      <a:headEnd/>
                      <a:tailEnd/>
                    </a:ln>
                  </pic:spPr>
                </pic:pic>
              </a:graphicData>
            </a:graphic>
          </wp:inline>
        </w:drawing>
      </w:r>
    </w:p>
    <w:p w:rsidR="003D74A4" w:rsidRDefault="003D74A4" w:rsidP="007E6F6A">
      <w:pPr>
        <w:jc w:val="center"/>
      </w:pPr>
      <w:r>
        <w:t>Para encontrarmos os setores N, devemos seguir os seguintes cálculos:</w:t>
      </w:r>
    </w:p>
    <w:p w:rsidR="003D74A4" w:rsidRDefault="003D74A4" w:rsidP="007E6F6A">
      <w:pPr>
        <w:jc w:val="center"/>
      </w:pPr>
      <w:r>
        <w:rPr>
          <w:noProof/>
          <w:lang w:eastAsia="pt-BR"/>
        </w:rPr>
        <w:drawing>
          <wp:inline distT="0" distB="0" distL="0" distR="0">
            <wp:extent cx="5848227" cy="2435703"/>
            <wp:effectExtent l="19050" t="0" r="123"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854309" cy="2438236"/>
                    </a:xfrm>
                    <a:prstGeom prst="rect">
                      <a:avLst/>
                    </a:prstGeom>
                    <a:noFill/>
                    <a:ln w="9525">
                      <a:noFill/>
                      <a:miter lim="800000"/>
                      <a:headEnd/>
                      <a:tailEnd/>
                    </a:ln>
                  </pic:spPr>
                </pic:pic>
              </a:graphicData>
            </a:graphic>
          </wp:inline>
        </w:drawing>
      </w:r>
    </w:p>
    <w:p w:rsidR="003D74A4" w:rsidRDefault="003D74A4" w:rsidP="007E6F6A">
      <w:pPr>
        <w:jc w:val="center"/>
      </w:pPr>
      <w:r>
        <w:t>Usando o Bios Parameter Block, para explicar os cálculos acima, fica assim:</w:t>
      </w:r>
    </w:p>
    <w:p w:rsidR="003D74A4" w:rsidRPr="00854686" w:rsidRDefault="003D74A4" w:rsidP="007E6F6A">
      <w:pPr>
        <w:jc w:val="center"/>
        <w:rPr>
          <w:lang w:val="en-US"/>
        </w:rPr>
      </w:pPr>
      <w:r w:rsidRPr="00854686">
        <w:rPr>
          <w:lang w:val="en-US"/>
        </w:rPr>
        <w:t>bpbHiddenSectors</w:t>
      </w:r>
      <w:r w:rsidRPr="00854686">
        <w:rPr>
          <w:lang w:val="en-US"/>
        </w:rPr>
        <w:tab/>
        <w:t>DD</w:t>
      </w:r>
      <w:r w:rsidRPr="00854686">
        <w:rPr>
          <w:lang w:val="en-US"/>
        </w:rPr>
        <w:tab/>
        <w:t xml:space="preserve">0000003Fh </w:t>
      </w:r>
      <w:r w:rsidRPr="00854686">
        <w:rPr>
          <w:lang w:val="en-US"/>
        </w:rPr>
        <w:tab/>
        <w:t xml:space="preserve">- </w:t>
      </w:r>
      <w:r w:rsidRPr="00854686">
        <w:rPr>
          <w:lang w:val="en-US"/>
        </w:rPr>
        <w:tab/>
        <w:t>Start Partition</w:t>
      </w:r>
    </w:p>
    <w:p w:rsidR="003D74A4" w:rsidRPr="00854686" w:rsidRDefault="003D74A4" w:rsidP="007E6F6A">
      <w:pPr>
        <w:jc w:val="center"/>
        <w:rPr>
          <w:lang w:val="en-US"/>
        </w:rPr>
      </w:pPr>
      <w:r w:rsidRPr="00854686">
        <w:rPr>
          <w:lang w:val="en-US"/>
        </w:rPr>
        <w:t xml:space="preserve">bpbReservedSectors      DW </w:t>
      </w:r>
      <w:r w:rsidRPr="00854686">
        <w:rPr>
          <w:lang w:val="en-US"/>
        </w:rPr>
        <w:tab/>
        <w:t xml:space="preserve">         0020h</w:t>
      </w:r>
    </w:p>
    <w:p w:rsidR="003D74A4" w:rsidRDefault="003D74A4" w:rsidP="007E6F6A">
      <w:pPr>
        <w:jc w:val="center"/>
      </w:pPr>
      <w:r>
        <w:t xml:space="preserve">bsSectorsPerFAT32         </w:t>
      </w:r>
      <w:r w:rsidRPr="003D74A4">
        <w:t>DD        000007Feh</w:t>
      </w:r>
    </w:p>
    <w:p w:rsidR="003D74A4" w:rsidRDefault="003D74A4" w:rsidP="007E6F6A">
      <w:pPr>
        <w:jc w:val="center"/>
      </w:pPr>
      <w:r>
        <w:t>Os dois primeiros números são fixos para discos testados até 8GB.</w:t>
      </w:r>
    </w:p>
    <w:p w:rsidR="003D74A4" w:rsidRDefault="003D74A4" w:rsidP="007E6F6A">
      <w:pPr>
        <w:jc w:val="center"/>
      </w:pPr>
      <w:r>
        <w:t>O terceiro varia de acordo com o tamanho do disco.</w:t>
      </w:r>
    </w:p>
    <w:p w:rsidR="003D74A4" w:rsidRDefault="003D74A4" w:rsidP="007E6F6A">
      <w:pPr>
        <w:jc w:val="center"/>
      </w:pPr>
      <w:r>
        <w:t>O processo de boot é o mesmo para FAT 12.</w:t>
      </w:r>
    </w:p>
    <w:p w:rsidR="003D74A4" w:rsidRDefault="003D74A4" w:rsidP="007E6F6A">
      <w:pPr>
        <w:jc w:val="center"/>
      </w:pPr>
      <w:r>
        <w:t>Encontro</w:t>
      </w:r>
      <w:r w:rsidR="009E6BE9">
        <w:t xml:space="preserve"> o arquivo no diretório rai</w:t>
      </w:r>
      <w:r>
        <w:t>z, leio o WORD 1Ah, 1bh, para pegar o cluster inicial</w:t>
      </w:r>
    </w:p>
    <w:p w:rsidR="003D74A4" w:rsidRDefault="00854686" w:rsidP="007E6F6A">
      <w:pPr>
        <w:jc w:val="center"/>
      </w:pPr>
      <w:r>
        <w:rPr>
          <w:noProof/>
          <w:lang w:eastAsia="pt-BR"/>
        </w:rPr>
        <w:lastRenderedPageBreak/>
        <w:drawing>
          <wp:inline distT="0" distB="0" distL="0" distR="0">
            <wp:extent cx="7514635" cy="5788108"/>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513788" cy="5787455"/>
                    </a:xfrm>
                    <a:prstGeom prst="rect">
                      <a:avLst/>
                    </a:prstGeom>
                    <a:noFill/>
                    <a:ln w="9525">
                      <a:noFill/>
                      <a:miter lim="800000"/>
                      <a:headEnd/>
                      <a:tailEnd/>
                    </a:ln>
                  </pic:spPr>
                </pic:pic>
              </a:graphicData>
            </a:graphic>
          </wp:inline>
        </w:drawing>
      </w:r>
    </w:p>
    <w:p w:rsidR="00A94B28" w:rsidRDefault="00A94B28" w:rsidP="007E6F6A">
      <w:pPr>
        <w:jc w:val="center"/>
      </w:pPr>
    </w:p>
    <w:p w:rsidR="00314A82" w:rsidRDefault="00314A82" w:rsidP="007E6F6A">
      <w:pPr>
        <w:jc w:val="center"/>
      </w:pPr>
    </w:p>
    <w:p w:rsidR="00314A82" w:rsidRDefault="00314A82" w:rsidP="007E6F6A">
      <w:pPr>
        <w:jc w:val="center"/>
        <w:rPr>
          <w:lang w:val="en-US"/>
        </w:rPr>
      </w:pPr>
      <w:r w:rsidRPr="00314A82">
        <w:rPr>
          <w:lang w:val="en-US"/>
        </w:rPr>
        <w:t xml:space="preserve">Start of Partition + Number of Reserved Sectors + (Number of Sectors Per FAT * 2) + </w:t>
      </w:r>
      <w:r w:rsidR="003D6C69">
        <w:rPr>
          <w:lang w:val="en-US"/>
        </w:rPr>
        <w:t>Cluster Inicial</w:t>
      </w:r>
    </w:p>
    <w:p w:rsidR="00314A82" w:rsidRDefault="00314A82" w:rsidP="007E6F6A">
      <w:pPr>
        <w:jc w:val="center"/>
      </w:pPr>
      <w:r w:rsidRPr="00314A82">
        <w:t>A leitura Cluster a cluster, tamb</w:t>
      </w:r>
      <w:r>
        <w:t>ém segue como na FAT 12.</w:t>
      </w:r>
    </w:p>
    <w:p w:rsidR="00314A82" w:rsidRDefault="00314A82" w:rsidP="007E6F6A">
      <w:pPr>
        <w:jc w:val="center"/>
      </w:pPr>
      <w:r>
        <w:rPr>
          <w:noProof/>
          <w:lang w:eastAsia="pt-BR"/>
        </w:rPr>
        <w:drawing>
          <wp:inline distT="0" distB="0" distL="0" distR="0">
            <wp:extent cx="7555095" cy="5791479"/>
            <wp:effectExtent l="19050" t="0" r="77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555431" cy="5791736"/>
                    </a:xfrm>
                    <a:prstGeom prst="rect">
                      <a:avLst/>
                    </a:prstGeom>
                    <a:noFill/>
                    <a:ln w="9525">
                      <a:noFill/>
                      <a:miter lim="800000"/>
                      <a:headEnd/>
                      <a:tailEnd/>
                    </a:ln>
                  </pic:spPr>
                </pic:pic>
              </a:graphicData>
            </a:graphic>
          </wp:inline>
        </w:drawing>
      </w:r>
    </w:p>
    <w:p w:rsidR="009E6BE9" w:rsidRPr="009E6BE9" w:rsidRDefault="009E6BE9" w:rsidP="007E6F6A">
      <w:pPr>
        <w:jc w:val="center"/>
        <w:rPr>
          <w:lang w:val="en-US"/>
        </w:rPr>
      </w:pPr>
    </w:p>
    <w:p w:rsidR="00314A82" w:rsidRPr="009E6BE9" w:rsidRDefault="00314A82" w:rsidP="007E6F6A">
      <w:pPr>
        <w:jc w:val="center"/>
        <w:rPr>
          <w:lang w:val="en-US"/>
        </w:rPr>
      </w:pPr>
    </w:p>
    <w:sectPr w:rsidR="00314A82" w:rsidRPr="009E6BE9" w:rsidSect="007E6F6A">
      <w:pgSz w:w="16839" w:h="23814" w:code="8"/>
      <w:pgMar w:top="567" w:right="537"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08"/>
  <w:hyphenationZone w:val="425"/>
  <w:drawingGridHorizontalSpacing w:val="110"/>
  <w:displayHorizontalDrawingGridEvery w:val="2"/>
  <w:characterSpacingControl w:val="doNotCompress"/>
  <w:compat/>
  <w:rsids>
    <w:rsidRoot w:val="00555A1C"/>
    <w:rsid w:val="000C50FB"/>
    <w:rsid w:val="001A6239"/>
    <w:rsid w:val="002354B4"/>
    <w:rsid w:val="002C4D97"/>
    <w:rsid w:val="00314A82"/>
    <w:rsid w:val="003D6C69"/>
    <w:rsid w:val="003D74A4"/>
    <w:rsid w:val="00414D90"/>
    <w:rsid w:val="004B6249"/>
    <w:rsid w:val="00555A1C"/>
    <w:rsid w:val="007E6F6A"/>
    <w:rsid w:val="00854686"/>
    <w:rsid w:val="008E254C"/>
    <w:rsid w:val="009E6BE9"/>
    <w:rsid w:val="009F2E6A"/>
    <w:rsid w:val="00A82AC0"/>
    <w:rsid w:val="00A94B28"/>
    <w:rsid w:val="00D809E7"/>
    <w:rsid w:val="00E43F18"/>
    <w:rsid w:val="00FB0C5C"/>
    <w:rsid w:val="00FE29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5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55A1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55A1C"/>
    <w:rPr>
      <w:rFonts w:ascii="Tahoma" w:hAnsi="Tahoma" w:cs="Tahoma"/>
      <w:sz w:val="16"/>
      <w:szCs w:val="16"/>
    </w:rPr>
  </w:style>
  <w:style w:type="character" w:styleId="Forte">
    <w:name w:val="Strong"/>
    <w:basedOn w:val="Fontepargpadro"/>
    <w:uiPriority w:val="22"/>
    <w:qFormat/>
    <w:rsid w:val="00E43F1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347</Words>
  <Characters>1876</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12</cp:revision>
  <dcterms:created xsi:type="dcterms:W3CDTF">2018-12-05T16:14:00Z</dcterms:created>
  <dcterms:modified xsi:type="dcterms:W3CDTF">2018-12-19T17:58:00Z</dcterms:modified>
</cp:coreProperties>
</file>