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TENNESSEE ISLAMIC WILL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32"/>
        </w:rPr>
        <w:t>EXECUTION CHECKLIST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4"/>
        </w:rPr>
        <w:t>Zaid Altalib  ·  Davidson County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PHASE 1 — BEFORE THE SIGNING APPOINTMENT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Legal Review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Have the Will and Waiver reviewed by a Tennessee-licensed estate planning attorney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Fill in parents' full legal names in the distribution article of the Will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Name a specific Waqf organization for the Mosul bequest (Article VI)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Confirm daughters are minors if the guardian clause is to be active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Deed Review  (CRITICAL — $750,000 at stake)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Pull the home deed from Davidson County Register of Deeds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Identify deed type: JTWROS (auto to spouse) vs. Tenants in Common (passes through Will)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If JTWROS: consult attorney about re-titling as Tenants in Common for Fara'id compliance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Two Disinterested Witnesses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Both must be adults (18+) and NOT named as beneficiaries in this Will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Cannot be: Isra Brifkani, Ayah Altalib, Leena Altalib, parents, Zahra Brifkani, or Zeena Altalib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Both must attend the signing simultaneously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Notary Public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Locate a Notary in Davidson County (banks, UPS Store, County Clerk's office)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Schedule signing appointment with both witnesses and Notary present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PHASE 2 — SIGNING DAY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Zaid Altalib (Testator)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Bring government-issued photo ID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Sign the Will in the presence of both witnesses and the Notary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Initial every page (recommended best practice)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Sign the Self-Proving Affidavit before the Notary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Both Witnesses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Watch the Testator sign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Sign in the Testator's presence and in each other's presence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Print full legal name and current address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Notary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Administer oath for the Self-Proving Affidavit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All three (Testator + 2 witnesses) sign affidavit before Notary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Notary affixes official seal and signs with commission expiration date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Isra Brifkani — Elective Share Waiver (same appointment)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Isra Brifkani signs the Waiver of Elective Share before the Notary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Isra Brifkani had opportunity to review with independent legal counsel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Notary notarizes signature on the Waiver as a separate document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Store Waiver separately from the Will (but keep them together)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PHASE 3 — AFTER SIGNING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Document Storage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Store original Will + Waiver in a fireproof home safe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DO NOT store the original Will in a safe deposit box (may require probate to access)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Give Isra Brifkani a copy; tell her where the original is stored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Give a copy to your estate planning attorney for their file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Non-Probate Asset Updates  (complete within 30 days)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Update 401k beneficiary designations per Fara'id percentages (see Document 4)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Update life insurance beneficiary designations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Update any POD/TOD bank or investment account designations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Re-title home deed from JTWROS to Tenants in Common if applicable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PHASE 4 — ONGOING MAINTENANCE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Re-execute the Will after any of these events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Death of a named heir (father, mother, or either daughter)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Death or incapacity of Isra Brifkani, Zaid Brifkani, Zahra Brifkani, or Zeena Altalib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Birth of a new child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Marriage or divorce (Tennessee auto-revokes wills upon both)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Significant change in estate value (&gt;25%)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Completion of the Mosul Waqf transfer — update or remove Article VI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4"/>
        </w:rPr>
        <w:t>Routine</w:t>
      </w:r>
    </w:p>
    <w:p>
      <w:pPr>
        <w:pStyle w:val="ListBullet"/>
        <w:spacing w:after="40"/>
        <w:ind w:left="360"/>
      </w:pPr>
      <w:r>
        <w:rPr>
          <w:rFonts w:ascii="Times New Roman" w:hAnsi="Times New Roman"/>
          <w:b w:val="0"/>
          <w:i w:val="0"/>
          <w:sz w:val="24"/>
        </w:rPr>
        <w:t>Review the Will and all beneficiary designations every 3–5 years regardless of life events</w:t>
      </w:r>
    </w:p>
    <w:p>
      <w:pPr>
        <w:spacing w:before="120" w:after="120"/>
        <w:pBdr>
          <w:bottom w:val="single" w:sz="6" w:space="1" w:color="000000"/>
        </w:pBdr>
      </w:pP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26"/>
        </w:rPr>
        <w:t>TENNESSEE REQUIREMENTS —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Statute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Writing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Must be a written document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32-1-104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Testator Signature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Must sign in presence of both witnesses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32-1-104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Two Witnesses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Disinterested adults; sign in each other's presence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32-1-104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Self-Proving Affidavit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Notarized at signing; eliminates witness testimony at probate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32-1-104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Spousal Elective Share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Surviving spouse may claim 10–40% without waiver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31-4-101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Elective Share Waiver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Spouse signs voluntarily with fair financial disclosure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31-4-102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Year's Support Waiver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Included in Waiver document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30-2-102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Revocation — Marriage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Prior will auto-revoked upon remarriage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32-1-201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Revocation — Divorce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Ex-spouse provisions auto-revoked upon divorce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32-1-202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Guardianship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Will nomination honored under 'best interest' standard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36-6-106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No-Contest Clause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 terrorem clauses are enforceable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T.C.A. § 32-3-119</w:t>
            </w:r>
          </w:p>
        </w:tc>
      </w:tr>
    </w:tbl>
    <w:p>
      <w:pPr>
        <w:spacing w:before="120" w:after="120"/>
        <w:pBdr>
          <w:bottom w:val="single" w:sz="6" w:space="1" w:color="000000"/>
        </w:pBdr>
      </w:pPr>
    </w:p>
    <w:p>
      <w:pPr>
        <w:spacing w:before="0" w:after="120"/>
        <w:jc w:val="center"/>
      </w:pPr>
      <w:r>
        <w:rPr>
          <w:rFonts w:ascii="Times New Roman" w:hAnsi="Times New Roman"/>
          <w:b w:val="0"/>
          <w:i/>
          <w:sz w:val="20"/>
        </w:rPr>
        <w:t>This document was prepared with AI assistance and must be reviewed by a Tennessee-licensed estate planning attorney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