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Execução da primeira rodada no WinoBias</w:t>
      </w:r>
    </w:p>
    <w:p>
      <w:r>
        <w:t>Esta primeira rodada do núcleo experimental de Bias after Prompting (Sivakumar et al., 2025) avaliou se o padrão de viés medido intrinsecamente no modelo permanece associado às respostas após prompting. O recorte foi o WinoBias com o Mistral 7B Instruct v0.3, escolhido por permitir iniciar a reprodução local com um dos modelos menores usados no artigo. Foram comparadas as condições intrínseca, zero-shot e 3-shot. A rodada tem uma semente e serve para conferir o procedimento e localizar divergências antes das repetições previstas no estudo.</w:t>
      </w:r>
    </w:p>
    <w:p>
      <w:r>
        <w:t>Os dados foram preparados a partir do repositório oficial corefBias, no commit 0bce984dd081bbc10b0622f326727a024c607895. Seus oito arquivos contêm 3.168 frases, enquanto o artigo informa 3.160. Não foi aplicado um corte para fazer coincidir as contagens. A preparação também sinalizou 89 frases: 87 têm mais de um pronome anotado e duas mencionam uma terceira ocupação. Elas foram mantidas na rodada e identificadas para revisão. A implementação usa o primeiro pronome anotado e as duas primeiras ocupações distintas, uma convenção local que ainda precisa ser examinada nesses casos.</w:t>
      </w:r>
    </w:p>
    <w:p>
      <w:r>
        <w:t>O checkpoint e o tokenizer foram fixados na revisão 0d4b76e1efeb5eb6f6b5e757c79870472e04bd3a do repositório oficial da Mistral. Essa revisão é anterior à primeira versão pública do artigo, mas não há confirmação de que seja a revisão usada pelas autoras. A inferência ocorreu em contêiner Docker, com BF16 e sem quantização. Antes da rodada completa, um piloto de 24 frases conferiu carregamento, tokenização, geração e gravação das saídas.</w:t>
      </w:r>
    </w:p>
    <w:p>
      <w:r>
        <w:t>Na rodada completa, cada uma das 3.168 frases foi processada nas três condições, produzindo 9.504 registros sem erro de execução. Foram preservados os dados de entrada, os prompts efetivamente enviados, as saídas brutas, os hashes dos arquivos e do código, o ambiente e o monitoramento da GPU. O processo registrou cerca de 2 horas e 46 minutos; o maior uso observado pelo monitor foi de 15.188 MiB dos 16.311 MiB de VRAM disponíveis. Parte do modelo ficou na RAM por meio de offload.</w:t>
      </w:r>
    </w:p>
    <w:p>
      <w:r>
        <w:br w:type="page"/>
      </w:r>
    </w:p>
    <w:p>
      <w:r>
        <w:t>Após a inferência, as respostas foram reprocessadas sem nova chamada ao modelo. O artigo informa o critério de RPA para frases Type 2 e apresenta Unknown como resposta possível em exemplos ambíguos Type 1, mas não publica um algoritmo completo para interpretar respostas acompanhadas de explicação. Por isso, o parser adotado para O-SB e A-SB lê a ocupação escolhida na primeira linha não vazia; Unknown explícito não seleciona ocupação. Para RPA Type 2, ele exige que apenas uma ocupação candidata apareça no texto completo e que ela seja o referente correto. Essa escolha permanece identificada como convenção local. As saídas brutas e as métricas anteriores foram preservadas.</w:t>
      </w:r>
    </w:p>
    <w:p>
      <w:r>
        <w:t>Com esse parser, o RPA Type 2 foi de 85,04% na avaliação intrínseca e de 94,13% tanto no zero-shot quanto no 3-shot. O A-SB Type 1 foi de 46,35%, 41,09% e 40,79%, respectivamente; no Type 2, foi de 21,76%, 8,74% e 8,37%. A correlação de Pearson por ocupação entre o resultado intrínseco e cada condição com prompting foi de 0,9791 e 0,9795 no conjunto completo. São resultados descritivos de uma semente, sem teste de significância.</w:t>
      </w:r>
    </w:p>
    <w:p>
      <w:r>
        <w:t>A comparação inicial com a Tabela 1 do artigo mostrou diferença de 0,25 ponto percentual no RPA intrínseco do Mistral. No A-SB Type 1, a diferença foi de 7,60 pontos percentuais no zero-shot e de 4,74 pontos no 3-shot, com valores locais menores. Essa aproximação ou distância não permite concluir equivalência ou falha de reprodução: permanecem a diferença de contagem dos dados, os 89 casos sinalizados, as regras locais de normalização e parsing, os parâmetros de geração e a revisão exata do checkpoint usado pelas autoras.</w:t>
      </w:r>
    </w:p>
    <w:p>
      <w:r>
        <w:t>Os próximos passos são revisar as frases sinalizadas e as decisões de extração, conferir amostras de respostas e então executar as sementes adicionais nas condições com prompting. O pacote da rodada conserva o código usado na inferência dentro da pasta de resultados, além da versão atual do parser e do script de recálculo, para permitir distinguir geração de resposta e interpretação posterior.</w:t>
      </w:r>
    </w:p>
    <w:p>
      <w:r>
        <w:t>Fonte: Sivakumar et al. (2025), Bias after Prompting: Persistent Discrimination in Large Language Models, Findings of EMNLP 2025. https://aclanthology.org/2025.findings-emnlp.1008/</w:t>
      </w:r>
    </w:p>
    <w:sectPr w:rsidR="00FC693F" w:rsidRPr="0006063C" w:rsidSect="00034616">
      <w:pgSz w:w="12240" w:h="15840"/>
      <w:pgMar w:top="1224"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59"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contextualSpacing/>
    </w:pPr>
    <w:rPr>
      <w:rFonts w:asciiTheme="majorHAnsi" w:eastAsiaTheme="majorEastAsia" w:hAnsiTheme="majorHAnsi" w:cstheme="majorBidi" w:ascii="Arial" w:hAnsi="Arial"/>
      <w:b/>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