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Lacunas e decisões metodológicas da primeira rodada no WinoBias</w:t>
      </w:r>
    </w:p>
    <w:p>
      <w:r>
        <w:t>A primeira rodada local do núcleo WinoBias de Bias after Prompting avaliou o Mistral 7B Instruct v0.3 nas condições intrínseca, zero-shot e 3-shot. O artigo descreve a estrutura dessas condições, apresenta exemplos dos prompts e define as métricas principais. A execução ainda exigiu decisões que não puderam ser confirmadas no texto publicado nem nos códigos do WinoBias consultados. Este registro identifica essas decisões, seus possíveis efeitos e o que precisa ser revisto antes de interpretar a rodada como reprodução próxima do estudo.</w:t>
      </w:r>
    </w:p>
    <w:p>
      <w:r>
        <w:t>O artigo informa 3.160 frases de WinoBias. Os oito arquivos dev e test disponíveis no commit 0bce984dd081bbc10b0622f326727a024c607895 do repositório corefBias somam 3.168. Não foi encontrada, nas fontes consultadas para esta rodada, uma lista das oito frases que explicaria a diferença. Mantivemos as 3.168 frases, sem cortar exemplos para igualar o total publicado. Essa escolha altera os denominadores das métricas e impede uma comparação estritamente pareada com a Tabela 1. A identificação das oito frases permanece em aberto.</w:t>
      </w:r>
    </w:p>
    <w:p>
      <w:r>
        <w:t>Na preparação dos dados, 89 frases exigiram atenção: 87 contêm mais de um pronome anotado e duas mencionam uma terceira ocupação. Para tornar esses registros processáveis, foi escolhido o primeiro pronome marcado e foram consideradas as duas primeiras ocupações distintas da frase. As anotações e menções adicionais foram preservadas, e os 89 registros entraram na rodada. Essa regra não é apresentada pelo artigo para tais casos. Ela pode alterar a pergunta ou o conjunto de alternativas; por isso, os registros precisam de revisão manual. As métricas também conservam um recálculo de sensibilidade sem os casos sinalizados.</w:t>
      </w:r>
    </w:p>
    <w:p>
      <w:r>
        <w:t>O artigo nomeia os modelos avaliados, mas não identifica por SHA a revisão de pesos e tokenizer usada em cada resultado. Para o Mistral 7B Instruct v0.3, foi fixada a revisão oficial 0d4b76e1efeb5eb6f6b5e757c79870472e04bd3a, anterior à primeira versão pública do estudo. Os hashes dos shards de pesos foram conferidos com o histórico oficial. Isso documenta o checkpoint da rodada, mas não demonstra que ele coincide integralmente com o usado pelas autoras. A revisão exata do modelo original continua indeterminada.</w:t>
      </w:r>
    </w:p>
    <w:p>
      <w:r>
        <w:t>As Figuras 2 e 5 e o Apêndice A fornecem a estrutura das perguntas, os três exemplos de contexto e a orientação de embaralhar as alternativas. Esses elementos foram seguidos. A nossa implementação fixou o sorteio por frase com a semente 2026 e aplicou o chat template do tokenizer nas condições com prompting. O artigo não permite confirmar esse algoritmo de sorteio, a semente numérica, a aplicação do mesmo template nem a sequência final de tokens recebida pelo modelo. Essas escolhas podem afetar respostas mesmo quando a pergunta legível é semelhante.</w:t>
      </w:r>
    </w:p>
    <w:p>
      <w:r>
        <w:t>Para a condição intrínseca, a seção 3.2 orienta a comparação pela probabilidade logarítmica total dos tokens das ocupações candidatas. A implementação soma essas probabilidades sem normalizar pelo comprimento, tokenizando o prefixo e cada candidata em conjunto e rejeitando fronteiras de tokenização inconsistentes. A regra geral de pontuação vem do artigo; a forma exata de tokenizar e delimitar cada candidata é uma operacionalização nossa, registrada para auditoria.</w:t>
      </w:r>
    </w:p>
    <w:p>
      <w:r>
        <w:t>Na geração zero-shot e 3-shot, a rodada utilizou BF16, decodificação greedy, limite de 48 novos tokens, uma semente e offload parcial para a RAM. O artigo relata cinco sementes para resultados com prompting, mas não fornece os valores numéricos delas nem a configuração completa de geração que permitiria reproduzir as saídas exatamente. BF16 e o offload atenderam à capacidade da máquina local. O limite de resposta e as escolhas de geração podem influenciar a quantidade de respostas incompletas e as métricas derivadas.</w:t>
      </w:r>
    </w:p>
    <w:p>
      <w:r>
        <w:t>O parser é a principal decisão de pós-processamento. O artigo limita o RPA às frases Type 2 e considera correta a geração em que apenas o referente aparece no texto. Ele também mostra Unknown como resposta possível em exemplos ambíguos Type 1, mas não oferece um algoritmo completo para separar uma escolha da explicação que a acompanha. Na versão atual, O-SB e A-SB usam a ocupação explicitamente nomeada na primeira linha não vazia; Unknown ou uma linha sem ocupação única não seleciona profissão. Uma resposta composta apenas por A, B ou C tem a letra registrada, mas não é convertida automaticamente em ocupação selecionada. Para o RPA Type 2, exige-se que apenas uma ocupação candidata apareça no texto inteiro e que seja a correta. Essas regras são nossas e permanecem provisórias.</w:t>
      </w:r>
    </w:p>
    <w:p>
      <w:r>
        <w:t>O artigo define O-SB como a diferença entre taxas de seleção por gênero, A-SB como a média dos valores absolutos por ocupação e a correlação de Pearson entre os padrões intrínseco e pós-prompting. Para calcular essas grandezas, foi adotado como denominador de cada taxa o conjunto de frases do gênero correspondente em que a ocupação aparece como candidata. Respostas sem ocupação selecionada permanecem no denominador; falhas de execução são contadas separadamente. O cálculo de A-SB exige as 40 ocupações. Essas escolhas detalham uma fórmula operacional que não foi recuperada integralmente do artigo ou de código das autoras e devem ser conferidas antes de atribuir diferenças somente ao modelo.</w:t>
      </w:r>
    </w:p>
    <w:p>
      <w:r>
        <w:t>O parser foi revisto depois da inferência, sem gerar novas respostas. A primeira versão procurava Unknown e ocupações no texto inteiro; a revisão separou a ocupação escolhida das menções na justificativa. As respostas originais e os agregados anteriores foram preservados. Na rodada de uma semente, o RPA Type 2 permaneceu em 94,13% no zero-shot e no 3-shot; já o A-SB Type 1 no 3-shot passou de 41,04% para 40,79%. A alteração ilustra que a leitura das saídas também influencia o resultado, mesmo sem mudar o modelo ou os prompts.</w:t>
      </w:r>
    </w:p>
    <w:p>
      <w:r>
        <w:t>Esta rodada produziu 9.504 registros sem erro de execução, mas não reproduz a agregação sobre cinco sementes nem os testes de significância do artigo. As correlações calculadas são descritivas. Antes de ampliar o experimento, é necessário revisar as 89 frases sinalizadas e uma amostra das respostas, definir a política para alternativas indicadas apenas por letra, investigar a diferença de oito frases e congelar as regras de extração e contagem. Até lá, os números representam uma aproximação documentada sob convenções próprias, não a confirmação dos resultados publicados.</w:t>
      </w:r>
    </w:p>
    <w:p>
      <w:r>
        <w:t>Fontes: Sivakumar et al. (2025), Bias after Prompting: Persistent Discrimination in Large Language Models, seções 3.1 e 3.2, Figuras 2 e 5 e Apêndice A, https://aclanthology.org/2025.findings-emnlp.1008/; repositório corefBias, commit 0bce984dd081bbc10b0622f326727a024c607895, https://github.com/uclanlp/corefBias. O código, os manifestos e as saídas desta rodada estão no repositório residencia_run1_BAP.</w:t>
      </w:r>
    </w:p>
    <w:sectPr w:rsidR="00FC693F" w:rsidRPr="0006063C" w:rsidSect="00034616"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