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40"/>
        <w:jc w:val="center"/>
      </w:pPr>
      <w:r>
        <w:drawing>
          <wp:inline xmlns:a="http://schemas.openxmlformats.org/drawingml/2006/main" xmlns:pic="http://schemas.openxmlformats.org/drawingml/2006/picture">
            <wp:extent cx="1920240" cy="555859"/>
            <wp:docPr id="1" name="Picture 1"/>
            <wp:cNvGraphicFramePr>
              <a:graphicFrameLocks noChangeAspect="1"/>
            </wp:cNvGraphicFramePr>
            <a:graphic>
              <a:graphicData uri="http://schemas.openxmlformats.org/drawingml/2006/picture">
                <pic:pic>
                  <pic:nvPicPr>
                    <pic:cNvPr id="0" name="afro_logo.png"/>
                    <pic:cNvPicPr/>
                  </pic:nvPicPr>
                  <pic:blipFill>
                    <a:blip r:embed="rId12"/>
                    <a:stretch>
                      <a:fillRect/>
                    </a:stretch>
                  </pic:blipFill>
                  <pic:spPr>
                    <a:xfrm>
                      <a:off x="0" y="0"/>
                      <a:ext cx="1920240" cy="555859"/>
                    </a:xfrm>
                    <a:prstGeom prst="rect"/>
                  </pic:spPr>
                </pic:pic>
              </a:graphicData>
            </a:graphic>
          </wp:inline>
        </w:drawing>
      </w:r>
    </w:p>
    <w:p>
      <w:pPr>
        <w:spacing w:before="700" w:after="120"/>
        <w:jc w:val="center"/>
      </w:pPr>
      <w:r>
        <w:rPr>
          <w:rFonts w:ascii="Arial" w:hAnsi="Arial"/>
          <w:b/>
          <w:color w:val="2B2B2B"/>
          <w:sz w:val="68"/>
        </w:rPr>
        <w:t>AFRO HR</w:t>
      </w:r>
    </w:p>
    <w:p>
      <w:pPr>
        <w:spacing w:after="100"/>
        <w:jc w:val="center"/>
      </w:pPr>
      <w:r>
        <w:rPr>
          <w:rFonts w:ascii="Arial" w:hAnsi="Arial"/>
          <w:b/>
          <w:color w:val="F5A01B"/>
          <w:sz w:val="44"/>
        </w:rPr>
        <w:t>Enterprise System Solution Blueprint</w:t>
      </w:r>
    </w:p>
    <w:p>
      <w:pPr>
        <w:spacing w:after="560"/>
        <w:jc w:val="center"/>
      </w:pPr>
      <w:r>
        <w:rPr>
          <w:rFonts w:ascii="Arial" w:hAnsi="Arial"/>
          <w:b/>
          <w:color w:val="2B2B2B"/>
          <w:sz w:val="30"/>
        </w:rPr>
        <w:t>File 00 — Executive Overview, Vision, Objectives &amp; Scope</w:t>
      </w:r>
    </w:p>
    <w:tbl>
      <w:tblPr>
        <w:tblW w:type="auto" w:w="0"/>
        <w:jc w:val="center"/>
        <w:tblLayout w:type="fixed"/>
        <w:tblLook w:firstColumn="1" w:firstRow="1" w:lastColumn="0" w:lastRow="0" w:noHBand="0" w:noVBand="1" w:val="04A0"/>
      </w:tblPr>
      <w:tblGrid>
        <w:gridCol w:w="8352"/>
      </w:tblGrid>
      <w:tr>
        <w:trPr>
          <w:cantSplit/>
        </w:trPr>
        <w:tc>
          <w:tcPr>
            <w:tcW w:type="dxa" w:w="10166"/>
            <w:shd w:fill="F5A01B"/>
          </w:tcPr>
          <w:p>
            <w:r/>
          </w:p>
        </w:tc>
      </w:tr>
    </w:tbl>
    <w:p>
      <w:pPr>
        <w:spacing w:before="680" w:after="40"/>
        <w:jc w:val="center"/>
      </w:pPr>
      <w:r>
        <w:rPr>
          <w:rFonts w:ascii="Arial" w:hAnsi="Arial"/>
          <w:b/>
          <w:color w:val="666666"/>
          <w:sz w:val="24"/>
        </w:rPr>
        <w:t>Target-State Product Definition</w:t>
      </w:r>
    </w:p>
    <w:p>
      <w:pPr>
        <w:spacing w:after="360"/>
        <w:jc w:val="center"/>
      </w:pPr>
      <w:r>
        <w:rPr>
          <w:rFonts w:ascii="Arial" w:hAnsi="Arial"/>
          <w:color w:val="666666"/>
          <w:sz w:val="21"/>
        </w:rPr>
        <w:t>People &amp; Culture • Field Workforce • Payroll • Talent • Employee Services • Analytics • AI</w:t>
      </w:r>
    </w:p>
    <w:tbl>
      <w:tblPr>
        <w:tblW w:type="auto" w:w="0"/>
        <w:jc w:val="center"/>
        <w:tblLayout w:type="fixed"/>
        <w:tblLook w:firstColumn="1" w:firstRow="1" w:lastColumn="0" w:lastRow="0" w:noHBand="0" w:noVBand="1" w:val="04A0"/>
      </w:tblPr>
      <w:tblGrid>
        <w:gridCol w:w="2448"/>
        <w:gridCol w:w="5472"/>
      </w:tblGrid>
      <w:tr>
        <w:trPr>
          <w:cantSplit/>
        </w:trPr>
        <w:tc>
          <w:tcPr>
            <w:tcW w:type="dxa" w:w="5083"/>
            <w:shd w:fill="F3F0EA"/>
            <w:tcBorders>
              <w:bottom w:sz="2" w:val="single" w:color="DDD8CE"/>
            </w:tcBorders>
          </w:tcPr>
          <w:p>
            <w:r>
              <w:rPr>
                <w:rFonts w:ascii="Arial" w:hAnsi="Arial"/>
                <w:b/>
                <w:color w:val="2B2B2B"/>
                <w:sz w:val="18"/>
              </w:rPr>
              <w:t>Prepared for</w:t>
            </w:r>
          </w:p>
        </w:tc>
        <w:tc>
          <w:tcPr>
            <w:tcW w:type="dxa" w:w="5083"/>
            <w:tcBorders>
              <w:bottom w:sz="2" w:val="single" w:color="DDD8CE"/>
            </w:tcBorders>
          </w:tcPr>
          <w:p>
            <w:r>
              <w:rPr>
                <w:rFonts w:ascii="Arial" w:hAnsi="Arial"/>
                <w:color w:val="2B2B2B"/>
                <w:sz w:val="19"/>
              </w:rPr>
              <w:t>AFRO Group</w:t>
            </w:r>
          </w:p>
        </w:tc>
      </w:tr>
      <w:tr>
        <w:trPr>
          <w:cantSplit/>
        </w:trPr>
        <w:tc>
          <w:tcPr>
            <w:tcW w:type="dxa" w:w="5083"/>
            <w:shd w:fill="F3F0EA"/>
            <w:tcBorders>
              <w:bottom w:sz="2" w:val="single" w:color="DDD8CE"/>
            </w:tcBorders>
          </w:tcPr>
          <w:p>
            <w:r>
              <w:rPr>
                <w:rFonts w:ascii="Arial" w:hAnsi="Arial"/>
                <w:b/>
                <w:color w:val="2B2B2B"/>
                <w:sz w:val="18"/>
              </w:rPr>
              <w:t>Document ID</w:t>
            </w:r>
          </w:p>
        </w:tc>
        <w:tc>
          <w:tcPr>
            <w:tcW w:type="dxa" w:w="5083"/>
            <w:tcBorders>
              <w:bottom w:sz="2" w:val="single" w:color="DDD8CE"/>
            </w:tcBorders>
          </w:tcPr>
          <w:p>
            <w:r>
              <w:rPr>
                <w:rFonts w:ascii="Arial" w:hAnsi="Arial"/>
                <w:color w:val="2B2B2B"/>
                <w:sz w:val="19"/>
              </w:rPr>
              <w:t>AFRO-HR-SSB-00</w:t>
            </w:r>
          </w:p>
        </w:tc>
      </w:tr>
      <w:tr>
        <w:trPr>
          <w:cantSplit/>
        </w:trPr>
        <w:tc>
          <w:tcPr>
            <w:tcW w:type="dxa" w:w="5083"/>
            <w:shd w:fill="F3F0EA"/>
            <w:tcBorders>
              <w:bottom w:sz="2" w:val="single" w:color="DDD8CE"/>
            </w:tcBorders>
          </w:tcPr>
          <w:p>
            <w:r>
              <w:rPr>
                <w:rFonts w:ascii="Arial" w:hAnsi="Arial"/>
                <w:b/>
                <w:color w:val="2B2B2B"/>
                <w:sz w:val="18"/>
              </w:rPr>
              <w:t>Version / Status</w:t>
            </w:r>
          </w:p>
        </w:tc>
        <w:tc>
          <w:tcPr>
            <w:tcW w:type="dxa" w:w="5083"/>
            <w:tcBorders>
              <w:bottom w:sz="2" w:val="single" w:color="DDD8CE"/>
            </w:tcBorders>
          </w:tcPr>
          <w:p>
            <w:r>
              <w:rPr>
                <w:rFonts w:ascii="Arial" w:hAnsi="Arial"/>
                <w:color w:val="2B2B2B"/>
                <w:sz w:val="19"/>
              </w:rPr>
              <w:t>1.0 / Draft for Review</w:t>
            </w:r>
          </w:p>
        </w:tc>
      </w:tr>
      <w:tr>
        <w:trPr>
          <w:cantSplit/>
        </w:trPr>
        <w:tc>
          <w:tcPr>
            <w:tcW w:type="dxa" w:w="5083"/>
            <w:shd w:fill="F3F0EA"/>
            <w:tcBorders>
              <w:bottom w:sz="2" w:val="single" w:color="DDD8CE"/>
            </w:tcBorders>
          </w:tcPr>
          <w:p>
            <w:r>
              <w:rPr>
                <w:rFonts w:ascii="Arial" w:hAnsi="Arial"/>
                <w:b/>
                <w:color w:val="2B2B2B"/>
                <w:sz w:val="18"/>
              </w:rPr>
              <w:t>Date</w:t>
            </w:r>
          </w:p>
        </w:tc>
        <w:tc>
          <w:tcPr>
            <w:tcW w:type="dxa" w:w="5083"/>
            <w:tcBorders>
              <w:bottom w:sz="2" w:val="single" w:color="DDD8CE"/>
            </w:tcBorders>
          </w:tcPr>
          <w:p>
            <w:r>
              <w:rPr>
                <w:rFonts w:ascii="Arial" w:hAnsi="Arial"/>
                <w:color w:val="2B2B2B"/>
                <w:sz w:val="19"/>
              </w:rPr>
              <w:t>10 August 2026</w:t>
            </w:r>
          </w:p>
        </w:tc>
      </w:tr>
    </w:tbl>
    <w:p>
      <w:r>
        <w:br w:type="page"/>
      </w:r>
    </w:p>
    <w:p>
      <w:pPr>
        <w:pStyle w:val="Heading1"/>
        <w:keepNext/>
        <w:keepLines/>
        <w:spacing w:before="0" w:after="100" w:line="240" w:lineRule="auto"/>
      </w:pPr>
      <w:r>
        <w:rPr>
          <w:rFonts w:ascii="Arial" w:hAnsi="Arial"/>
          <w:b/>
          <w:color w:val="2B2B2B"/>
          <w:sz w:val="44"/>
        </w:rPr>
        <w:t>0. Document Control &amp; Source Basis</w:t>
      </w:r>
    </w:p>
    <w:tbl>
      <w:tblPr>
        <w:tblW w:type="auto" w:w="0"/>
        <w:jc w:val="left"/>
        <w:tblLayout w:type="fixed"/>
        <w:tblLook w:firstColumn="1" w:firstRow="1" w:lastColumn="0" w:lastRow="0" w:noHBand="0" w:noVBand="1" w:val="04A0"/>
      </w:tblPr>
      <w:tblGrid>
        <w:gridCol w:w="9648"/>
      </w:tblGrid>
      <w:tr>
        <w:trPr>
          <w:cantSplit/>
        </w:trPr>
        <w:tc>
          <w:tcPr>
            <w:tcW w:type="dxa" w:w="10166"/>
            <w:shd w:fill="F5A01B"/>
          </w:tcPr>
          <w:p>
            <w:r/>
          </w:p>
        </w:tc>
      </w:tr>
    </w:tbl>
    <w:p>
      <w:pPr>
        <w:spacing w:before="100" w:after="200" w:line="252" w:lineRule="auto"/>
      </w:pPr>
      <w:r>
        <w:rPr>
          <w:rFonts w:ascii="Arial" w:hAnsi="Arial"/>
          <w:i/>
          <w:color w:val="666666"/>
          <w:sz w:val="21"/>
        </w:rPr>
        <w:t>This file defines the executive-level target state. Detailed requirements are intentionally deferred to the subsequent blueprint files.</w:t>
      </w:r>
    </w:p>
    <w:p>
      <w:pPr>
        <w:pStyle w:val="Heading2"/>
        <w:keepNext/>
        <w:keepLines/>
        <w:spacing w:before="160" w:after="80" w:line="240" w:lineRule="auto"/>
      </w:pPr>
      <w:r>
        <w:rPr>
          <w:rFonts w:ascii="Arial" w:hAnsi="Arial"/>
          <w:b/>
          <w:color w:val="F5A01B"/>
          <w:sz w:val="28"/>
        </w:rPr>
        <w:t>Document Control</w:t>
      </w:r>
    </w:p>
    <w:tbl>
      <w:tblPr>
        <w:tblW w:type="auto" w:w="0"/>
        <w:jc w:val="center"/>
        <w:tblLayout w:type="fixed"/>
        <w:tblLook w:firstColumn="1" w:firstRow="1" w:lastColumn="0" w:lastRow="0" w:noHBand="0" w:noVBand="1" w:val="04A0"/>
      </w:tblPr>
      <w:tblGrid>
        <w:gridCol w:w="2232"/>
        <w:gridCol w:w="7416"/>
      </w:tblGrid>
      <w:tr>
        <w:trPr>
          <w:cantSplit/>
        </w:trPr>
        <w:tc>
          <w:tcPr>
            <w:tcW w:type="dxa" w:w="5083"/>
            <w:shd w:fill="F5A01B"/>
            <w:vAlign w:val="center"/>
          </w:tcPr>
          <w:p>
            <w:pPr>
              <w:spacing w:before="40" w:after="40" w:line="240" w:lineRule="auto"/>
              <w:jc w:val="left"/>
            </w:pPr>
            <w:r>
              <w:rPr>
                <w:rFonts w:ascii="Arial" w:hAnsi="Arial"/>
                <w:b/>
                <w:color w:val="2B2B2B"/>
                <w:sz w:val="18"/>
              </w:rPr>
              <w:t>Field</w:t>
            </w:r>
          </w:p>
        </w:tc>
        <w:tc>
          <w:tcPr>
            <w:tcW w:type="dxa" w:w="5083"/>
            <w:shd w:fill="F5A01B"/>
            <w:vAlign w:val="center"/>
          </w:tcPr>
          <w:p>
            <w:pPr>
              <w:spacing w:before="40" w:after="40" w:line="240" w:lineRule="auto"/>
              <w:jc w:val="left"/>
            </w:pPr>
            <w:r>
              <w:rPr>
                <w:rFonts w:ascii="Arial" w:hAnsi="Arial"/>
                <w:b/>
                <w:color w:val="2B2B2B"/>
                <w:sz w:val="18"/>
              </w:rPr>
              <w:t>Value</w:t>
            </w:r>
          </w:p>
        </w:tc>
      </w:tr>
      <w:tr>
        <w:trPr>
          <w:cantSplit/>
        </w:trPr>
        <w:tc>
          <w:tcPr>
            <w:tcW w:type="dxa" w:w="2232"/>
            <w:vAlign w:val="top"/>
            <w:tcBorders>
              <w:bottom w:sz="2" w:val="single" w:color="E3DED5"/>
            </w:tcBorders>
          </w:tcPr>
          <w:p>
            <w:pPr>
              <w:spacing w:before="40" w:after="40" w:line="240" w:lineRule="auto"/>
            </w:pPr>
            <w:r>
              <w:rPr>
                <w:rFonts w:ascii="Arial" w:hAnsi="Arial"/>
                <w:color w:val="2B2B2B"/>
                <w:sz w:val="18"/>
              </w:rPr>
              <w:t>Document Title</w:t>
            </w:r>
          </w:p>
        </w:tc>
        <w:tc>
          <w:tcPr>
            <w:tcW w:type="dxa" w:w="7416"/>
            <w:vAlign w:val="top"/>
            <w:tcBorders>
              <w:bottom w:sz="2" w:val="single" w:color="E3DED5"/>
            </w:tcBorders>
          </w:tcPr>
          <w:p>
            <w:pPr>
              <w:spacing w:before="40" w:after="40" w:line="240" w:lineRule="auto"/>
            </w:pPr>
            <w:r>
              <w:rPr>
                <w:rFonts w:ascii="Arial" w:hAnsi="Arial"/>
                <w:color w:val="2B2B2B"/>
                <w:sz w:val="18"/>
              </w:rPr>
              <w:t>AFRO HR — Enterprise System Solution Blueprint — File 00</w:t>
            </w:r>
          </w:p>
        </w:tc>
      </w:tr>
      <w:tr>
        <w:trPr>
          <w:cantSplit/>
        </w:trPr>
        <w:tc>
          <w:tcPr>
            <w:tcW w:type="dxa" w:w="2232"/>
            <w:shd w:fill="FAFAF8"/>
            <w:vAlign w:val="top"/>
            <w:tcBorders>
              <w:bottom w:sz="2" w:val="single" w:color="E3DED5"/>
            </w:tcBorders>
          </w:tcPr>
          <w:p>
            <w:pPr>
              <w:spacing w:before="40" w:after="40" w:line="240" w:lineRule="auto"/>
            </w:pPr>
            <w:r>
              <w:rPr>
                <w:rFonts w:ascii="Arial" w:hAnsi="Arial"/>
                <w:color w:val="2B2B2B"/>
                <w:sz w:val="18"/>
              </w:rPr>
              <w:t>Document ID</w:t>
            </w:r>
          </w:p>
        </w:tc>
        <w:tc>
          <w:tcPr>
            <w:tcW w:type="dxa" w:w="7416"/>
            <w:shd w:fill="FAFAF8"/>
            <w:vAlign w:val="top"/>
            <w:tcBorders>
              <w:bottom w:sz="2" w:val="single" w:color="E3DED5"/>
            </w:tcBorders>
          </w:tcPr>
          <w:p>
            <w:pPr>
              <w:spacing w:before="40" w:after="40" w:line="240" w:lineRule="auto"/>
            </w:pPr>
            <w:r>
              <w:rPr>
                <w:rFonts w:ascii="Arial" w:hAnsi="Arial"/>
                <w:color w:val="2B2B2B"/>
                <w:sz w:val="18"/>
              </w:rPr>
              <w:t>AFRO-HR-SSB-00</w:t>
            </w:r>
          </w:p>
        </w:tc>
      </w:tr>
      <w:tr>
        <w:trPr>
          <w:cantSplit/>
        </w:trPr>
        <w:tc>
          <w:tcPr>
            <w:tcW w:type="dxa" w:w="2232"/>
            <w:vAlign w:val="top"/>
            <w:tcBorders>
              <w:bottom w:sz="2" w:val="single" w:color="E3DED5"/>
            </w:tcBorders>
          </w:tcPr>
          <w:p>
            <w:pPr>
              <w:spacing w:before="40" w:after="40" w:line="240" w:lineRule="auto"/>
            </w:pPr>
            <w:r>
              <w:rPr>
                <w:rFonts w:ascii="Arial" w:hAnsi="Arial"/>
                <w:color w:val="2B2B2B"/>
                <w:sz w:val="18"/>
              </w:rPr>
              <w:t>Version</w:t>
            </w:r>
          </w:p>
        </w:tc>
        <w:tc>
          <w:tcPr>
            <w:tcW w:type="dxa" w:w="7416"/>
            <w:vAlign w:val="top"/>
            <w:tcBorders>
              <w:bottom w:sz="2" w:val="single" w:color="E3DED5"/>
            </w:tcBorders>
          </w:tcPr>
          <w:p>
            <w:pPr>
              <w:spacing w:before="40" w:after="40" w:line="240" w:lineRule="auto"/>
            </w:pPr>
            <w:r>
              <w:rPr>
                <w:rFonts w:ascii="Arial" w:hAnsi="Arial"/>
                <w:color w:val="2B2B2B"/>
                <w:sz w:val="18"/>
              </w:rPr>
              <w:t>1.0</w:t>
            </w:r>
          </w:p>
        </w:tc>
      </w:tr>
      <w:tr>
        <w:trPr>
          <w:cantSplit/>
        </w:trPr>
        <w:tc>
          <w:tcPr>
            <w:tcW w:type="dxa" w:w="2232"/>
            <w:shd w:fill="FAFAF8"/>
            <w:vAlign w:val="top"/>
            <w:tcBorders>
              <w:bottom w:sz="2" w:val="single" w:color="E3DED5"/>
            </w:tcBorders>
          </w:tcPr>
          <w:p>
            <w:pPr>
              <w:spacing w:before="40" w:after="40" w:line="240" w:lineRule="auto"/>
            </w:pPr>
            <w:r>
              <w:rPr>
                <w:rFonts w:ascii="Arial" w:hAnsi="Arial"/>
                <w:color w:val="2B2B2B"/>
                <w:sz w:val="18"/>
              </w:rPr>
              <w:t>Status</w:t>
            </w:r>
          </w:p>
        </w:tc>
        <w:tc>
          <w:tcPr>
            <w:tcW w:type="dxa" w:w="7416"/>
            <w:shd w:fill="FAFAF8"/>
            <w:vAlign w:val="top"/>
            <w:tcBorders>
              <w:bottom w:sz="2" w:val="single" w:color="E3DED5"/>
            </w:tcBorders>
          </w:tcPr>
          <w:p>
            <w:pPr>
              <w:spacing w:before="40" w:after="40" w:line="240" w:lineRule="auto"/>
            </w:pPr>
            <w:r>
              <w:rPr>
                <w:rFonts w:ascii="Arial" w:hAnsi="Arial"/>
                <w:color w:val="2B2B2B"/>
                <w:sz w:val="18"/>
              </w:rPr>
              <w:t>Draft for Review</w:t>
            </w:r>
          </w:p>
        </w:tc>
      </w:tr>
      <w:tr>
        <w:trPr>
          <w:cantSplit/>
        </w:trPr>
        <w:tc>
          <w:tcPr>
            <w:tcW w:type="dxa" w:w="2232"/>
            <w:vAlign w:val="top"/>
            <w:tcBorders>
              <w:bottom w:sz="2" w:val="single" w:color="E3DED5"/>
            </w:tcBorders>
          </w:tcPr>
          <w:p>
            <w:pPr>
              <w:spacing w:before="40" w:after="40" w:line="240" w:lineRule="auto"/>
            </w:pPr>
            <w:r>
              <w:rPr>
                <w:rFonts w:ascii="Arial" w:hAnsi="Arial"/>
                <w:color w:val="2B2B2B"/>
                <w:sz w:val="18"/>
              </w:rPr>
              <w:t>Primary Audience</w:t>
            </w:r>
          </w:p>
        </w:tc>
        <w:tc>
          <w:tcPr>
            <w:tcW w:type="dxa" w:w="7416"/>
            <w:vAlign w:val="top"/>
            <w:tcBorders>
              <w:bottom w:sz="2" w:val="single" w:color="E3DED5"/>
            </w:tcBorders>
          </w:tcPr>
          <w:p>
            <w:pPr>
              <w:spacing w:before="40" w:after="40" w:line="240" w:lineRule="auto"/>
            </w:pPr>
            <w:r>
              <w:rPr>
                <w:rFonts w:ascii="Arial" w:hAnsi="Arial"/>
                <w:color w:val="2B2B2B"/>
                <w:sz w:val="18"/>
              </w:rPr>
              <w:t>Executive Management, People &amp; Culture, IT, Program Team, Solution Design, Implementation Partners</w:t>
            </w:r>
          </w:p>
        </w:tc>
      </w:tr>
      <w:tr>
        <w:trPr>
          <w:cantSplit/>
        </w:trPr>
        <w:tc>
          <w:tcPr>
            <w:tcW w:type="dxa" w:w="2232"/>
            <w:shd w:fill="FAFAF8"/>
            <w:vAlign w:val="top"/>
            <w:tcBorders>
              <w:bottom w:sz="2" w:val="single" w:color="E3DED5"/>
            </w:tcBorders>
          </w:tcPr>
          <w:p>
            <w:pPr>
              <w:spacing w:before="40" w:after="40" w:line="240" w:lineRule="auto"/>
            </w:pPr>
            <w:r>
              <w:rPr>
                <w:rFonts w:ascii="Arial" w:hAnsi="Arial"/>
                <w:color w:val="2B2B2B"/>
                <w:sz w:val="18"/>
              </w:rPr>
              <w:t>Purpose</w:t>
            </w:r>
          </w:p>
        </w:tc>
        <w:tc>
          <w:tcPr>
            <w:tcW w:type="dxa" w:w="7416"/>
            <w:shd w:fill="FAFAF8"/>
            <w:vAlign w:val="top"/>
            <w:tcBorders>
              <w:bottom w:sz="2" w:val="single" w:color="E3DED5"/>
            </w:tcBorders>
          </w:tcPr>
          <w:p>
            <w:pPr>
              <w:spacing w:before="40" w:after="40" w:line="240" w:lineRule="auto"/>
            </w:pPr>
            <w:r>
              <w:rPr>
                <w:rFonts w:ascii="Arial" w:hAnsi="Arial"/>
                <w:color w:val="2B2B2B"/>
                <w:sz w:val="18"/>
              </w:rPr>
              <w:t>Define product vision, strategic objectives, high-level scope, system boundaries, success measures and design direction.</w:t>
            </w:r>
          </w:p>
        </w:tc>
      </w:tr>
      <w:tr>
        <w:trPr>
          <w:cantSplit/>
        </w:trPr>
        <w:tc>
          <w:tcPr>
            <w:tcW w:type="dxa" w:w="2232"/>
            <w:vAlign w:val="top"/>
            <w:tcBorders>
              <w:bottom w:sz="2" w:val="single" w:color="E3DED5"/>
            </w:tcBorders>
          </w:tcPr>
          <w:p>
            <w:pPr>
              <w:spacing w:before="40" w:after="40" w:line="240" w:lineRule="auto"/>
            </w:pPr>
            <w:r>
              <w:rPr>
                <w:rFonts w:ascii="Arial" w:hAnsi="Arial"/>
                <w:color w:val="2B2B2B"/>
                <w:sz w:val="18"/>
              </w:rPr>
              <w:t>Language</w:t>
            </w:r>
          </w:p>
        </w:tc>
        <w:tc>
          <w:tcPr>
            <w:tcW w:type="dxa" w:w="7416"/>
            <w:vAlign w:val="top"/>
            <w:tcBorders>
              <w:bottom w:sz="2" w:val="single" w:color="E3DED5"/>
            </w:tcBorders>
          </w:tcPr>
          <w:p>
            <w:pPr>
              <w:spacing w:before="40" w:after="40" w:line="240" w:lineRule="auto"/>
            </w:pPr>
            <w:r>
              <w:rPr>
                <w:rFonts w:ascii="Arial" w:hAnsi="Arial"/>
                <w:color w:val="2B2B2B"/>
                <w:sz w:val="18"/>
              </w:rPr>
              <w:t>English master version; the target product supports English, Arabic (RTL) and French.</w:t>
            </w:r>
          </w:p>
        </w:tc>
      </w:tr>
    </w:tbl>
    <w:p>
      <w:pPr>
        <w:pStyle w:val="Heading2"/>
        <w:keepNext/>
        <w:keepLines/>
        <w:spacing w:before="160" w:after="80" w:line="240" w:lineRule="auto"/>
      </w:pPr>
      <w:r>
        <w:rPr>
          <w:rFonts w:ascii="Arial" w:hAnsi="Arial"/>
          <w:b/>
          <w:color w:val="F5A01B"/>
          <w:sz w:val="28"/>
        </w:rPr>
        <w:t>Source Basis and Evidence Rule</w:t>
      </w:r>
    </w:p>
    <w:tbl>
      <w:tblPr>
        <w:tblW w:type="auto" w:w="0"/>
        <w:jc w:val="center"/>
        <w:tblLayout w:type="fixed"/>
        <w:tblLook w:firstColumn="1" w:firstRow="1" w:lastColumn="0" w:lastRow="0" w:noHBand="0" w:noVBand="1" w:val="04A0"/>
      </w:tblPr>
      <w:tblGrid>
        <w:gridCol w:w="9792"/>
      </w:tblGrid>
      <w:tr>
        <w:trPr>
          <w:cantSplit/>
        </w:trPr>
        <w:tc>
          <w:tcPr>
            <w:tcW w:type="dxa" w:w="10166"/>
            <w:shd w:fill="FFF6E6"/>
            <w:tcBorders>
              <w:top w:sz="4" w:val="single" w:color="E6E0D8"/>
              <w:left w:sz="14" w:val="single" w:color="F5A01B"/>
              <w:bottom w:sz="4" w:val="single" w:color="E6E0D8"/>
              <w:right w:sz="4" w:val="single" w:color="E6E0D8"/>
            </w:tcBorders>
          </w:tcPr>
          <w:p>
            <w:pPr>
              <w:spacing w:before="60" w:after="60" w:line="252" w:lineRule="auto"/>
            </w:pPr>
            <w:r>
              <w:rPr>
                <w:rFonts w:ascii="Arial" w:hAnsi="Arial"/>
                <w:b/>
                <w:color w:val="2B2B2B"/>
                <w:sz w:val="20"/>
              </w:rPr>
              <w:t xml:space="preserve">Current-state sources.  </w:t>
            </w:r>
            <w:r>
              <w:rPr>
                <w:rFonts w:ascii="Arial" w:hAnsi="Arial"/>
                <w:color w:val="2B2B2B"/>
                <w:sz w:val="19"/>
              </w:rPr>
              <w:t>The People &amp; Culture Operations Manual is treated as the authoritative source for the documented current workflows in hiring, onboarding, offboarding, payroll, allowances, KPI bonus and HR Operations. The People &amp; Culture organization chart is treated as the source for the current functional reporting structure.</w:t>
            </w:r>
          </w:p>
        </w:tc>
      </w:tr>
    </w:tbl>
    <w:p>
      <w:pPr>
        <w:spacing w:before="0" w:after="120" w:line="259" w:lineRule="auto"/>
      </w:pPr>
      <w:r>
        <w:rPr>
          <w:rFonts w:ascii="Arial" w:hAnsi="Arial"/>
          <w:color w:val="2B2B2B"/>
          <w:sz w:val="20"/>
        </w:rPr>
        <w:t>The target-state system described in this blueprint is broader than the two source documents. Where a capability is not explicitly documented in the source manual, it is presented as a target-state design requirement from the AFRO HR program rather than as a claim about the current operating process.</w:t>
      </w:r>
    </w:p>
    <w:p>
      <w:pPr>
        <w:pStyle w:val="Heading2"/>
        <w:keepNext/>
        <w:keepLines/>
        <w:spacing w:before="160" w:after="80" w:line="240" w:lineRule="auto"/>
      </w:pPr>
      <w:r>
        <w:rPr>
          <w:rFonts w:ascii="Arial" w:hAnsi="Arial"/>
          <w:b/>
          <w:color w:val="F5A01B"/>
          <w:sz w:val="28"/>
        </w:rPr>
        <w:t>Approval / Review Roles</w:t>
      </w:r>
    </w:p>
    <w:tbl>
      <w:tblPr>
        <w:tblW w:type="auto" w:w="0"/>
        <w:jc w:val="center"/>
        <w:tblLayout w:type="fixed"/>
        <w:tblLook w:firstColumn="1" w:firstRow="1" w:lastColumn="0" w:lastRow="0" w:noHBand="0" w:noVBand="1" w:val="04A0"/>
      </w:tblPr>
      <w:tblGrid>
        <w:gridCol w:w="2592"/>
        <w:gridCol w:w="5616"/>
        <w:gridCol w:w="1440"/>
      </w:tblGrid>
      <w:tr>
        <w:trPr>
          <w:cantSplit/>
        </w:trPr>
        <w:tc>
          <w:tcPr>
            <w:tcW w:type="dxa" w:w="3389"/>
            <w:shd w:fill="F5A01B"/>
            <w:vAlign w:val="center"/>
          </w:tcPr>
          <w:p>
            <w:pPr>
              <w:spacing w:before="40" w:after="40" w:line="240" w:lineRule="auto"/>
              <w:jc w:val="left"/>
            </w:pPr>
            <w:r>
              <w:rPr>
                <w:rFonts w:ascii="Arial" w:hAnsi="Arial"/>
                <w:b/>
                <w:color w:val="2B2B2B"/>
                <w:sz w:val="17"/>
              </w:rPr>
              <w:t>Role</w:t>
            </w:r>
          </w:p>
        </w:tc>
        <w:tc>
          <w:tcPr>
            <w:tcW w:type="dxa" w:w="3389"/>
            <w:shd w:fill="F5A01B"/>
            <w:vAlign w:val="center"/>
          </w:tcPr>
          <w:p>
            <w:pPr>
              <w:spacing w:before="40" w:after="40" w:line="240" w:lineRule="auto"/>
              <w:jc w:val="left"/>
            </w:pPr>
            <w:r>
              <w:rPr>
                <w:rFonts w:ascii="Arial" w:hAnsi="Arial"/>
                <w:b/>
                <w:color w:val="2B2B2B"/>
                <w:sz w:val="17"/>
              </w:rPr>
              <w:t>Review Focus</w:t>
            </w:r>
          </w:p>
        </w:tc>
        <w:tc>
          <w:tcPr>
            <w:tcW w:type="dxa" w:w="3389"/>
            <w:shd w:fill="F5A01B"/>
            <w:vAlign w:val="center"/>
          </w:tcPr>
          <w:p>
            <w:pPr>
              <w:spacing w:before="40" w:after="40" w:line="240" w:lineRule="auto"/>
              <w:jc w:val="left"/>
            </w:pPr>
            <w:r>
              <w:rPr>
                <w:rFonts w:ascii="Arial" w:hAnsi="Arial"/>
                <w:b/>
                <w:color w:val="2B2B2B"/>
                <w:sz w:val="17"/>
              </w:rPr>
              <w:t>Status</w:t>
            </w:r>
          </w:p>
        </w:tc>
      </w:tr>
      <w:tr>
        <w:trPr>
          <w:cantSplit/>
        </w:trPr>
        <w:tc>
          <w:tcPr>
            <w:tcW w:type="dxa" w:w="2592"/>
            <w:vAlign w:val="top"/>
            <w:tcBorders>
              <w:bottom w:sz="2" w:val="single" w:color="E3DED5"/>
            </w:tcBorders>
          </w:tcPr>
          <w:p>
            <w:pPr>
              <w:spacing w:before="40" w:after="40" w:line="240" w:lineRule="auto"/>
            </w:pPr>
            <w:r>
              <w:rPr>
                <w:rFonts w:ascii="Arial" w:hAnsi="Arial"/>
                <w:color w:val="2B2B2B"/>
                <w:sz w:val="17"/>
              </w:rPr>
              <w:t>Executive Sponsor / CEO</w:t>
            </w:r>
          </w:p>
        </w:tc>
        <w:tc>
          <w:tcPr>
            <w:tcW w:type="dxa" w:w="5616"/>
            <w:vAlign w:val="top"/>
            <w:tcBorders>
              <w:bottom w:sz="2" w:val="single" w:color="E3DED5"/>
            </w:tcBorders>
          </w:tcPr>
          <w:p>
            <w:pPr>
              <w:spacing w:before="40" w:after="40" w:line="240" w:lineRule="auto"/>
            </w:pPr>
            <w:r>
              <w:rPr>
                <w:rFonts w:ascii="Arial" w:hAnsi="Arial"/>
                <w:color w:val="2B2B2B"/>
                <w:sz w:val="17"/>
              </w:rPr>
              <w:t>Strategic fit, investment direction, enterprise scope</w:t>
            </w:r>
          </w:p>
        </w:tc>
        <w:tc>
          <w:tcPr>
            <w:tcW w:type="dxa" w:w="1440"/>
            <w:vAlign w:val="top"/>
            <w:tcBorders>
              <w:bottom w:sz="2" w:val="single" w:color="E3DED5"/>
            </w:tcBorders>
          </w:tcPr>
          <w:p>
            <w:pPr>
              <w:spacing w:before="40" w:after="40" w:line="240" w:lineRule="auto"/>
            </w:pPr>
            <w:r>
              <w:rPr>
                <w:rFonts w:ascii="Arial" w:hAnsi="Arial"/>
                <w:color w:val="2B2B2B"/>
                <w:sz w:val="17"/>
              </w:rPr>
              <w:t>Pending</w:t>
            </w:r>
          </w:p>
        </w:tc>
      </w:tr>
      <w:tr>
        <w:trPr>
          <w:cantSplit/>
        </w:trPr>
        <w:tc>
          <w:tcPr>
            <w:tcW w:type="dxa" w:w="2592"/>
            <w:shd w:fill="FAFAF8"/>
            <w:vAlign w:val="top"/>
            <w:tcBorders>
              <w:bottom w:sz="2" w:val="single" w:color="E3DED5"/>
            </w:tcBorders>
          </w:tcPr>
          <w:p>
            <w:pPr>
              <w:spacing w:before="40" w:after="40" w:line="240" w:lineRule="auto"/>
            </w:pPr>
            <w:r>
              <w:rPr>
                <w:rFonts w:ascii="Arial" w:hAnsi="Arial"/>
                <w:color w:val="2B2B2B"/>
                <w:sz w:val="17"/>
              </w:rPr>
              <w:t>People &amp; Culture Manager</w:t>
            </w:r>
          </w:p>
        </w:tc>
        <w:tc>
          <w:tcPr>
            <w:tcW w:type="dxa" w:w="5616"/>
            <w:shd w:fill="FAFAF8"/>
            <w:vAlign w:val="top"/>
            <w:tcBorders>
              <w:bottom w:sz="2" w:val="single" w:color="E3DED5"/>
            </w:tcBorders>
          </w:tcPr>
          <w:p>
            <w:pPr>
              <w:spacing w:before="40" w:after="40" w:line="240" w:lineRule="auto"/>
            </w:pPr>
            <w:r>
              <w:rPr>
                <w:rFonts w:ascii="Arial" w:hAnsi="Arial"/>
                <w:color w:val="2B2B2B"/>
                <w:sz w:val="17"/>
              </w:rPr>
              <w:t>Business scope, process ownership, policy alignment</w:t>
            </w:r>
          </w:p>
        </w:tc>
        <w:tc>
          <w:tcPr>
            <w:tcW w:type="dxa" w:w="1440"/>
            <w:shd w:fill="FAFAF8"/>
            <w:vAlign w:val="top"/>
            <w:tcBorders>
              <w:bottom w:sz="2" w:val="single" w:color="E3DED5"/>
            </w:tcBorders>
          </w:tcPr>
          <w:p>
            <w:pPr>
              <w:spacing w:before="40" w:after="40" w:line="240" w:lineRule="auto"/>
            </w:pPr>
            <w:r>
              <w:rPr>
                <w:rFonts w:ascii="Arial" w:hAnsi="Arial"/>
                <w:color w:val="2B2B2B"/>
                <w:sz w:val="17"/>
              </w:rPr>
              <w:t>Pending</w:t>
            </w:r>
          </w:p>
        </w:tc>
      </w:tr>
      <w:tr>
        <w:trPr>
          <w:cantSplit/>
        </w:trPr>
        <w:tc>
          <w:tcPr>
            <w:tcW w:type="dxa" w:w="2592"/>
            <w:vAlign w:val="top"/>
            <w:tcBorders>
              <w:bottom w:sz="2" w:val="single" w:color="E3DED5"/>
            </w:tcBorders>
          </w:tcPr>
          <w:p>
            <w:pPr>
              <w:spacing w:before="40" w:after="40" w:line="240" w:lineRule="auto"/>
            </w:pPr>
            <w:r>
              <w:rPr>
                <w:rFonts w:ascii="Arial" w:hAnsi="Arial"/>
                <w:color w:val="2B2B2B"/>
                <w:sz w:val="17"/>
              </w:rPr>
              <w:t>IT / Technology Owner</w:t>
            </w:r>
          </w:p>
        </w:tc>
        <w:tc>
          <w:tcPr>
            <w:tcW w:type="dxa" w:w="5616"/>
            <w:vAlign w:val="top"/>
            <w:tcBorders>
              <w:bottom w:sz="2" w:val="single" w:color="E3DED5"/>
            </w:tcBorders>
          </w:tcPr>
          <w:p>
            <w:pPr>
              <w:spacing w:before="40" w:after="40" w:line="240" w:lineRule="auto"/>
            </w:pPr>
            <w:r>
              <w:rPr>
                <w:rFonts w:ascii="Arial" w:hAnsi="Arial"/>
                <w:color w:val="2B2B2B"/>
                <w:sz w:val="17"/>
              </w:rPr>
              <w:t>Architecture, security, hosting, integration feasibility</w:t>
            </w:r>
          </w:p>
        </w:tc>
        <w:tc>
          <w:tcPr>
            <w:tcW w:type="dxa" w:w="1440"/>
            <w:vAlign w:val="top"/>
            <w:tcBorders>
              <w:bottom w:sz="2" w:val="single" w:color="E3DED5"/>
            </w:tcBorders>
          </w:tcPr>
          <w:p>
            <w:pPr>
              <w:spacing w:before="40" w:after="40" w:line="240" w:lineRule="auto"/>
            </w:pPr>
            <w:r>
              <w:rPr>
                <w:rFonts w:ascii="Arial" w:hAnsi="Arial"/>
                <w:color w:val="2B2B2B"/>
                <w:sz w:val="17"/>
              </w:rPr>
              <w:t>Pending</w:t>
            </w:r>
          </w:p>
        </w:tc>
      </w:tr>
      <w:tr>
        <w:trPr>
          <w:cantSplit/>
        </w:trPr>
        <w:tc>
          <w:tcPr>
            <w:tcW w:type="dxa" w:w="2592"/>
            <w:shd w:fill="FAFAF8"/>
            <w:vAlign w:val="top"/>
            <w:tcBorders>
              <w:bottom w:sz="2" w:val="single" w:color="E3DED5"/>
            </w:tcBorders>
          </w:tcPr>
          <w:p>
            <w:pPr>
              <w:spacing w:before="40" w:after="40" w:line="240" w:lineRule="auto"/>
            </w:pPr>
            <w:r>
              <w:rPr>
                <w:rFonts w:ascii="Arial" w:hAnsi="Arial"/>
                <w:color w:val="2B2B2B"/>
                <w:sz w:val="17"/>
              </w:rPr>
              <w:t>Program / Product Owner</w:t>
            </w:r>
          </w:p>
        </w:tc>
        <w:tc>
          <w:tcPr>
            <w:tcW w:type="dxa" w:w="5616"/>
            <w:shd w:fill="FAFAF8"/>
            <w:vAlign w:val="top"/>
            <w:tcBorders>
              <w:bottom w:sz="2" w:val="single" w:color="E3DED5"/>
            </w:tcBorders>
          </w:tcPr>
          <w:p>
            <w:pPr>
              <w:spacing w:before="40" w:after="40" w:line="240" w:lineRule="auto"/>
            </w:pPr>
            <w:r>
              <w:rPr>
                <w:rFonts w:ascii="Arial" w:hAnsi="Arial"/>
                <w:color w:val="2B2B2B"/>
                <w:sz w:val="17"/>
              </w:rPr>
              <w:t>Priorities, MVP boundaries, release plan</w:t>
            </w:r>
          </w:p>
        </w:tc>
        <w:tc>
          <w:tcPr>
            <w:tcW w:type="dxa" w:w="1440"/>
            <w:shd w:fill="FAFAF8"/>
            <w:vAlign w:val="top"/>
            <w:tcBorders>
              <w:bottom w:sz="2" w:val="single" w:color="E3DED5"/>
            </w:tcBorders>
          </w:tcPr>
          <w:p>
            <w:pPr>
              <w:spacing w:before="40" w:after="40" w:line="240" w:lineRule="auto"/>
            </w:pPr>
            <w:r>
              <w:rPr>
                <w:rFonts w:ascii="Arial" w:hAnsi="Arial"/>
                <w:color w:val="2B2B2B"/>
                <w:sz w:val="17"/>
              </w:rPr>
              <w:t>Pending</w:t>
            </w:r>
          </w:p>
        </w:tc>
      </w:tr>
    </w:tbl>
    <w:p>
      <w:r>
        <w:br w:type="page"/>
      </w:r>
    </w:p>
    <w:p>
      <w:pPr>
        <w:pStyle w:val="Heading1"/>
        <w:keepNext/>
        <w:keepLines/>
        <w:spacing w:before="0" w:after="100" w:line="240" w:lineRule="auto"/>
      </w:pPr>
      <w:r>
        <w:rPr>
          <w:rFonts w:ascii="Arial" w:hAnsi="Arial"/>
          <w:b/>
          <w:color w:val="2B2B2B"/>
          <w:sz w:val="44"/>
        </w:rPr>
        <w:t>0.1. Contents &amp; Reading Guide</w:t>
      </w:r>
    </w:p>
    <w:tbl>
      <w:tblPr>
        <w:tblW w:type="auto" w:w="0"/>
        <w:jc w:val="left"/>
        <w:tblLayout w:type="fixed"/>
        <w:tblLook w:firstColumn="1" w:firstRow="1" w:lastColumn="0" w:lastRow="0" w:noHBand="0" w:noVBand="1" w:val="04A0"/>
      </w:tblPr>
      <w:tblGrid>
        <w:gridCol w:w="9648"/>
      </w:tblGrid>
      <w:tr>
        <w:trPr>
          <w:cantSplit/>
        </w:trPr>
        <w:tc>
          <w:tcPr>
            <w:tcW w:type="dxa" w:w="10166"/>
            <w:shd w:fill="F5A01B"/>
          </w:tcPr>
          <w:p>
            <w:r/>
          </w:p>
        </w:tc>
      </w:tr>
    </w:tbl>
    <w:tbl>
      <w:tblPr>
        <w:tblW w:type="auto" w:w="0"/>
        <w:jc w:val="center"/>
        <w:tblLayout w:type="fixed"/>
        <w:tblLook w:firstColumn="1" w:firstRow="1" w:lastColumn="0" w:lastRow="0" w:noHBand="0" w:noVBand="1" w:val="04A0"/>
      </w:tblPr>
      <w:tblGrid>
        <w:gridCol w:w="1800"/>
        <w:gridCol w:w="7848"/>
      </w:tblGrid>
      <w:tr>
        <w:trPr>
          <w:cantSplit/>
        </w:trPr>
        <w:tc>
          <w:tcPr>
            <w:tcW w:type="dxa" w:w="5083"/>
            <w:shd w:fill="F5A01B"/>
            <w:vAlign w:val="center"/>
          </w:tcPr>
          <w:p>
            <w:pPr>
              <w:spacing w:before="40" w:after="40" w:line="240" w:lineRule="auto"/>
              <w:jc w:val="left"/>
            </w:pPr>
            <w:r>
              <w:rPr>
                <w:rFonts w:ascii="Arial" w:hAnsi="Arial"/>
                <w:b/>
                <w:color w:val="2B2B2B"/>
                <w:sz w:val="18"/>
              </w:rPr>
              <w:t>Section</w:t>
            </w:r>
          </w:p>
        </w:tc>
        <w:tc>
          <w:tcPr>
            <w:tcW w:type="dxa" w:w="5083"/>
            <w:shd w:fill="F5A01B"/>
            <w:vAlign w:val="center"/>
          </w:tcPr>
          <w:p>
            <w:pPr>
              <w:spacing w:before="40" w:after="40" w:line="240" w:lineRule="auto"/>
              <w:jc w:val="left"/>
            </w:pPr>
            <w:r>
              <w:rPr>
                <w:rFonts w:ascii="Arial" w:hAnsi="Arial"/>
                <w:b/>
                <w:color w:val="2B2B2B"/>
                <w:sz w:val="18"/>
              </w:rPr>
              <w:t>Content</w:t>
            </w:r>
          </w:p>
        </w:tc>
      </w:tr>
      <w:tr>
        <w:trPr>
          <w:cantSplit/>
        </w:trPr>
        <w:tc>
          <w:tcPr>
            <w:tcW w:type="dxa" w:w="1800"/>
            <w:vAlign w:val="top"/>
            <w:tcBorders>
              <w:bottom w:sz="2" w:val="single" w:color="E3DED5"/>
            </w:tcBorders>
          </w:tcPr>
          <w:p>
            <w:pPr>
              <w:spacing w:before="40" w:after="40" w:line="240" w:lineRule="auto"/>
            </w:pPr>
            <w:r>
              <w:rPr>
                <w:rFonts w:ascii="Arial" w:hAnsi="Arial"/>
                <w:color w:val="2B2B2B"/>
                <w:sz w:val="18"/>
              </w:rPr>
              <w:t>1</w:t>
            </w:r>
          </w:p>
        </w:tc>
        <w:tc>
          <w:tcPr>
            <w:tcW w:type="dxa" w:w="7848"/>
            <w:vAlign w:val="top"/>
            <w:tcBorders>
              <w:bottom w:sz="2" w:val="single" w:color="E3DED5"/>
            </w:tcBorders>
          </w:tcPr>
          <w:p>
            <w:pPr>
              <w:spacing w:before="40" w:after="40" w:line="240" w:lineRule="auto"/>
            </w:pPr>
            <w:r>
              <w:rPr>
                <w:rFonts w:ascii="Arial" w:hAnsi="Arial"/>
                <w:color w:val="2B2B2B"/>
                <w:sz w:val="18"/>
              </w:rPr>
              <w:t>Executive Summary</w:t>
            </w:r>
          </w:p>
        </w:tc>
      </w:tr>
      <w:tr>
        <w:trPr>
          <w:cantSplit/>
        </w:trPr>
        <w:tc>
          <w:tcPr>
            <w:tcW w:type="dxa" w:w="1800"/>
            <w:shd w:fill="FAFAF8"/>
            <w:vAlign w:val="top"/>
            <w:tcBorders>
              <w:bottom w:sz="2" w:val="single" w:color="E3DED5"/>
            </w:tcBorders>
          </w:tcPr>
          <w:p>
            <w:pPr>
              <w:spacing w:before="40" w:after="40" w:line="240" w:lineRule="auto"/>
            </w:pPr>
            <w:r>
              <w:rPr>
                <w:rFonts w:ascii="Arial" w:hAnsi="Arial"/>
                <w:color w:val="2B2B2B"/>
                <w:sz w:val="18"/>
              </w:rPr>
              <w:t>2</w:t>
            </w:r>
          </w:p>
        </w:tc>
        <w:tc>
          <w:tcPr>
            <w:tcW w:type="dxa" w:w="7848"/>
            <w:shd w:fill="FAFAF8"/>
            <w:vAlign w:val="top"/>
            <w:tcBorders>
              <w:bottom w:sz="2" w:val="single" w:color="E3DED5"/>
            </w:tcBorders>
          </w:tcPr>
          <w:p>
            <w:pPr>
              <w:spacing w:before="40" w:after="40" w:line="240" w:lineRule="auto"/>
            </w:pPr>
            <w:r>
              <w:rPr>
                <w:rFonts w:ascii="Arial" w:hAnsi="Arial"/>
                <w:color w:val="2B2B2B"/>
                <w:sz w:val="18"/>
              </w:rPr>
              <w:t>Business Context &amp; Case for Change</w:t>
            </w:r>
          </w:p>
        </w:tc>
      </w:tr>
      <w:tr>
        <w:trPr>
          <w:cantSplit/>
        </w:trPr>
        <w:tc>
          <w:tcPr>
            <w:tcW w:type="dxa" w:w="1800"/>
            <w:vAlign w:val="top"/>
            <w:tcBorders>
              <w:bottom w:sz="2" w:val="single" w:color="E3DED5"/>
            </w:tcBorders>
          </w:tcPr>
          <w:p>
            <w:pPr>
              <w:spacing w:before="40" w:after="40" w:line="240" w:lineRule="auto"/>
            </w:pPr>
            <w:r>
              <w:rPr>
                <w:rFonts w:ascii="Arial" w:hAnsi="Arial"/>
                <w:color w:val="2B2B2B"/>
                <w:sz w:val="18"/>
              </w:rPr>
              <w:t>3</w:t>
            </w:r>
          </w:p>
        </w:tc>
        <w:tc>
          <w:tcPr>
            <w:tcW w:type="dxa" w:w="7848"/>
            <w:vAlign w:val="top"/>
            <w:tcBorders>
              <w:bottom w:sz="2" w:val="single" w:color="E3DED5"/>
            </w:tcBorders>
          </w:tcPr>
          <w:p>
            <w:pPr>
              <w:spacing w:before="40" w:after="40" w:line="240" w:lineRule="auto"/>
            </w:pPr>
            <w:r>
              <w:rPr>
                <w:rFonts w:ascii="Arial" w:hAnsi="Arial"/>
                <w:color w:val="2B2B2B"/>
                <w:sz w:val="18"/>
              </w:rPr>
              <w:t>System Vision &amp; Product Positioning</w:t>
            </w:r>
          </w:p>
        </w:tc>
      </w:tr>
      <w:tr>
        <w:trPr>
          <w:cantSplit/>
        </w:trPr>
        <w:tc>
          <w:tcPr>
            <w:tcW w:type="dxa" w:w="1800"/>
            <w:shd w:fill="FAFAF8"/>
            <w:vAlign w:val="top"/>
            <w:tcBorders>
              <w:bottom w:sz="2" w:val="single" w:color="E3DED5"/>
            </w:tcBorders>
          </w:tcPr>
          <w:p>
            <w:pPr>
              <w:spacing w:before="40" w:after="40" w:line="240" w:lineRule="auto"/>
            </w:pPr>
            <w:r>
              <w:rPr>
                <w:rFonts w:ascii="Arial" w:hAnsi="Arial"/>
                <w:color w:val="2B2B2B"/>
                <w:sz w:val="18"/>
              </w:rPr>
              <w:t>4</w:t>
            </w:r>
          </w:p>
        </w:tc>
        <w:tc>
          <w:tcPr>
            <w:tcW w:type="dxa" w:w="7848"/>
            <w:shd w:fill="FAFAF8"/>
            <w:vAlign w:val="top"/>
            <w:tcBorders>
              <w:bottom w:sz="2" w:val="single" w:color="E3DED5"/>
            </w:tcBorders>
          </w:tcPr>
          <w:p>
            <w:pPr>
              <w:spacing w:before="40" w:after="40" w:line="240" w:lineRule="auto"/>
            </w:pPr>
            <w:r>
              <w:rPr>
                <w:rFonts w:ascii="Arial" w:hAnsi="Arial"/>
                <w:color w:val="2B2B2B"/>
                <w:sz w:val="18"/>
              </w:rPr>
              <w:t>Strategic Objectives</w:t>
            </w:r>
          </w:p>
        </w:tc>
      </w:tr>
      <w:tr>
        <w:trPr>
          <w:cantSplit/>
        </w:trPr>
        <w:tc>
          <w:tcPr>
            <w:tcW w:type="dxa" w:w="1800"/>
            <w:vAlign w:val="top"/>
            <w:tcBorders>
              <w:bottom w:sz="2" w:val="single" w:color="E3DED5"/>
            </w:tcBorders>
          </w:tcPr>
          <w:p>
            <w:pPr>
              <w:spacing w:before="40" w:after="40" w:line="240" w:lineRule="auto"/>
            </w:pPr>
            <w:r>
              <w:rPr>
                <w:rFonts w:ascii="Arial" w:hAnsi="Arial"/>
                <w:color w:val="2B2B2B"/>
                <w:sz w:val="18"/>
              </w:rPr>
              <w:t>5</w:t>
            </w:r>
          </w:p>
        </w:tc>
        <w:tc>
          <w:tcPr>
            <w:tcW w:type="dxa" w:w="7848"/>
            <w:vAlign w:val="top"/>
            <w:tcBorders>
              <w:bottom w:sz="2" w:val="single" w:color="E3DED5"/>
            </w:tcBorders>
          </w:tcPr>
          <w:p>
            <w:pPr>
              <w:spacing w:before="40" w:after="40" w:line="240" w:lineRule="auto"/>
            </w:pPr>
            <w:r>
              <w:rPr>
                <w:rFonts w:ascii="Arial" w:hAnsi="Arial"/>
                <w:color w:val="2B2B2B"/>
                <w:sz w:val="18"/>
              </w:rPr>
              <w:t>Target-State Design Principles</w:t>
            </w:r>
          </w:p>
        </w:tc>
      </w:tr>
      <w:tr>
        <w:trPr>
          <w:cantSplit/>
        </w:trPr>
        <w:tc>
          <w:tcPr>
            <w:tcW w:type="dxa" w:w="1800"/>
            <w:shd w:fill="FAFAF8"/>
            <w:vAlign w:val="top"/>
            <w:tcBorders>
              <w:bottom w:sz="2" w:val="single" w:color="E3DED5"/>
            </w:tcBorders>
          </w:tcPr>
          <w:p>
            <w:pPr>
              <w:spacing w:before="40" w:after="40" w:line="240" w:lineRule="auto"/>
            </w:pPr>
            <w:r>
              <w:rPr>
                <w:rFonts w:ascii="Arial" w:hAnsi="Arial"/>
                <w:color w:val="2B2B2B"/>
                <w:sz w:val="18"/>
              </w:rPr>
              <w:t>6</w:t>
            </w:r>
          </w:p>
        </w:tc>
        <w:tc>
          <w:tcPr>
            <w:tcW w:type="dxa" w:w="7848"/>
            <w:shd w:fill="FAFAF8"/>
            <w:vAlign w:val="top"/>
            <w:tcBorders>
              <w:bottom w:sz="2" w:val="single" w:color="E3DED5"/>
            </w:tcBorders>
          </w:tcPr>
          <w:p>
            <w:pPr>
              <w:spacing w:before="40" w:after="40" w:line="240" w:lineRule="auto"/>
            </w:pPr>
            <w:r>
              <w:rPr>
                <w:rFonts w:ascii="Arial" w:hAnsi="Arial"/>
                <w:color w:val="2B2B2B"/>
                <w:sz w:val="18"/>
              </w:rPr>
              <w:t>Scope Model &amp; Functional Domains</w:t>
            </w:r>
          </w:p>
        </w:tc>
      </w:tr>
      <w:tr>
        <w:trPr>
          <w:cantSplit/>
        </w:trPr>
        <w:tc>
          <w:tcPr>
            <w:tcW w:type="dxa" w:w="1800"/>
            <w:vAlign w:val="top"/>
            <w:tcBorders>
              <w:bottom w:sz="2" w:val="single" w:color="E3DED5"/>
            </w:tcBorders>
          </w:tcPr>
          <w:p>
            <w:pPr>
              <w:spacing w:before="40" w:after="40" w:line="240" w:lineRule="auto"/>
            </w:pPr>
            <w:r>
              <w:rPr>
                <w:rFonts w:ascii="Arial" w:hAnsi="Arial"/>
                <w:color w:val="2B2B2B"/>
                <w:sz w:val="18"/>
              </w:rPr>
              <w:t>7</w:t>
            </w:r>
          </w:p>
        </w:tc>
        <w:tc>
          <w:tcPr>
            <w:tcW w:type="dxa" w:w="7848"/>
            <w:vAlign w:val="top"/>
            <w:tcBorders>
              <w:bottom w:sz="2" w:val="single" w:color="E3DED5"/>
            </w:tcBorders>
          </w:tcPr>
          <w:p>
            <w:pPr>
              <w:spacing w:before="40" w:after="40" w:line="240" w:lineRule="auto"/>
            </w:pPr>
            <w:r>
              <w:rPr>
                <w:rFonts w:ascii="Arial" w:hAnsi="Arial"/>
                <w:color w:val="2B2B2B"/>
                <w:sz w:val="18"/>
              </w:rPr>
              <w:t>Twenty-Module Portfolio</w:t>
            </w:r>
          </w:p>
        </w:tc>
      </w:tr>
      <w:tr>
        <w:trPr>
          <w:cantSplit/>
        </w:trPr>
        <w:tc>
          <w:tcPr>
            <w:tcW w:type="dxa" w:w="1800"/>
            <w:shd w:fill="FAFAF8"/>
            <w:vAlign w:val="top"/>
            <w:tcBorders>
              <w:bottom w:sz="2" w:val="single" w:color="E3DED5"/>
            </w:tcBorders>
          </w:tcPr>
          <w:p>
            <w:pPr>
              <w:spacing w:before="40" w:after="40" w:line="240" w:lineRule="auto"/>
            </w:pPr>
            <w:r>
              <w:rPr>
                <w:rFonts w:ascii="Arial" w:hAnsi="Arial"/>
                <w:color w:val="2B2B2B"/>
                <w:sz w:val="18"/>
              </w:rPr>
              <w:t>8</w:t>
            </w:r>
          </w:p>
        </w:tc>
        <w:tc>
          <w:tcPr>
            <w:tcW w:type="dxa" w:w="7848"/>
            <w:shd w:fill="FAFAF8"/>
            <w:vAlign w:val="top"/>
            <w:tcBorders>
              <w:bottom w:sz="2" w:val="single" w:color="E3DED5"/>
            </w:tcBorders>
          </w:tcPr>
          <w:p>
            <w:pPr>
              <w:spacing w:before="40" w:after="40" w:line="240" w:lineRule="auto"/>
            </w:pPr>
            <w:r>
              <w:rPr>
                <w:rFonts w:ascii="Arial" w:hAnsi="Arial"/>
                <w:color w:val="2B2B2B"/>
                <w:sz w:val="18"/>
              </w:rPr>
              <w:t>System Boundaries &amp; Out-of-Scope</w:t>
            </w:r>
          </w:p>
        </w:tc>
      </w:tr>
      <w:tr>
        <w:trPr>
          <w:cantSplit/>
        </w:trPr>
        <w:tc>
          <w:tcPr>
            <w:tcW w:type="dxa" w:w="1800"/>
            <w:vAlign w:val="top"/>
            <w:tcBorders>
              <w:bottom w:sz="2" w:val="single" w:color="E3DED5"/>
            </w:tcBorders>
          </w:tcPr>
          <w:p>
            <w:pPr>
              <w:spacing w:before="40" w:after="40" w:line="240" w:lineRule="auto"/>
            </w:pPr>
            <w:r>
              <w:rPr>
                <w:rFonts w:ascii="Arial" w:hAnsi="Arial"/>
                <w:color w:val="2B2B2B"/>
                <w:sz w:val="18"/>
              </w:rPr>
              <w:t>9</w:t>
            </w:r>
          </w:p>
        </w:tc>
        <w:tc>
          <w:tcPr>
            <w:tcW w:type="dxa" w:w="7848"/>
            <w:vAlign w:val="top"/>
            <w:tcBorders>
              <w:bottom w:sz="2" w:val="single" w:color="E3DED5"/>
            </w:tcBorders>
          </w:tcPr>
          <w:p>
            <w:pPr>
              <w:spacing w:before="40" w:after="40" w:line="240" w:lineRule="auto"/>
            </w:pPr>
            <w:r>
              <w:rPr>
                <w:rFonts w:ascii="Arial" w:hAnsi="Arial"/>
                <w:color w:val="2B2B2B"/>
                <w:sz w:val="18"/>
              </w:rPr>
              <w:t>Users, Roles &amp; Experience Channels</w:t>
            </w:r>
          </w:p>
        </w:tc>
      </w:tr>
      <w:tr>
        <w:trPr>
          <w:cantSplit/>
        </w:trPr>
        <w:tc>
          <w:tcPr>
            <w:tcW w:type="dxa" w:w="1800"/>
            <w:shd w:fill="FAFAF8"/>
            <w:vAlign w:val="top"/>
            <w:tcBorders>
              <w:bottom w:sz="2" w:val="single" w:color="E3DED5"/>
            </w:tcBorders>
          </w:tcPr>
          <w:p>
            <w:pPr>
              <w:spacing w:before="40" w:after="40" w:line="240" w:lineRule="auto"/>
            </w:pPr>
            <w:r>
              <w:rPr>
                <w:rFonts w:ascii="Arial" w:hAnsi="Arial"/>
                <w:color w:val="2B2B2B"/>
                <w:sz w:val="18"/>
              </w:rPr>
              <w:t>10</w:t>
            </w:r>
          </w:p>
        </w:tc>
        <w:tc>
          <w:tcPr>
            <w:tcW w:type="dxa" w:w="7848"/>
            <w:shd w:fill="FAFAF8"/>
            <w:vAlign w:val="top"/>
            <w:tcBorders>
              <w:bottom w:sz="2" w:val="single" w:color="E3DED5"/>
            </w:tcBorders>
          </w:tcPr>
          <w:p>
            <w:pPr>
              <w:spacing w:before="40" w:after="40" w:line="240" w:lineRule="auto"/>
            </w:pPr>
            <w:r>
              <w:rPr>
                <w:rFonts w:ascii="Arial" w:hAnsi="Arial"/>
                <w:color w:val="2B2B2B"/>
                <w:sz w:val="18"/>
              </w:rPr>
              <w:t>End-to-End Employee Lifecycle</w:t>
            </w:r>
          </w:p>
        </w:tc>
      </w:tr>
      <w:tr>
        <w:trPr>
          <w:cantSplit/>
        </w:trPr>
        <w:tc>
          <w:tcPr>
            <w:tcW w:type="dxa" w:w="1800"/>
            <w:vAlign w:val="top"/>
            <w:tcBorders>
              <w:bottom w:sz="2" w:val="single" w:color="E3DED5"/>
            </w:tcBorders>
          </w:tcPr>
          <w:p>
            <w:pPr>
              <w:spacing w:before="40" w:after="40" w:line="240" w:lineRule="auto"/>
            </w:pPr>
            <w:r>
              <w:rPr>
                <w:rFonts w:ascii="Arial" w:hAnsi="Arial"/>
                <w:color w:val="2B2B2B"/>
                <w:sz w:val="18"/>
              </w:rPr>
              <w:t>11</w:t>
            </w:r>
          </w:p>
        </w:tc>
        <w:tc>
          <w:tcPr>
            <w:tcW w:type="dxa" w:w="7848"/>
            <w:vAlign w:val="top"/>
            <w:tcBorders>
              <w:bottom w:sz="2" w:val="single" w:color="E3DED5"/>
            </w:tcBorders>
          </w:tcPr>
          <w:p>
            <w:pPr>
              <w:spacing w:before="40" w:after="40" w:line="240" w:lineRule="auto"/>
            </w:pPr>
            <w:r>
              <w:rPr>
                <w:rFonts w:ascii="Arial" w:hAnsi="Arial"/>
                <w:color w:val="2B2B2B"/>
                <w:sz w:val="18"/>
              </w:rPr>
              <w:t>Shared Platform, Automation &amp; AI</w:t>
            </w:r>
          </w:p>
        </w:tc>
      </w:tr>
      <w:tr>
        <w:trPr>
          <w:cantSplit/>
        </w:trPr>
        <w:tc>
          <w:tcPr>
            <w:tcW w:type="dxa" w:w="1800"/>
            <w:shd w:fill="FAFAF8"/>
            <w:vAlign w:val="top"/>
            <w:tcBorders>
              <w:bottom w:sz="2" w:val="single" w:color="E3DED5"/>
            </w:tcBorders>
          </w:tcPr>
          <w:p>
            <w:pPr>
              <w:spacing w:before="40" w:after="40" w:line="240" w:lineRule="auto"/>
            </w:pPr>
            <w:r>
              <w:rPr>
                <w:rFonts w:ascii="Arial" w:hAnsi="Arial"/>
                <w:color w:val="2B2B2B"/>
                <w:sz w:val="18"/>
              </w:rPr>
              <w:t>12</w:t>
            </w:r>
          </w:p>
        </w:tc>
        <w:tc>
          <w:tcPr>
            <w:tcW w:type="dxa" w:w="7848"/>
            <w:shd w:fill="FAFAF8"/>
            <w:vAlign w:val="top"/>
            <w:tcBorders>
              <w:bottom w:sz="2" w:val="single" w:color="E3DED5"/>
            </w:tcBorders>
          </w:tcPr>
          <w:p>
            <w:pPr>
              <w:spacing w:before="40" w:after="40" w:line="240" w:lineRule="auto"/>
            </w:pPr>
            <w:r>
              <w:rPr>
                <w:rFonts w:ascii="Arial" w:hAnsi="Arial"/>
                <w:color w:val="2B2B2B"/>
                <w:sz w:val="18"/>
              </w:rPr>
              <w:t>Integration &amp; Data Ecosystem</w:t>
            </w:r>
          </w:p>
        </w:tc>
      </w:tr>
      <w:tr>
        <w:trPr>
          <w:cantSplit/>
        </w:trPr>
        <w:tc>
          <w:tcPr>
            <w:tcW w:type="dxa" w:w="1800"/>
            <w:vAlign w:val="top"/>
            <w:tcBorders>
              <w:bottom w:sz="2" w:val="single" w:color="E3DED5"/>
            </w:tcBorders>
          </w:tcPr>
          <w:p>
            <w:pPr>
              <w:spacing w:before="40" w:after="40" w:line="240" w:lineRule="auto"/>
            </w:pPr>
            <w:r>
              <w:rPr>
                <w:rFonts w:ascii="Arial" w:hAnsi="Arial"/>
                <w:color w:val="2B2B2B"/>
                <w:sz w:val="18"/>
              </w:rPr>
              <w:t>13</w:t>
            </w:r>
          </w:p>
        </w:tc>
        <w:tc>
          <w:tcPr>
            <w:tcW w:type="dxa" w:w="7848"/>
            <w:vAlign w:val="top"/>
            <w:tcBorders>
              <w:bottom w:sz="2" w:val="single" w:color="E3DED5"/>
            </w:tcBorders>
          </w:tcPr>
          <w:p>
            <w:pPr>
              <w:spacing w:before="40" w:after="40" w:line="240" w:lineRule="auto"/>
            </w:pPr>
            <w:r>
              <w:rPr>
                <w:rFonts w:ascii="Arial" w:hAnsi="Arial"/>
                <w:color w:val="2B2B2B"/>
                <w:sz w:val="18"/>
              </w:rPr>
              <w:t>Success Measures &amp; Governance</w:t>
            </w:r>
          </w:p>
        </w:tc>
      </w:tr>
      <w:tr>
        <w:trPr>
          <w:cantSplit/>
        </w:trPr>
        <w:tc>
          <w:tcPr>
            <w:tcW w:type="dxa" w:w="1800"/>
            <w:shd w:fill="FAFAF8"/>
            <w:vAlign w:val="top"/>
            <w:tcBorders>
              <w:bottom w:sz="2" w:val="single" w:color="E3DED5"/>
            </w:tcBorders>
          </w:tcPr>
          <w:p>
            <w:pPr>
              <w:spacing w:before="40" w:after="40" w:line="240" w:lineRule="auto"/>
            </w:pPr>
            <w:r>
              <w:rPr>
                <w:rFonts w:ascii="Arial" w:hAnsi="Arial"/>
                <w:color w:val="2B2B2B"/>
                <w:sz w:val="18"/>
              </w:rPr>
              <w:t>14</w:t>
            </w:r>
          </w:p>
        </w:tc>
        <w:tc>
          <w:tcPr>
            <w:tcW w:type="dxa" w:w="7848"/>
            <w:shd w:fill="FAFAF8"/>
            <w:vAlign w:val="top"/>
            <w:tcBorders>
              <w:bottom w:sz="2" w:val="single" w:color="E3DED5"/>
            </w:tcBorders>
          </w:tcPr>
          <w:p>
            <w:pPr>
              <w:spacing w:before="40" w:after="40" w:line="240" w:lineRule="auto"/>
            </w:pPr>
            <w:r>
              <w:rPr>
                <w:rFonts w:ascii="Arial" w:hAnsi="Arial"/>
                <w:color w:val="2B2B2B"/>
                <w:sz w:val="18"/>
              </w:rPr>
              <w:t>Assumptions, Constraints &amp; Key Risks</w:t>
            </w:r>
          </w:p>
        </w:tc>
      </w:tr>
      <w:tr>
        <w:trPr>
          <w:cantSplit/>
        </w:trPr>
        <w:tc>
          <w:tcPr>
            <w:tcW w:type="dxa" w:w="1800"/>
            <w:vAlign w:val="top"/>
            <w:tcBorders>
              <w:bottom w:sz="2" w:val="single" w:color="E3DED5"/>
            </w:tcBorders>
          </w:tcPr>
          <w:p>
            <w:pPr>
              <w:spacing w:before="40" w:after="40" w:line="240" w:lineRule="auto"/>
            </w:pPr>
            <w:r>
              <w:rPr>
                <w:rFonts w:ascii="Arial" w:hAnsi="Arial"/>
                <w:color w:val="2B2B2B"/>
                <w:sz w:val="18"/>
              </w:rPr>
              <w:t>15</w:t>
            </w:r>
          </w:p>
        </w:tc>
        <w:tc>
          <w:tcPr>
            <w:tcW w:type="dxa" w:w="7848"/>
            <w:vAlign w:val="top"/>
            <w:tcBorders>
              <w:bottom w:sz="2" w:val="single" w:color="E3DED5"/>
            </w:tcBorders>
          </w:tcPr>
          <w:p>
            <w:pPr>
              <w:spacing w:before="40" w:after="40" w:line="240" w:lineRule="auto"/>
            </w:pPr>
            <w:r>
              <w:rPr>
                <w:rFonts w:ascii="Arial" w:hAnsi="Arial"/>
                <w:color w:val="2B2B2B"/>
                <w:sz w:val="18"/>
              </w:rPr>
              <w:t>Key Decisions &amp; Next Blueprint Files</w:t>
            </w:r>
          </w:p>
        </w:tc>
      </w:tr>
      <w:tr>
        <w:trPr>
          <w:cantSplit/>
        </w:trPr>
        <w:tc>
          <w:tcPr>
            <w:tcW w:type="dxa" w:w="1800"/>
            <w:shd w:fill="FAFAF8"/>
            <w:vAlign w:val="top"/>
            <w:tcBorders>
              <w:bottom w:sz="2" w:val="single" w:color="E3DED5"/>
            </w:tcBorders>
          </w:tcPr>
          <w:p>
            <w:pPr>
              <w:spacing w:before="40" w:after="40" w:line="240" w:lineRule="auto"/>
            </w:pPr>
            <w:r>
              <w:rPr>
                <w:rFonts w:ascii="Arial" w:hAnsi="Arial"/>
                <w:color w:val="2B2B2B"/>
                <w:sz w:val="18"/>
              </w:rPr>
              <w:t>Appendix</w:t>
            </w:r>
          </w:p>
        </w:tc>
        <w:tc>
          <w:tcPr>
            <w:tcW w:type="dxa" w:w="7848"/>
            <w:shd w:fill="FAFAF8"/>
            <w:vAlign w:val="top"/>
            <w:tcBorders>
              <w:bottom w:sz="2" w:val="single" w:color="E3DED5"/>
            </w:tcBorders>
          </w:tcPr>
          <w:p>
            <w:pPr>
              <w:spacing w:before="40" w:after="40" w:line="240" w:lineRule="auto"/>
            </w:pPr>
            <w:r>
              <w:rPr>
                <w:rFonts w:ascii="Arial" w:hAnsi="Arial"/>
                <w:color w:val="2B2B2B"/>
                <w:sz w:val="18"/>
              </w:rPr>
              <w:t>Glossary and source references</w:t>
            </w:r>
          </w:p>
        </w:tc>
      </w:tr>
    </w:tbl>
    <w:p>
      <w:pPr>
        <w:pStyle w:val="Heading2"/>
        <w:keepNext/>
        <w:keepLines/>
        <w:spacing w:before="160" w:after="80" w:line="240" w:lineRule="auto"/>
      </w:pPr>
      <w:r>
        <w:rPr>
          <w:rFonts w:ascii="Arial" w:hAnsi="Arial"/>
          <w:b/>
          <w:color w:val="F5A01B"/>
          <w:sz w:val="28"/>
        </w:rPr>
        <w:t>How to Use This File</w:t>
      </w:r>
    </w:p>
    <w:p>
      <w:pPr>
        <w:pStyle w:val="ListBullet"/>
        <w:spacing w:before="0" w:after="60" w:line="252" w:lineRule="auto"/>
        <w:ind w:left="317" w:hanging="173"/>
      </w:pPr>
      <w:r>
        <w:rPr>
          <w:rFonts w:ascii="Arial" w:hAnsi="Arial"/>
          <w:color w:val="2B2B2B"/>
          <w:sz w:val="20"/>
        </w:rPr>
        <w:t>Executives should focus on Sections 1–6, 8, 13 and 15 to confirm why the system is being built, where its boundaries are and how success will be measured.</w:t>
      </w:r>
    </w:p>
    <w:p>
      <w:pPr>
        <w:pStyle w:val="ListBullet"/>
        <w:spacing w:before="0" w:after="60" w:line="252" w:lineRule="auto"/>
        <w:ind w:left="317" w:hanging="173"/>
      </w:pPr>
      <w:r>
        <w:rPr>
          <w:rFonts w:ascii="Arial" w:hAnsi="Arial"/>
          <w:color w:val="2B2B2B"/>
          <w:sz w:val="20"/>
        </w:rPr>
        <w:t>People &amp; Culture process owners should confirm the functional domains, lifecycle coverage and operating principles before detailed module requirements are approved.</w:t>
      </w:r>
    </w:p>
    <w:p>
      <w:pPr>
        <w:pStyle w:val="ListBullet"/>
        <w:spacing w:before="0" w:after="60" w:line="252" w:lineRule="auto"/>
        <w:ind w:left="317" w:hanging="173"/>
      </w:pPr>
      <w:r>
        <w:rPr>
          <w:rFonts w:ascii="Arial" w:hAnsi="Arial"/>
          <w:color w:val="2B2B2B"/>
          <w:sz w:val="20"/>
        </w:rPr>
        <w:t>Technology teams should treat Sections 5, 11 and 12 as direction-setting only; detailed architecture, security and integration specifications will be produced in later files.</w:t>
      </w:r>
    </w:p>
    <w:p>
      <w:pPr>
        <w:pStyle w:val="ListBullet"/>
        <w:spacing w:before="0" w:after="60" w:line="252" w:lineRule="auto"/>
        <w:ind w:left="317" w:hanging="173"/>
      </w:pPr>
      <w:r>
        <w:rPr>
          <w:rFonts w:ascii="Arial" w:hAnsi="Arial"/>
          <w:color w:val="2B2B2B"/>
          <w:sz w:val="20"/>
        </w:rPr>
        <w:t>Any statement marked “working title”, “to be confirmed” or “target-state extension” is an explicit design item that still requires formal validation.</w:t>
      </w:r>
    </w:p>
    <w:tbl>
      <w:tblPr>
        <w:tblW w:type="auto" w:w="0"/>
        <w:jc w:val="center"/>
        <w:tblLayout w:type="fixed"/>
        <w:tblLook w:firstColumn="1" w:firstRow="1" w:lastColumn="0" w:lastRow="0" w:noHBand="0" w:noVBand="1" w:val="04A0"/>
      </w:tblPr>
      <w:tblGrid>
        <w:gridCol w:w="9792"/>
      </w:tblGrid>
      <w:tr>
        <w:trPr>
          <w:cantSplit/>
        </w:trPr>
        <w:tc>
          <w:tcPr>
            <w:tcW w:type="dxa" w:w="10166"/>
            <w:shd w:fill="FFF6E6"/>
            <w:tcBorders>
              <w:top w:sz="4" w:val="single" w:color="E6E0D8"/>
              <w:left w:sz="14" w:val="single" w:color="F5A01B"/>
              <w:bottom w:sz="4" w:val="single" w:color="E6E0D8"/>
              <w:right w:sz="4" w:val="single" w:color="E6E0D8"/>
            </w:tcBorders>
          </w:tcPr>
          <w:p>
            <w:pPr>
              <w:spacing w:before="60" w:after="60" w:line="252" w:lineRule="auto"/>
            </w:pPr>
            <w:r>
              <w:rPr>
                <w:rFonts w:ascii="Arial" w:hAnsi="Arial"/>
                <w:b/>
                <w:color w:val="2B2B2B"/>
                <w:sz w:val="20"/>
              </w:rPr>
              <w:t xml:space="preserve">Scope discipline.  </w:t>
            </w:r>
            <w:r>
              <w:rPr>
                <w:rFonts w:ascii="Arial" w:hAnsi="Arial"/>
                <w:color w:val="2B2B2B"/>
                <w:sz w:val="19"/>
              </w:rPr>
              <w:t>This file is not the SRS and does not replace detailed functional requirements, workflow specifications, data models, interface contracts, security matrices or UAT cases.</w:t>
            </w:r>
          </w:p>
        </w:tc>
      </w:tr>
    </w:tbl>
    <w:p>
      <w:r>
        <w:br w:type="page"/>
      </w:r>
    </w:p>
    <w:p>
      <w:pPr>
        <w:pStyle w:val="Heading1"/>
        <w:keepNext/>
        <w:keepLines/>
        <w:spacing w:before="0" w:after="100" w:line="240" w:lineRule="auto"/>
      </w:pPr>
      <w:r>
        <w:rPr>
          <w:rFonts w:ascii="Arial" w:hAnsi="Arial"/>
          <w:b/>
          <w:color w:val="2B2B2B"/>
          <w:sz w:val="44"/>
        </w:rPr>
        <w:t>1. Executive Summary</w:t>
      </w:r>
    </w:p>
    <w:tbl>
      <w:tblPr>
        <w:tblW w:type="auto" w:w="0"/>
        <w:jc w:val="left"/>
        <w:tblLayout w:type="fixed"/>
        <w:tblLook w:firstColumn="1" w:firstRow="1" w:lastColumn="0" w:lastRow="0" w:noHBand="0" w:noVBand="1" w:val="04A0"/>
      </w:tblPr>
      <w:tblGrid>
        <w:gridCol w:w="9648"/>
      </w:tblGrid>
      <w:tr>
        <w:trPr>
          <w:cantSplit/>
        </w:trPr>
        <w:tc>
          <w:tcPr>
            <w:tcW w:type="dxa" w:w="10166"/>
            <w:shd w:fill="F5A01B"/>
          </w:tcPr>
          <w:p>
            <w:r/>
          </w:p>
        </w:tc>
      </w:tr>
    </w:tbl>
    <w:p>
      <w:pPr>
        <w:spacing w:before="100" w:after="200" w:line="252" w:lineRule="auto"/>
      </w:pPr>
      <w:r>
        <w:rPr>
          <w:rFonts w:ascii="Arial" w:hAnsi="Arial"/>
          <w:i/>
          <w:color w:val="666666"/>
          <w:sz w:val="21"/>
        </w:rPr>
        <w:t>AFRO HR is defined as an enterprise People &amp; Culture operating platform, not only an employee database or payroll utility.</w:t>
      </w:r>
    </w:p>
    <w:p>
      <w:pPr>
        <w:spacing w:before="0" w:after="120" w:line="259" w:lineRule="auto"/>
      </w:pPr>
      <w:r>
        <w:rPr>
          <w:rFonts w:ascii="Arial" w:hAnsi="Arial"/>
          <w:color w:val="2B2B2B"/>
          <w:sz w:val="20"/>
        </w:rPr>
        <w:t>The current People &amp; Culture manual already defines structured operating cycles for hiring, onboarding, offboarding, payroll, allowances, KPI incentives and HR Operations. These processes cross Talent Acquisition, Personnel, Payroll, HR Operations, HSE, IT, Finance, Administration, project management and direct managers. The target platform will convert those lifecycle processes into governed digital workflows with a controlled employee master record, auditable approvals, policy-driven calculations and role-based services.</w:t>
      </w:r>
    </w:p>
    <w:p>
      <w:pPr>
        <w:spacing w:before="0" w:after="120" w:line="259" w:lineRule="auto"/>
      </w:pPr>
      <w:r>
        <w:rPr>
          <w:rFonts w:ascii="Arial" w:hAnsi="Arial"/>
          <w:color w:val="2B2B2B"/>
          <w:sz w:val="20"/>
        </w:rPr>
        <w:t>The target state extends beyond the current manual into a full HR platform covering organization design, identity and permissions, attendance, leave, compensation, performance, learning, career and succession, employee relations, HR service management, personnel compliance, analytics, engagement, governance and organization development.</w:t>
      </w:r>
    </w:p>
    <w:tbl>
      <w:tblPr>
        <w:tblW w:type="auto" w:w="0"/>
        <w:jc w:val="center"/>
        <w:tblLayout w:type="fixed"/>
        <w:tblLook w:firstColumn="1" w:firstRow="1" w:lastColumn="0" w:lastRow="0" w:noHBand="0" w:noVBand="1" w:val="04A0"/>
      </w:tblPr>
      <w:tblGrid>
        <w:gridCol w:w="3389"/>
        <w:gridCol w:w="3389"/>
        <w:gridCol w:w="3389"/>
      </w:tblGrid>
      <w:tr>
        <w:trPr>
          <w:cantSplit/>
        </w:trPr>
        <w:tc>
          <w:tcPr>
            <w:tcW w:type="dxa" w:w="3389"/>
            <w:shd w:fill="FFF7E8"/>
            <w:tcBorders>
              <w:top w:sz="4" w:val="single" w:color="E6E0D8"/>
              <w:left w:sz="4" w:val="single" w:color="E6E0D8"/>
              <w:bottom w:sz="4" w:val="single" w:color="E6E0D8"/>
              <w:right w:sz="4" w:val="single" w:color="E6E0D8"/>
            </w:tcBorders>
            <w:vAlign w:val="center"/>
          </w:tcPr>
          <w:p>
            <w:pPr>
              <w:spacing w:before="100" w:after="40" w:line="240" w:lineRule="auto"/>
              <w:jc w:val="center"/>
            </w:pPr>
            <w:r>
              <w:rPr>
                <w:rFonts w:ascii="Arial" w:hAnsi="Arial"/>
                <w:b/>
                <w:color w:val="F5A01B"/>
                <w:sz w:val="20"/>
              </w:rPr>
              <w:t>One Employee Record</w:t>
            </w:r>
          </w:p>
          <w:p>
            <w:pPr>
              <w:spacing w:before="0" w:after="100" w:line="240" w:lineRule="auto"/>
              <w:jc w:val="center"/>
            </w:pPr>
            <w:r>
              <w:rPr>
                <w:rFonts w:ascii="Arial" w:hAnsi="Arial"/>
                <w:color w:val="2B2B2B"/>
                <w:sz w:val="17"/>
              </w:rPr>
              <w:t>A single governed source of truth across the employee lifecycle.</w:t>
            </w:r>
          </w:p>
        </w:tc>
        <w:tc>
          <w:tcPr>
            <w:tcW w:type="dxa" w:w="3389"/>
            <w:shd w:fill="F6F4F0"/>
            <w:tcBorders>
              <w:top w:sz="4" w:val="single" w:color="E6E0D8"/>
              <w:left w:sz="4" w:val="single" w:color="E6E0D8"/>
              <w:bottom w:sz="4" w:val="single" w:color="E6E0D8"/>
              <w:right w:sz="4" w:val="single" w:color="E6E0D8"/>
            </w:tcBorders>
            <w:vAlign w:val="center"/>
          </w:tcPr>
          <w:p>
            <w:pPr>
              <w:spacing w:before="100" w:after="40" w:line="240" w:lineRule="auto"/>
              <w:jc w:val="center"/>
            </w:pPr>
            <w:r>
              <w:rPr>
                <w:rFonts w:ascii="Arial" w:hAnsi="Arial"/>
                <w:b/>
                <w:color w:val="F5A01B"/>
                <w:sz w:val="20"/>
              </w:rPr>
              <w:t>Workflow-Driven</w:t>
            </w:r>
          </w:p>
          <w:p>
            <w:pPr>
              <w:spacing w:before="0" w:after="100" w:line="240" w:lineRule="auto"/>
              <w:jc w:val="center"/>
            </w:pPr>
            <w:r>
              <w:rPr>
                <w:rFonts w:ascii="Arial" w:hAnsi="Arial"/>
                <w:color w:val="2B2B2B"/>
                <w:sz w:val="17"/>
              </w:rPr>
              <w:t>Approvals, SLAs, evidence and exceptions are controlled in-system.</w:t>
            </w:r>
          </w:p>
        </w:tc>
        <w:tc>
          <w:tcPr>
            <w:tcW w:type="dxa" w:w="3389"/>
            <w:shd w:fill="FFF7E8"/>
            <w:tcBorders>
              <w:top w:sz="4" w:val="single" w:color="E6E0D8"/>
              <w:left w:sz="4" w:val="single" w:color="E6E0D8"/>
              <w:bottom w:sz="4" w:val="single" w:color="E6E0D8"/>
              <w:right w:sz="4" w:val="single" w:color="E6E0D8"/>
            </w:tcBorders>
            <w:vAlign w:val="center"/>
          </w:tcPr>
          <w:p>
            <w:pPr>
              <w:spacing w:before="100" w:after="40" w:line="240" w:lineRule="auto"/>
              <w:jc w:val="center"/>
            </w:pPr>
            <w:r>
              <w:rPr>
                <w:rFonts w:ascii="Arial" w:hAnsi="Arial"/>
                <w:b/>
                <w:color w:val="F5A01B"/>
                <w:sz w:val="20"/>
              </w:rPr>
              <w:t>Field-Workforce Ready</w:t>
            </w:r>
          </w:p>
          <w:p>
            <w:pPr>
              <w:spacing w:before="0" w:after="100" w:line="240" w:lineRule="auto"/>
              <w:jc w:val="center"/>
            </w:pPr>
            <w:r>
              <w:rPr>
                <w:rFonts w:ascii="Arial" w:hAnsi="Arial"/>
                <w:color w:val="2B2B2B"/>
                <w:sz w:val="17"/>
              </w:rPr>
              <w:t>Supports projects, sites, shifts, GPS, devices and supervisors.</w:t>
            </w:r>
          </w:p>
        </w:tc>
      </w:tr>
    </w:tbl>
    <w:tbl>
      <w:tblPr>
        <w:tblW w:type="auto" w:w="0"/>
        <w:jc w:val="center"/>
        <w:tblLayout w:type="fixed"/>
        <w:tblLook w:firstColumn="1" w:firstRow="1" w:lastColumn="0" w:lastRow="0" w:noHBand="0" w:noVBand="1" w:val="04A0"/>
      </w:tblPr>
      <w:tblGrid>
        <w:gridCol w:w="3389"/>
        <w:gridCol w:w="3389"/>
        <w:gridCol w:w="3389"/>
      </w:tblGrid>
      <w:tr>
        <w:trPr>
          <w:cantSplit/>
        </w:trPr>
        <w:tc>
          <w:tcPr>
            <w:tcW w:type="dxa" w:w="3389"/>
            <w:shd w:fill="FFF7E8"/>
            <w:tcBorders>
              <w:top w:sz="4" w:val="single" w:color="E6E0D8"/>
              <w:left w:sz="4" w:val="single" w:color="E6E0D8"/>
              <w:bottom w:sz="4" w:val="single" w:color="E6E0D8"/>
              <w:right w:sz="4" w:val="single" w:color="E6E0D8"/>
            </w:tcBorders>
            <w:vAlign w:val="center"/>
          </w:tcPr>
          <w:p>
            <w:pPr>
              <w:spacing w:before="100" w:after="40" w:line="240" w:lineRule="auto"/>
              <w:jc w:val="center"/>
            </w:pPr>
            <w:r>
              <w:rPr>
                <w:rFonts w:ascii="Arial" w:hAnsi="Arial"/>
                <w:b/>
                <w:color w:val="F5A01B"/>
                <w:sz w:val="20"/>
              </w:rPr>
              <w:t>Payroll-Controlled</w:t>
            </w:r>
          </w:p>
          <w:p>
            <w:pPr>
              <w:spacing w:before="0" w:after="100" w:line="240" w:lineRule="auto"/>
              <w:jc w:val="center"/>
            </w:pPr>
            <w:r>
              <w:rPr>
                <w:rFonts w:ascii="Arial" w:hAnsi="Arial"/>
                <w:color w:val="2B2B2B"/>
                <w:sz w:val="17"/>
              </w:rPr>
              <w:t>Payroll consumes validated inputs and preserves calculation traceability.</w:t>
            </w:r>
          </w:p>
        </w:tc>
        <w:tc>
          <w:tcPr>
            <w:tcW w:type="dxa" w:w="3389"/>
            <w:shd w:fill="F6F4F0"/>
            <w:tcBorders>
              <w:top w:sz="4" w:val="single" w:color="E6E0D8"/>
              <w:left w:sz="4" w:val="single" w:color="E6E0D8"/>
              <w:bottom w:sz="4" w:val="single" w:color="E6E0D8"/>
              <w:right w:sz="4" w:val="single" w:color="E6E0D8"/>
            </w:tcBorders>
            <w:vAlign w:val="center"/>
          </w:tcPr>
          <w:p>
            <w:pPr>
              <w:spacing w:before="100" w:after="40" w:line="240" w:lineRule="auto"/>
              <w:jc w:val="center"/>
            </w:pPr>
            <w:r>
              <w:rPr>
                <w:rFonts w:ascii="Arial" w:hAnsi="Arial"/>
                <w:b/>
                <w:color w:val="F5A01B"/>
                <w:sz w:val="20"/>
              </w:rPr>
              <w:t>Multi-Language</w:t>
            </w:r>
          </w:p>
          <w:p>
            <w:pPr>
              <w:spacing w:before="0" w:after="100" w:line="240" w:lineRule="auto"/>
              <w:jc w:val="center"/>
            </w:pPr>
            <w:r>
              <w:rPr>
                <w:rFonts w:ascii="Arial" w:hAnsi="Arial"/>
                <w:color w:val="2B2B2B"/>
                <w:sz w:val="17"/>
              </w:rPr>
              <w:t>English, Arabic RTL and French at user and configuration level.</w:t>
            </w:r>
          </w:p>
        </w:tc>
        <w:tc>
          <w:tcPr>
            <w:tcW w:type="dxa" w:w="3389"/>
            <w:shd w:fill="FFF7E8"/>
            <w:tcBorders>
              <w:top w:sz="4" w:val="single" w:color="E6E0D8"/>
              <w:left w:sz="4" w:val="single" w:color="E6E0D8"/>
              <w:bottom w:sz="4" w:val="single" w:color="E6E0D8"/>
              <w:right w:sz="4" w:val="single" w:color="E6E0D8"/>
            </w:tcBorders>
            <w:vAlign w:val="center"/>
          </w:tcPr>
          <w:p>
            <w:pPr>
              <w:spacing w:before="100" w:after="40" w:line="240" w:lineRule="auto"/>
              <w:jc w:val="center"/>
            </w:pPr>
            <w:r>
              <w:rPr>
                <w:rFonts w:ascii="Arial" w:hAnsi="Arial"/>
                <w:b/>
                <w:color w:val="F5A01B"/>
                <w:sz w:val="20"/>
              </w:rPr>
              <w:t>AI-Assisted</w:t>
            </w:r>
          </w:p>
          <w:p>
            <w:pPr>
              <w:spacing w:before="0" w:after="100" w:line="240" w:lineRule="auto"/>
              <w:jc w:val="center"/>
            </w:pPr>
            <w:r>
              <w:rPr>
                <w:rFonts w:ascii="Arial" w:hAnsi="Arial"/>
                <w:color w:val="2B2B2B"/>
                <w:sz w:val="17"/>
              </w:rPr>
              <w:t>Copilot and agents support decisions without bypassing human controls.</w:t>
            </w:r>
          </w:p>
        </w:tc>
      </w:tr>
    </w:tbl>
    <w:p>
      <w:pPr>
        <w:pStyle w:val="Heading2"/>
        <w:keepNext/>
        <w:keepLines/>
        <w:spacing w:before="160" w:after="80" w:line="240" w:lineRule="auto"/>
      </w:pPr>
      <w:r>
        <w:rPr>
          <w:rFonts w:ascii="Arial" w:hAnsi="Arial"/>
          <w:b/>
          <w:color w:val="F5A01B"/>
          <w:sz w:val="28"/>
        </w:rPr>
        <w:t>Executive Outcome</w:t>
      </w:r>
    </w:p>
    <w:tbl>
      <w:tblPr>
        <w:tblW w:type="auto" w:w="0"/>
        <w:jc w:val="center"/>
        <w:tblLayout w:type="fixed"/>
        <w:tblLook w:firstColumn="1" w:firstRow="1" w:lastColumn="0" w:lastRow="0" w:noHBand="0" w:noVBand="1" w:val="04A0"/>
      </w:tblPr>
      <w:tblGrid>
        <w:gridCol w:w="9792"/>
      </w:tblGrid>
      <w:tr>
        <w:trPr>
          <w:cantSplit/>
        </w:trPr>
        <w:tc>
          <w:tcPr>
            <w:tcW w:type="dxa" w:w="10166"/>
            <w:shd w:fill="FFF6E6"/>
            <w:tcBorders>
              <w:top w:sz="4" w:val="single" w:color="E6E0D8"/>
              <w:left w:sz="14" w:val="single" w:color="F5A01B"/>
              <w:bottom w:sz="4" w:val="single" w:color="E6E0D8"/>
              <w:right w:sz="4" w:val="single" w:color="E6E0D8"/>
            </w:tcBorders>
          </w:tcPr>
          <w:p>
            <w:pPr>
              <w:spacing w:before="60" w:after="60" w:line="252" w:lineRule="auto"/>
            </w:pPr>
            <w:r>
              <w:rPr>
                <w:rFonts w:ascii="Arial" w:hAnsi="Arial"/>
                <w:b/>
                <w:color w:val="2B2B2B"/>
                <w:sz w:val="20"/>
              </w:rPr>
              <w:t xml:space="preserve">Target outcome.  </w:t>
            </w:r>
            <w:r>
              <w:rPr>
                <w:rFonts w:ascii="Arial" w:hAnsi="Arial"/>
                <w:color w:val="2B2B2B"/>
                <w:sz w:val="19"/>
              </w:rPr>
              <w:t>Management should be able to answer “Who works for us, where are they assigned, are they ready and compliant, what do they cost, what decisions are pending, what risks are emerging, and what action is required?” from one governed platform.</w:t>
            </w:r>
          </w:p>
        </w:tc>
      </w:tr>
    </w:tbl>
    <w:p>
      <w:r>
        <w:br w:type="page"/>
      </w:r>
    </w:p>
    <w:p>
      <w:pPr>
        <w:pStyle w:val="Heading1"/>
        <w:keepNext/>
        <w:keepLines/>
        <w:spacing w:before="0" w:after="100" w:line="240" w:lineRule="auto"/>
      </w:pPr>
      <w:r>
        <w:rPr>
          <w:rFonts w:ascii="Arial" w:hAnsi="Arial"/>
          <w:b/>
          <w:color w:val="2B2B2B"/>
          <w:sz w:val="44"/>
        </w:rPr>
        <w:t>2. Business Context &amp; Case for Change</w:t>
      </w:r>
    </w:p>
    <w:tbl>
      <w:tblPr>
        <w:tblW w:type="auto" w:w="0"/>
        <w:jc w:val="left"/>
        <w:tblLayout w:type="fixed"/>
        <w:tblLook w:firstColumn="1" w:firstRow="1" w:lastColumn="0" w:lastRow="0" w:noHBand="0" w:noVBand="1" w:val="04A0"/>
      </w:tblPr>
      <w:tblGrid>
        <w:gridCol w:w="9648"/>
      </w:tblGrid>
      <w:tr>
        <w:trPr>
          <w:cantSplit/>
        </w:trPr>
        <w:tc>
          <w:tcPr>
            <w:tcW w:type="dxa" w:w="10166"/>
            <w:shd w:fill="F5A01B"/>
          </w:tcPr>
          <w:p>
            <w:r/>
          </w:p>
        </w:tc>
      </w:tr>
    </w:tbl>
    <w:p>
      <w:pPr>
        <w:pStyle w:val="Heading2"/>
        <w:keepNext/>
        <w:keepLines/>
        <w:spacing w:before="160" w:after="80" w:line="240" w:lineRule="auto"/>
      </w:pPr>
      <w:r>
        <w:rPr>
          <w:rFonts w:ascii="Arial" w:hAnsi="Arial"/>
          <w:b/>
          <w:color w:val="F5A01B"/>
          <w:sz w:val="28"/>
        </w:rPr>
        <w:t>Current-State Foundation</w:t>
      </w:r>
    </w:p>
    <w:p>
      <w:pPr>
        <w:spacing w:before="0" w:after="120" w:line="259" w:lineRule="auto"/>
      </w:pPr>
      <w:r>
        <w:rPr>
          <w:rFonts w:ascii="Arial" w:hAnsi="Arial"/>
          <w:color w:val="2B2B2B"/>
          <w:sz w:val="20"/>
        </w:rPr>
        <w:t>The documented operating model is already process-oriented. Hiring is defined from manpower request through sourcing, assessment, offer and handover to Personnel. Onboarding continues through document collection, contracting, system registration, equipment readiness, HSE requirements, orientation and employment activation. Offboarding covers access deactivation, handover, clearance, legal and financial closure, and file archiving.</w:t>
      </w:r>
    </w:p>
    <w:p>
      <w:pPr>
        <w:spacing w:before="0" w:after="120" w:line="259" w:lineRule="auto"/>
      </w:pPr>
      <w:r>
        <w:rPr>
          <w:rFonts w:ascii="Arial" w:hAnsi="Arial"/>
          <w:color w:val="2B2B2B"/>
          <w:sz w:val="20"/>
        </w:rPr>
        <w:t>Payroll, allowances and KPI incentives are operated through recurring validation, calculation, submission, payment and project cost reporting cycles. HR Operations then supports project assignment, operational readiness, workforce management, employee relations, investigations, compliance follow-up and resignation coordination.</w:t>
      </w:r>
    </w:p>
    <w:p>
      <w:pPr>
        <w:pStyle w:val="Heading2"/>
        <w:keepNext/>
        <w:keepLines/>
        <w:spacing w:before="160" w:after="80" w:line="240" w:lineRule="auto"/>
      </w:pPr>
      <w:r>
        <w:rPr>
          <w:rFonts w:ascii="Arial" w:hAnsi="Arial"/>
          <w:b/>
          <w:color w:val="F5A01B"/>
          <w:sz w:val="28"/>
        </w:rPr>
        <w:t>Why a System Layer Is Required</w:t>
      </w:r>
    </w:p>
    <w:p>
      <w:pPr>
        <w:spacing w:before="0" w:after="60" w:line="252" w:lineRule="auto"/>
        <w:ind w:left="259" w:hanging="259"/>
      </w:pPr>
      <w:r>
        <w:rPr>
          <w:rFonts w:ascii="Arial" w:hAnsi="Arial"/>
          <w:b w:val="0"/>
          <w:color w:val="2B2B2B"/>
          <w:sz w:val="20"/>
        </w:rPr>
        <w:t xml:space="preserve">1.  </w:t>
      </w:r>
      <w:r>
        <w:rPr>
          <w:rFonts w:ascii="Arial" w:hAnsi="Arial"/>
          <w:color w:val="2B2B2B"/>
          <w:sz w:val="20"/>
        </w:rPr>
        <w:t>Process continuity: lifecycle stages should pass structured data and approvals to the next stage instead of being re-keyed or re-confirmed manually.</w:t>
      </w:r>
    </w:p>
    <w:p>
      <w:pPr>
        <w:spacing w:before="0" w:after="60" w:line="252" w:lineRule="auto"/>
        <w:ind w:left="259" w:hanging="259"/>
      </w:pPr>
      <w:r>
        <w:rPr>
          <w:rFonts w:ascii="Arial" w:hAnsi="Arial"/>
          <w:b w:val="0"/>
          <w:color w:val="2B2B2B"/>
          <w:sz w:val="20"/>
        </w:rPr>
        <w:t xml:space="preserve">2.  </w:t>
      </w:r>
      <w:r>
        <w:rPr>
          <w:rFonts w:ascii="Arial" w:hAnsi="Arial"/>
          <w:color w:val="2B2B2B"/>
          <w:sz w:val="20"/>
        </w:rPr>
        <w:t>Data ownership: employee, position, project, compensation, attendance, document and compliance data need explicit owners and controlled history.</w:t>
      </w:r>
    </w:p>
    <w:p>
      <w:pPr>
        <w:spacing w:before="0" w:after="60" w:line="252" w:lineRule="auto"/>
        <w:ind w:left="259" w:hanging="259"/>
      </w:pPr>
      <w:r>
        <w:rPr>
          <w:rFonts w:ascii="Arial" w:hAnsi="Arial"/>
          <w:b w:val="0"/>
          <w:color w:val="2B2B2B"/>
          <w:sz w:val="20"/>
        </w:rPr>
        <w:t xml:space="preserve">3.  </w:t>
      </w:r>
      <w:r>
        <w:rPr>
          <w:rFonts w:ascii="Arial" w:hAnsi="Arial"/>
          <w:color w:val="2B2B2B"/>
          <w:sz w:val="20"/>
        </w:rPr>
        <w:t>Operational control: SLAs, pending approvals, missing documents, expiring requirements and payroll-impacting exceptions must be visible before they become failures.</w:t>
      </w:r>
    </w:p>
    <w:p>
      <w:pPr>
        <w:spacing w:before="0" w:after="60" w:line="252" w:lineRule="auto"/>
        <w:ind w:left="259" w:hanging="259"/>
      </w:pPr>
      <w:r>
        <w:rPr>
          <w:rFonts w:ascii="Arial" w:hAnsi="Arial"/>
          <w:b w:val="0"/>
          <w:color w:val="2B2B2B"/>
          <w:sz w:val="20"/>
        </w:rPr>
        <w:t xml:space="preserve">4.  </w:t>
      </w:r>
      <w:r>
        <w:rPr>
          <w:rFonts w:ascii="Arial" w:hAnsi="Arial"/>
          <w:color w:val="2B2B2B"/>
          <w:sz w:val="20"/>
        </w:rPr>
        <w:t>Project workforce visibility: project-based staffing requires assignment history, cost allocation, deployment readiness and manager visibility.</w:t>
      </w:r>
    </w:p>
    <w:p>
      <w:pPr>
        <w:spacing w:before="0" w:after="60" w:line="252" w:lineRule="auto"/>
        <w:ind w:left="259" w:hanging="259"/>
      </w:pPr>
      <w:r>
        <w:rPr>
          <w:rFonts w:ascii="Arial" w:hAnsi="Arial"/>
          <w:b w:val="0"/>
          <w:color w:val="2B2B2B"/>
          <w:sz w:val="20"/>
        </w:rPr>
        <w:t xml:space="preserve">5.  </w:t>
      </w:r>
      <w:r>
        <w:rPr>
          <w:rFonts w:ascii="Arial" w:hAnsi="Arial"/>
          <w:color w:val="2B2B2B"/>
          <w:sz w:val="20"/>
        </w:rPr>
        <w:t>Compliance and auditability: sensitive employment decisions and payments must be traceable to approved inputs, roles, policies and evidence.</w:t>
      </w:r>
    </w:p>
    <w:p>
      <w:pPr>
        <w:spacing w:before="0" w:after="60" w:line="252" w:lineRule="auto"/>
        <w:ind w:left="259" w:hanging="259"/>
      </w:pPr>
      <w:r>
        <w:rPr>
          <w:rFonts w:ascii="Arial" w:hAnsi="Arial"/>
          <w:b w:val="0"/>
          <w:color w:val="2B2B2B"/>
          <w:sz w:val="20"/>
        </w:rPr>
        <w:t xml:space="preserve">6.  </w:t>
      </w:r>
      <w:r>
        <w:rPr>
          <w:rFonts w:ascii="Arial" w:hAnsi="Arial"/>
          <w:color w:val="2B2B2B"/>
          <w:sz w:val="20"/>
        </w:rPr>
        <w:t>Management information: executives need consistent headcount, people cost, workforce readiness and risk metrics from governed data rather than disconnected reports.</w:t>
      </w:r>
    </w:p>
    <w:p>
      <w:pPr>
        <w:pStyle w:val="Heading2"/>
        <w:keepNext/>
        <w:keepLines/>
        <w:spacing w:before="160" w:after="80" w:line="240" w:lineRule="auto"/>
      </w:pPr>
      <w:r>
        <w:rPr>
          <w:rFonts w:ascii="Arial" w:hAnsi="Arial"/>
          <w:b/>
          <w:color w:val="F5A01B"/>
          <w:sz w:val="28"/>
        </w:rPr>
        <w:t>Current-State to Target-State Shift</w:t>
      </w:r>
    </w:p>
    <w:tbl>
      <w:tblPr>
        <w:tblW w:type="auto" w:w="0"/>
        <w:jc w:val="center"/>
        <w:tblLayout w:type="fixed"/>
        <w:tblLook w:firstColumn="1" w:firstRow="1" w:lastColumn="0" w:lastRow="0" w:noHBand="0" w:noVBand="1" w:val="04A0"/>
      </w:tblPr>
      <w:tblGrid>
        <w:gridCol w:w="3672"/>
        <w:gridCol w:w="5976"/>
      </w:tblGrid>
      <w:tr>
        <w:trPr>
          <w:cantSplit/>
        </w:trPr>
        <w:tc>
          <w:tcPr>
            <w:tcW w:type="dxa" w:w="5083"/>
            <w:shd w:fill="F5A01B"/>
            <w:vAlign w:val="center"/>
          </w:tcPr>
          <w:p>
            <w:pPr>
              <w:spacing w:before="40" w:after="40" w:line="240" w:lineRule="auto"/>
              <w:jc w:val="left"/>
            </w:pPr>
            <w:r>
              <w:rPr>
                <w:rFonts w:ascii="Arial" w:hAnsi="Arial"/>
                <w:b/>
                <w:color w:val="2B2B2B"/>
                <w:sz w:val="17"/>
              </w:rPr>
              <w:t>Current Operating Need</w:t>
            </w:r>
          </w:p>
        </w:tc>
        <w:tc>
          <w:tcPr>
            <w:tcW w:type="dxa" w:w="5083"/>
            <w:shd w:fill="F5A01B"/>
            <w:vAlign w:val="center"/>
          </w:tcPr>
          <w:p>
            <w:pPr>
              <w:spacing w:before="40" w:after="40" w:line="240" w:lineRule="auto"/>
              <w:jc w:val="left"/>
            </w:pPr>
            <w:r>
              <w:rPr>
                <w:rFonts w:ascii="Arial" w:hAnsi="Arial"/>
                <w:b/>
                <w:color w:val="2B2B2B"/>
                <w:sz w:val="17"/>
              </w:rPr>
              <w:t>Target System Response</w:t>
            </w:r>
          </w:p>
        </w:tc>
      </w:tr>
      <w:tr>
        <w:trPr>
          <w:cantSplit/>
        </w:trPr>
        <w:tc>
          <w:tcPr>
            <w:tcW w:type="dxa" w:w="3672"/>
            <w:vAlign w:val="top"/>
            <w:tcBorders>
              <w:bottom w:sz="2" w:val="single" w:color="E3DED5"/>
            </w:tcBorders>
          </w:tcPr>
          <w:p>
            <w:pPr>
              <w:spacing w:before="40" w:after="40" w:line="240" w:lineRule="auto"/>
            </w:pPr>
            <w:r>
              <w:rPr>
                <w:rFonts w:ascii="Arial" w:hAnsi="Arial"/>
                <w:color w:val="2B2B2B"/>
                <w:sz w:val="17"/>
              </w:rPr>
              <w:t>Cross-department handoffs</w:t>
            </w:r>
          </w:p>
        </w:tc>
        <w:tc>
          <w:tcPr>
            <w:tcW w:type="dxa" w:w="5976"/>
            <w:vAlign w:val="top"/>
            <w:tcBorders>
              <w:bottom w:sz="2" w:val="single" w:color="E3DED5"/>
            </w:tcBorders>
          </w:tcPr>
          <w:p>
            <w:pPr>
              <w:spacing w:before="40" w:after="40" w:line="240" w:lineRule="auto"/>
            </w:pPr>
            <w:r>
              <w:rPr>
                <w:rFonts w:ascii="Arial" w:hAnsi="Arial"/>
                <w:color w:val="2B2B2B"/>
                <w:sz w:val="17"/>
              </w:rPr>
              <w:t>Workflow cases with ownership, status, SLA and audit trail</w:t>
            </w:r>
          </w:p>
        </w:tc>
      </w:tr>
      <w:tr>
        <w:trPr>
          <w:cantSplit/>
        </w:trPr>
        <w:tc>
          <w:tcPr>
            <w:tcW w:type="dxa" w:w="3672"/>
            <w:shd w:fill="FAFAF8"/>
            <w:vAlign w:val="top"/>
            <w:tcBorders>
              <w:bottom w:sz="2" w:val="single" w:color="E3DED5"/>
            </w:tcBorders>
          </w:tcPr>
          <w:p>
            <w:pPr>
              <w:spacing w:before="40" w:after="40" w:line="240" w:lineRule="auto"/>
            </w:pPr>
            <w:r>
              <w:rPr>
                <w:rFonts w:ascii="Arial" w:hAnsi="Arial"/>
                <w:color w:val="2B2B2B"/>
                <w:sz w:val="17"/>
              </w:rPr>
              <w:t>ERP / email / trackers used at different stages</w:t>
            </w:r>
          </w:p>
        </w:tc>
        <w:tc>
          <w:tcPr>
            <w:tcW w:type="dxa" w:w="5976"/>
            <w:shd w:fill="FAFAF8"/>
            <w:vAlign w:val="top"/>
            <w:tcBorders>
              <w:bottom w:sz="2" w:val="single" w:color="E3DED5"/>
            </w:tcBorders>
          </w:tcPr>
          <w:p>
            <w:pPr>
              <w:spacing w:before="40" w:after="40" w:line="240" w:lineRule="auto"/>
            </w:pPr>
            <w:r>
              <w:rPr>
                <w:rFonts w:ascii="Arial" w:hAnsi="Arial"/>
                <w:color w:val="2B2B2B"/>
                <w:sz w:val="17"/>
              </w:rPr>
              <w:t>Unified HR process layer with controlled integration to external systems</w:t>
            </w:r>
          </w:p>
        </w:tc>
      </w:tr>
      <w:tr>
        <w:trPr>
          <w:cantSplit/>
        </w:trPr>
        <w:tc>
          <w:tcPr>
            <w:tcW w:type="dxa" w:w="3672"/>
            <w:vAlign w:val="top"/>
            <w:tcBorders>
              <w:bottom w:sz="2" w:val="single" w:color="E3DED5"/>
            </w:tcBorders>
          </w:tcPr>
          <w:p>
            <w:pPr>
              <w:spacing w:before="40" w:after="40" w:line="240" w:lineRule="auto"/>
            </w:pPr>
            <w:r>
              <w:rPr>
                <w:rFonts w:ascii="Arial" w:hAnsi="Arial"/>
                <w:color w:val="2B2B2B"/>
                <w:sz w:val="17"/>
              </w:rPr>
              <w:t>Project and site workforce</w:t>
            </w:r>
          </w:p>
        </w:tc>
        <w:tc>
          <w:tcPr>
            <w:tcW w:type="dxa" w:w="5976"/>
            <w:vAlign w:val="top"/>
            <w:tcBorders>
              <w:bottom w:sz="2" w:val="single" w:color="E3DED5"/>
            </w:tcBorders>
          </w:tcPr>
          <w:p>
            <w:pPr>
              <w:spacing w:before="40" w:after="40" w:line="240" w:lineRule="auto"/>
            </w:pPr>
            <w:r>
              <w:rPr>
                <w:rFonts w:ascii="Arial" w:hAnsi="Arial"/>
                <w:color w:val="2B2B2B"/>
                <w:sz w:val="17"/>
              </w:rPr>
              <w:t>Multi-project assignment, location, roster and field attendance controls</w:t>
            </w:r>
          </w:p>
        </w:tc>
      </w:tr>
      <w:tr>
        <w:trPr>
          <w:cantSplit/>
        </w:trPr>
        <w:tc>
          <w:tcPr>
            <w:tcW w:type="dxa" w:w="3672"/>
            <w:shd w:fill="FAFAF8"/>
            <w:vAlign w:val="top"/>
            <w:tcBorders>
              <w:bottom w:sz="2" w:val="single" w:color="E3DED5"/>
            </w:tcBorders>
          </w:tcPr>
          <w:p>
            <w:pPr>
              <w:spacing w:before="40" w:after="40" w:line="240" w:lineRule="auto"/>
            </w:pPr>
            <w:r>
              <w:rPr>
                <w:rFonts w:ascii="Arial" w:hAnsi="Arial"/>
                <w:color w:val="2B2B2B"/>
                <w:sz w:val="17"/>
              </w:rPr>
              <w:t>Monthly payroll cutoffs</w:t>
            </w:r>
          </w:p>
        </w:tc>
        <w:tc>
          <w:tcPr>
            <w:tcW w:type="dxa" w:w="5976"/>
            <w:shd w:fill="FAFAF8"/>
            <w:vAlign w:val="top"/>
            <w:tcBorders>
              <w:bottom w:sz="2" w:val="single" w:color="E3DED5"/>
            </w:tcBorders>
          </w:tcPr>
          <w:p>
            <w:pPr>
              <w:spacing w:before="40" w:after="40" w:line="240" w:lineRule="auto"/>
            </w:pPr>
            <w:r>
              <w:rPr>
                <w:rFonts w:ascii="Arial" w:hAnsi="Arial"/>
                <w:color w:val="2B2B2B"/>
                <w:sz w:val="17"/>
              </w:rPr>
              <w:t>Locked payroll runs fed by approved attendance, leave, allowances, KPI and adjustments</w:t>
            </w:r>
          </w:p>
        </w:tc>
      </w:tr>
      <w:tr>
        <w:trPr>
          <w:cantSplit/>
        </w:trPr>
        <w:tc>
          <w:tcPr>
            <w:tcW w:type="dxa" w:w="3672"/>
            <w:vAlign w:val="top"/>
            <w:tcBorders>
              <w:bottom w:sz="2" w:val="single" w:color="E3DED5"/>
            </w:tcBorders>
          </w:tcPr>
          <w:p>
            <w:pPr>
              <w:spacing w:before="40" w:after="40" w:line="240" w:lineRule="auto"/>
            </w:pPr>
            <w:r>
              <w:rPr>
                <w:rFonts w:ascii="Arial" w:hAnsi="Arial"/>
                <w:color w:val="2B2B2B"/>
                <w:sz w:val="17"/>
              </w:rPr>
              <w:t>Document and certification follow-up</w:t>
            </w:r>
          </w:p>
        </w:tc>
        <w:tc>
          <w:tcPr>
            <w:tcW w:type="dxa" w:w="5976"/>
            <w:vAlign w:val="top"/>
            <w:tcBorders>
              <w:bottom w:sz="2" w:val="single" w:color="E3DED5"/>
            </w:tcBorders>
          </w:tcPr>
          <w:p>
            <w:pPr>
              <w:spacing w:before="40" w:after="40" w:line="240" w:lineRule="auto"/>
            </w:pPr>
            <w:r>
              <w:rPr>
                <w:rFonts w:ascii="Arial" w:hAnsi="Arial"/>
                <w:color w:val="2B2B2B"/>
                <w:sz w:val="17"/>
              </w:rPr>
              <w:t>Expiry rules, alerts, readiness gates and compliance dashboards</w:t>
            </w:r>
          </w:p>
        </w:tc>
      </w:tr>
    </w:tbl>
    <w:p>
      <w:r>
        <w:br w:type="page"/>
      </w:r>
    </w:p>
    <w:p>
      <w:pPr>
        <w:pStyle w:val="Heading1"/>
        <w:keepNext/>
        <w:keepLines/>
        <w:spacing w:before="0" w:after="100" w:line="240" w:lineRule="auto"/>
      </w:pPr>
      <w:r>
        <w:rPr>
          <w:rFonts w:ascii="Arial" w:hAnsi="Arial"/>
          <w:b/>
          <w:color w:val="2B2B2B"/>
          <w:sz w:val="44"/>
        </w:rPr>
        <w:t>3. System Vision &amp; Product Positioning</w:t>
      </w:r>
    </w:p>
    <w:tbl>
      <w:tblPr>
        <w:tblW w:type="auto" w:w="0"/>
        <w:jc w:val="left"/>
        <w:tblLayout w:type="fixed"/>
        <w:tblLook w:firstColumn="1" w:firstRow="1" w:lastColumn="0" w:lastRow="0" w:noHBand="0" w:noVBand="1" w:val="04A0"/>
      </w:tblPr>
      <w:tblGrid>
        <w:gridCol w:w="9648"/>
      </w:tblGrid>
      <w:tr>
        <w:trPr>
          <w:cantSplit/>
        </w:trPr>
        <w:tc>
          <w:tcPr>
            <w:tcW w:type="dxa" w:w="10166"/>
            <w:shd w:fill="F5A01B"/>
          </w:tcPr>
          <w:p>
            <w:r/>
          </w:p>
        </w:tc>
      </w:tr>
    </w:tbl>
    <w:p>
      <w:pPr>
        <w:pStyle w:val="Heading2"/>
        <w:keepNext/>
        <w:keepLines/>
        <w:spacing w:before="160" w:after="80" w:line="240" w:lineRule="auto"/>
      </w:pPr>
      <w:r>
        <w:rPr>
          <w:rFonts w:ascii="Arial" w:hAnsi="Arial"/>
          <w:b/>
          <w:color w:val="F5A01B"/>
          <w:sz w:val="28"/>
        </w:rPr>
        <w:t>Vision Statement</w:t>
      </w:r>
    </w:p>
    <w:tbl>
      <w:tblPr>
        <w:tblW w:type="auto" w:w="0"/>
        <w:jc w:val="center"/>
        <w:tblLayout w:type="fixed"/>
        <w:tblLook w:firstColumn="1" w:firstRow="1" w:lastColumn="0" w:lastRow="0" w:noHBand="0" w:noVBand="1" w:val="04A0"/>
      </w:tblPr>
      <w:tblGrid>
        <w:gridCol w:w="9792"/>
      </w:tblGrid>
      <w:tr>
        <w:trPr>
          <w:cantSplit/>
        </w:trPr>
        <w:tc>
          <w:tcPr>
            <w:tcW w:type="dxa" w:w="10166"/>
            <w:shd w:fill="FFF6E6"/>
            <w:tcBorders>
              <w:top w:sz="4" w:val="single" w:color="E6E0D8"/>
              <w:left w:sz="14" w:val="single" w:color="F5A01B"/>
              <w:bottom w:sz="4" w:val="single" w:color="E6E0D8"/>
              <w:right w:sz="4" w:val="single" w:color="E6E0D8"/>
            </w:tcBorders>
          </w:tcPr>
          <w:p>
            <w:pPr>
              <w:spacing w:before="60" w:after="60" w:line="252" w:lineRule="auto"/>
            </w:pPr>
            <w:r>
              <w:rPr>
                <w:rFonts w:ascii="Arial" w:hAnsi="Arial"/>
                <w:b/>
                <w:color w:val="2B2B2B"/>
                <w:sz w:val="20"/>
              </w:rPr>
              <w:t xml:space="preserve">AFRO HR Vision.  </w:t>
            </w:r>
            <w:r>
              <w:rPr>
                <w:rFonts w:ascii="Arial" w:hAnsi="Arial"/>
                <w:color w:val="2B2B2B"/>
                <w:sz w:val="19"/>
              </w:rPr>
              <w:t>Create one secure, configurable and auditable People &amp; Culture platform that governs every material employee-lifecycle event — from workforce demand and recruitment through deployment, pay, development, employee service and separation — while remaining practical for both office and telecom field operations.</w:t>
            </w:r>
          </w:p>
        </w:tc>
      </w:tr>
    </w:tbl>
    <w:p>
      <w:pPr>
        <w:pStyle w:val="Heading2"/>
        <w:keepNext/>
        <w:keepLines/>
        <w:spacing w:before="160" w:after="80" w:line="240" w:lineRule="auto"/>
      </w:pPr>
      <w:r>
        <w:rPr>
          <w:rFonts w:ascii="Arial" w:hAnsi="Arial"/>
          <w:b/>
          <w:color w:val="F5A01B"/>
          <w:sz w:val="28"/>
        </w:rPr>
        <w:t>Product Positioning</w:t>
      </w:r>
    </w:p>
    <w:p>
      <w:pPr>
        <w:spacing w:before="0" w:after="120" w:line="259" w:lineRule="auto"/>
      </w:pPr>
      <w:r>
        <w:rPr>
          <w:rFonts w:ascii="Arial" w:hAnsi="Arial"/>
          <w:color w:val="2B2B2B"/>
          <w:sz w:val="20"/>
        </w:rPr>
        <w:t>AFRO HR is positioned as the People &amp; Culture system of engagement and process control. It will own HR workflow, employee lifecycle state, HR-specific rules, evidence, approvals and HR analytics. It will not replace Finance, banking, customer operational platforms, corporate identity services or a full HSE management system; instead, it will exchange governed data with them.</w:t>
      </w:r>
    </w:p>
    <w:p>
      <w:pPr>
        <w:pStyle w:val="Heading2"/>
        <w:keepNext/>
        <w:keepLines/>
        <w:spacing w:before="160" w:after="80" w:line="240" w:lineRule="auto"/>
      </w:pPr>
      <w:r>
        <w:rPr>
          <w:rFonts w:ascii="Arial" w:hAnsi="Arial"/>
          <w:b/>
          <w:color w:val="F5A01B"/>
          <w:sz w:val="28"/>
        </w:rPr>
        <w:t>What Makes the Target Product Different</w:t>
      </w:r>
    </w:p>
    <w:p>
      <w:pPr>
        <w:pStyle w:val="ListBullet"/>
        <w:spacing w:before="0" w:after="60" w:line="252" w:lineRule="auto"/>
        <w:ind w:left="317" w:hanging="173"/>
      </w:pPr>
      <w:r>
        <w:rPr>
          <w:rFonts w:ascii="Arial" w:hAnsi="Arial"/>
          <w:color w:val="2B2B2B"/>
          <w:sz w:val="20"/>
        </w:rPr>
        <w:t>Telecom contracting and project-workforce orientation, including project assignment, site/location rules, field attendance and deployment readiness.</w:t>
      </w:r>
    </w:p>
    <w:p>
      <w:pPr>
        <w:pStyle w:val="ListBullet"/>
        <w:spacing w:before="0" w:after="60" w:line="252" w:lineRule="auto"/>
        <w:ind w:left="317" w:hanging="173"/>
      </w:pPr>
      <w:r>
        <w:rPr>
          <w:rFonts w:ascii="Arial" w:hAnsi="Arial"/>
          <w:color w:val="2B2B2B"/>
          <w:sz w:val="20"/>
        </w:rPr>
        <w:t>Multiple attendance evidence methods: biometric devices, GPS/mobile, supervisor validation and controlled manual evidence.</w:t>
      </w:r>
    </w:p>
    <w:p>
      <w:pPr>
        <w:pStyle w:val="ListBullet"/>
        <w:spacing w:before="0" w:after="60" w:line="252" w:lineRule="auto"/>
        <w:ind w:left="317" w:hanging="173"/>
      </w:pPr>
      <w:r>
        <w:rPr>
          <w:rFonts w:ascii="Arial" w:hAnsi="Arial"/>
          <w:color w:val="2B2B2B"/>
          <w:sz w:val="20"/>
        </w:rPr>
        <w:t>Payroll and allowance rules capable of project allocation, overtime, location/field allowances, KPI bonus and approved adjustments.</w:t>
      </w:r>
    </w:p>
    <w:p>
      <w:pPr>
        <w:pStyle w:val="ListBullet"/>
        <w:spacing w:before="0" w:after="60" w:line="252" w:lineRule="auto"/>
        <w:ind w:left="317" w:hanging="173"/>
      </w:pPr>
      <w:r>
        <w:rPr>
          <w:rFonts w:ascii="Arial" w:hAnsi="Arial"/>
          <w:color w:val="2B2B2B"/>
          <w:sz w:val="20"/>
        </w:rPr>
        <w:t>Strong personnel and compliance controls covering contracts, insurance, documents, certifications, medical/HSE readiness and expiry monitoring.</w:t>
      </w:r>
    </w:p>
    <w:p>
      <w:pPr>
        <w:pStyle w:val="ListBullet"/>
        <w:spacing w:before="0" w:after="60" w:line="252" w:lineRule="auto"/>
        <w:ind w:left="317" w:hanging="173"/>
      </w:pPr>
      <w:r>
        <w:rPr>
          <w:rFonts w:ascii="Arial" w:hAnsi="Arial"/>
          <w:color w:val="2B2B2B"/>
          <w:sz w:val="20"/>
        </w:rPr>
        <w:t>Multi-company and SaaS-ready architecture with tenant isolation and configurable company policies.</w:t>
      </w:r>
    </w:p>
    <w:p>
      <w:pPr>
        <w:pStyle w:val="ListBullet"/>
        <w:spacing w:before="0" w:after="60" w:line="252" w:lineRule="auto"/>
        <w:ind w:left="317" w:hanging="173"/>
      </w:pPr>
      <w:r>
        <w:rPr>
          <w:rFonts w:ascii="Arial" w:hAnsi="Arial"/>
          <w:color w:val="2B2B2B"/>
          <w:sz w:val="20"/>
        </w:rPr>
        <w:t>Employee and manager self-service with mobile support for field roles.</w:t>
      </w:r>
    </w:p>
    <w:p>
      <w:pPr>
        <w:pStyle w:val="ListBullet"/>
        <w:spacing w:before="0" w:after="60" w:line="252" w:lineRule="auto"/>
        <w:ind w:left="317" w:hanging="173"/>
      </w:pPr>
      <w:r>
        <w:rPr>
          <w:rFonts w:ascii="Arial" w:hAnsi="Arial"/>
          <w:color w:val="2B2B2B"/>
          <w:sz w:val="20"/>
        </w:rPr>
        <w:t>An AI layer designed for search, explanation, recommendations, drafting and controlled actions with human approval where required.</w:t>
      </w:r>
    </w:p>
    <w:p>
      <w:pPr>
        <w:pStyle w:val="Heading2"/>
        <w:keepNext/>
        <w:keepLines/>
        <w:spacing w:before="160" w:after="80" w:line="240" w:lineRule="auto"/>
      </w:pPr>
      <w:r>
        <w:rPr>
          <w:rFonts w:ascii="Arial" w:hAnsi="Arial"/>
          <w:b/>
          <w:color w:val="F5A01B"/>
          <w:sz w:val="28"/>
        </w:rPr>
        <w:t>North-Star User Experience</w:t>
      </w:r>
    </w:p>
    <w:p>
      <w:pPr>
        <w:spacing w:before="0" w:after="120" w:line="259" w:lineRule="auto"/>
      </w:pPr>
      <w:r>
        <w:rPr>
          <w:rFonts w:ascii="Arial" w:hAnsi="Arial"/>
          <w:color w:val="2B2B2B"/>
          <w:sz w:val="20"/>
        </w:rPr>
        <w:t>A user should not need to understand the underlying HR modules to complete routine work. The system should present the next valid action, required evidence, approval path, SLA and policy rule based on the employee, role, project, location and transaction context.</w:t>
      </w:r>
    </w:p>
    <w:p>
      <w:r>
        <w:br w:type="page"/>
      </w:r>
    </w:p>
    <w:p>
      <w:pPr>
        <w:pStyle w:val="Heading1"/>
        <w:keepNext/>
        <w:keepLines/>
        <w:spacing w:before="0" w:after="100" w:line="240" w:lineRule="auto"/>
      </w:pPr>
      <w:r>
        <w:rPr>
          <w:rFonts w:ascii="Arial" w:hAnsi="Arial"/>
          <w:b/>
          <w:color w:val="2B2B2B"/>
          <w:sz w:val="44"/>
        </w:rPr>
        <w:t>4. Strategic Objectives</w:t>
      </w:r>
    </w:p>
    <w:tbl>
      <w:tblPr>
        <w:tblW w:type="auto" w:w="0"/>
        <w:jc w:val="left"/>
        <w:tblLayout w:type="fixed"/>
        <w:tblLook w:firstColumn="1" w:firstRow="1" w:lastColumn="0" w:lastRow="0" w:noHBand="0" w:noVBand="1" w:val="04A0"/>
      </w:tblPr>
      <w:tblGrid>
        <w:gridCol w:w="9648"/>
      </w:tblGrid>
      <w:tr>
        <w:trPr>
          <w:cantSplit/>
        </w:trPr>
        <w:tc>
          <w:tcPr>
            <w:tcW w:type="dxa" w:w="10166"/>
            <w:shd w:fill="F5A01B"/>
          </w:tcPr>
          <w:p>
            <w:r/>
          </w:p>
        </w:tc>
      </w:tr>
    </w:tbl>
    <w:tbl>
      <w:tblPr>
        <w:tblW w:type="auto" w:w="0"/>
        <w:jc w:val="center"/>
        <w:tblLayout w:type="fixed"/>
        <w:tblLook w:firstColumn="1" w:firstRow="1" w:lastColumn="0" w:lastRow="0" w:noHBand="0" w:noVBand="1" w:val="04A0"/>
      </w:tblPr>
      <w:tblGrid>
        <w:gridCol w:w="3240"/>
        <w:gridCol w:w="6408"/>
      </w:tblGrid>
      <w:tr>
        <w:trPr>
          <w:cantSplit/>
        </w:trPr>
        <w:tc>
          <w:tcPr>
            <w:tcW w:type="dxa" w:w="5083"/>
            <w:shd w:fill="F5A01B"/>
            <w:vAlign w:val="center"/>
          </w:tcPr>
          <w:p>
            <w:pPr>
              <w:spacing w:before="40" w:after="40" w:line="240" w:lineRule="auto"/>
              <w:jc w:val="left"/>
            </w:pPr>
            <w:r>
              <w:rPr>
                <w:rFonts w:ascii="Arial" w:hAnsi="Arial"/>
                <w:b/>
                <w:color w:val="2B2B2B"/>
                <w:sz w:val="17"/>
              </w:rPr>
              <w:t>Objective</w:t>
            </w:r>
          </w:p>
        </w:tc>
        <w:tc>
          <w:tcPr>
            <w:tcW w:type="dxa" w:w="5083"/>
            <w:shd w:fill="F5A01B"/>
            <w:vAlign w:val="center"/>
          </w:tcPr>
          <w:p>
            <w:pPr>
              <w:spacing w:before="40" w:after="40" w:line="240" w:lineRule="auto"/>
              <w:jc w:val="left"/>
            </w:pPr>
            <w:r>
              <w:rPr>
                <w:rFonts w:ascii="Arial" w:hAnsi="Arial"/>
                <w:b/>
                <w:color w:val="2B2B2B"/>
                <w:sz w:val="17"/>
              </w:rPr>
              <w:t>Definition</w:t>
            </w:r>
          </w:p>
        </w:tc>
      </w:tr>
      <w:tr>
        <w:trPr>
          <w:cantSplit/>
        </w:trPr>
        <w:tc>
          <w:tcPr>
            <w:tcW w:type="dxa" w:w="3240"/>
            <w:vAlign w:val="top"/>
            <w:tcBorders>
              <w:bottom w:sz="2" w:val="single" w:color="E3DED5"/>
            </w:tcBorders>
          </w:tcPr>
          <w:p>
            <w:pPr>
              <w:spacing w:before="40" w:after="40" w:line="240" w:lineRule="auto"/>
            </w:pPr>
            <w:r>
              <w:rPr>
                <w:rFonts w:ascii="Arial" w:hAnsi="Arial"/>
                <w:color w:val="2B2B2B"/>
                <w:sz w:val="17"/>
              </w:rPr>
              <w:t>O1 — Establish a Trusted HR System of Record</w:t>
            </w:r>
          </w:p>
        </w:tc>
        <w:tc>
          <w:tcPr>
            <w:tcW w:type="dxa" w:w="6408"/>
            <w:vAlign w:val="top"/>
            <w:tcBorders>
              <w:bottom w:sz="2" w:val="single" w:color="E3DED5"/>
            </w:tcBorders>
          </w:tcPr>
          <w:p>
            <w:pPr>
              <w:spacing w:before="40" w:after="40" w:line="240" w:lineRule="auto"/>
            </w:pPr>
            <w:r>
              <w:rPr>
                <w:rFonts w:ascii="Arial" w:hAnsi="Arial"/>
                <w:color w:val="2B2B2B"/>
                <w:sz w:val="17"/>
              </w:rPr>
              <w:t>Create a controlled employee, position, assignment and employment history that downstream processes can rely on.</w:t>
            </w:r>
          </w:p>
        </w:tc>
      </w:tr>
      <w:tr>
        <w:trPr>
          <w:cantSplit/>
        </w:trPr>
        <w:tc>
          <w:tcPr>
            <w:tcW w:type="dxa" w:w="3240"/>
            <w:shd w:fill="FAFAF8"/>
            <w:vAlign w:val="top"/>
            <w:tcBorders>
              <w:bottom w:sz="2" w:val="single" w:color="E3DED5"/>
            </w:tcBorders>
          </w:tcPr>
          <w:p>
            <w:pPr>
              <w:spacing w:before="40" w:after="40" w:line="240" w:lineRule="auto"/>
            </w:pPr>
            <w:r>
              <w:rPr>
                <w:rFonts w:ascii="Arial" w:hAnsi="Arial"/>
                <w:color w:val="2B2B2B"/>
                <w:sz w:val="17"/>
              </w:rPr>
              <w:t>O2 — Digitize End-to-End Employee Lifecycles</w:t>
            </w:r>
          </w:p>
        </w:tc>
        <w:tc>
          <w:tcPr>
            <w:tcW w:type="dxa" w:w="6408"/>
            <w:shd w:fill="FAFAF8"/>
            <w:vAlign w:val="top"/>
            <w:tcBorders>
              <w:bottom w:sz="2" w:val="single" w:color="E3DED5"/>
            </w:tcBorders>
          </w:tcPr>
          <w:p>
            <w:pPr>
              <w:spacing w:before="40" w:after="40" w:line="240" w:lineRule="auto"/>
            </w:pPr>
            <w:r>
              <w:rPr>
                <w:rFonts w:ascii="Arial" w:hAnsi="Arial"/>
                <w:color w:val="2B2B2B"/>
                <w:sz w:val="17"/>
              </w:rPr>
              <w:t>Move hiring, onboarding, attendance, leave, payroll inputs, employee services, development and offboarding into measurable workflows.</w:t>
            </w:r>
          </w:p>
        </w:tc>
      </w:tr>
      <w:tr>
        <w:trPr>
          <w:cantSplit/>
        </w:trPr>
        <w:tc>
          <w:tcPr>
            <w:tcW w:type="dxa" w:w="3240"/>
            <w:vAlign w:val="top"/>
            <w:tcBorders>
              <w:bottom w:sz="2" w:val="single" w:color="E3DED5"/>
            </w:tcBorders>
          </w:tcPr>
          <w:p>
            <w:pPr>
              <w:spacing w:before="40" w:after="40" w:line="240" w:lineRule="auto"/>
            </w:pPr>
            <w:r>
              <w:rPr>
                <w:rFonts w:ascii="Arial" w:hAnsi="Arial"/>
                <w:color w:val="2B2B2B"/>
                <w:sz w:val="17"/>
              </w:rPr>
              <w:t>O3 — Improve Payroll and People-Cost Control</w:t>
            </w:r>
          </w:p>
        </w:tc>
        <w:tc>
          <w:tcPr>
            <w:tcW w:type="dxa" w:w="6408"/>
            <w:vAlign w:val="top"/>
            <w:tcBorders>
              <w:bottom w:sz="2" w:val="single" w:color="E3DED5"/>
            </w:tcBorders>
          </w:tcPr>
          <w:p>
            <w:pPr>
              <w:spacing w:before="40" w:after="40" w:line="240" w:lineRule="auto"/>
            </w:pPr>
            <w:r>
              <w:rPr>
                <w:rFonts w:ascii="Arial" w:hAnsi="Arial"/>
                <w:color w:val="2B2B2B"/>
                <w:sz w:val="17"/>
              </w:rPr>
              <w:t>Ensure earnings, deductions, allowances, overtime, KPI incentives and project allocations are based on validated and approved data.</w:t>
            </w:r>
          </w:p>
        </w:tc>
      </w:tr>
      <w:tr>
        <w:trPr>
          <w:cantSplit/>
        </w:trPr>
        <w:tc>
          <w:tcPr>
            <w:tcW w:type="dxa" w:w="3240"/>
            <w:shd w:fill="FAFAF8"/>
            <w:vAlign w:val="top"/>
            <w:tcBorders>
              <w:bottom w:sz="2" w:val="single" w:color="E3DED5"/>
            </w:tcBorders>
          </w:tcPr>
          <w:p>
            <w:pPr>
              <w:spacing w:before="40" w:after="40" w:line="240" w:lineRule="auto"/>
            </w:pPr>
            <w:r>
              <w:rPr>
                <w:rFonts w:ascii="Arial" w:hAnsi="Arial"/>
                <w:color w:val="2B2B2B"/>
                <w:sz w:val="17"/>
              </w:rPr>
              <w:t>O4 — Support Field and Project Workforce Operations</w:t>
            </w:r>
          </w:p>
        </w:tc>
        <w:tc>
          <w:tcPr>
            <w:tcW w:type="dxa" w:w="6408"/>
            <w:shd w:fill="FAFAF8"/>
            <w:vAlign w:val="top"/>
            <w:tcBorders>
              <w:bottom w:sz="2" w:val="single" w:color="E3DED5"/>
            </w:tcBorders>
          </w:tcPr>
          <w:p>
            <w:pPr>
              <w:spacing w:before="40" w:after="40" w:line="240" w:lineRule="auto"/>
            </w:pPr>
            <w:r>
              <w:rPr>
                <w:rFonts w:ascii="Arial" w:hAnsi="Arial"/>
                <w:color w:val="2B2B2B"/>
                <w:sz w:val="17"/>
              </w:rPr>
              <w:t>Handle project/site assignment, mobile attendance, shifts, supervisors, HSE readiness, location rules and operational deployment.</w:t>
            </w:r>
          </w:p>
        </w:tc>
      </w:tr>
      <w:tr>
        <w:trPr>
          <w:cantSplit/>
        </w:trPr>
        <w:tc>
          <w:tcPr>
            <w:tcW w:type="dxa" w:w="3240"/>
            <w:vAlign w:val="top"/>
            <w:tcBorders>
              <w:bottom w:sz="2" w:val="single" w:color="E3DED5"/>
            </w:tcBorders>
          </w:tcPr>
          <w:p>
            <w:pPr>
              <w:spacing w:before="40" w:after="40" w:line="240" w:lineRule="auto"/>
            </w:pPr>
            <w:r>
              <w:rPr>
                <w:rFonts w:ascii="Arial" w:hAnsi="Arial"/>
                <w:color w:val="2B2B2B"/>
                <w:sz w:val="17"/>
              </w:rPr>
              <w:t>O5 — Strengthen Compliance and Audit Readiness</w:t>
            </w:r>
          </w:p>
        </w:tc>
        <w:tc>
          <w:tcPr>
            <w:tcW w:type="dxa" w:w="6408"/>
            <w:vAlign w:val="top"/>
            <w:tcBorders>
              <w:bottom w:sz="2" w:val="single" w:color="E3DED5"/>
            </w:tcBorders>
          </w:tcPr>
          <w:p>
            <w:pPr>
              <w:spacing w:before="40" w:after="40" w:line="240" w:lineRule="auto"/>
            </w:pPr>
            <w:r>
              <w:rPr>
                <w:rFonts w:ascii="Arial" w:hAnsi="Arial"/>
                <w:color w:val="2B2B2B"/>
                <w:sz w:val="17"/>
              </w:rPr>
              <w:t>Track approvals, documents, contracts, insurance, certificates, cases, changes, access and policy exceptions with evidence and history.</w:t>
            </w:r>
          </w:p>
        </w:tc>
      </w:tr>
      <w:tr>
        <w:trPr>
          <w:cantSplit/>
        </w:trPr>
        <w:tc>
          <w:tcPr>
            <w:tcW w:type="dxa" w:w="3240"/>
            <w:shd w:fill="FAFAF8"/>
            <w:vAlign w:val="top"/>
            <w:tcBorders>
              <w:bottom w:sz="2" w:val="single" w:color="E3DED5"/>
            </w:tcBorders>
          </w:tcPr>
          <w:p>
            <w:pPr>
              <w:spacing w:before="40" w:after="40" w:line="240" w:lineRule="auto"/>
            </w:pPr>
            <w:r>
              <w:rPr>
                <w:rFonts w:ascii="Arial" w:hAnsi="Arial"/>
                <w:color w:val="2B2B2B"/>
                <w:sz w:val="17"/>
              </w:rPr>
              <w:t>O6 — Improve Employee and Manager Service</w:t>
            </w:r>
          </w:p>
        </w:tc>
        <w:tc>
          <w:tcPr>
            <w:tcW w:type="dxa" w:w="6408"/>
            <w:shd w:fill="FAFAF8"/>
            <w:vAlign w:val="top"/>
            <w:tcBorders>
              <w:bottom w:sz="2" w:val="single" w:color="E3DED5"/>
            </w:tcBorders>
          </w:tcPr>
          <w:p>
            <w:pPr>
              <w:spacing w:before="40" w:after="40" w:line="240" w:lineRule="auto"/>
            </w:pPr>
            <w:r>
              <w:rPr>
                <w:rFonts w:ascii="Arial" w:hAnsi="Arial"/>
                <w:color w:val="2B2B2B"/>
                <w:sz w:val="17"/>
              </w:rPr>
              <w:t>Provide self-service requests, letters, leave, profile updates, approvals, notifications and case visibility through role-appropriate channels.</w:t>
            </w:r>
          </w:p>
        </w:tc>
      </w:tr>
      <w:tr>
        <w:trPr>
          <w:cantSplit/>
        </w:trPr>
        <w:tc>
          <w:tcPr>
            <w:tcW w:type="dxa" w:w="3240"/>
            <w:vAlign w:val="top"/>
            <w:tcBorders>
              <w:bottom w:sz="2" w:val="single" w:color="E3DED5"/>
            </w:tcBorders>
          </w:tcPr>
          <w:p>
            <w:pPr>
              <w:spacing w:before="40" w:after="40" w:line="240" w:lineRule="auto"/>
            </w:pPr>
            <w:r>
              <w:rPr>
                <w:rFonts w:ascii="Arial" w:hAnsi="Arial"/>
                <w:color w:val="2B2B2B"/>
                <w:sz w:val="17"/>
              </w:rPr>
              <w:t>O7 — Enable Management Decision Support</w:t>
            </w:r>
          </w:p>
        </w:tc>
        <w:tc>
          <w:tcPr>
            <w:tcW w:type="dxa" w:w="6408"/>
            <w:vAlign w:val="top"/>
            <w:tcBorders>
              <w:bottom w:sz="2" w:val="single" w:color="E3DED5"/>
            </w:tcBorders>
          </w:tcPr>
          <w:p>
            <w:pPr>
              <w:spacing w:before="40" w:after="40" w:line="240" w:lineRule="auto"/>
            </w:pPr>
            <w:r>
              <w:rPr>
                <w:rFonts w:ascii="Arial" w:hAnsi="Arial"/>
                <w:color w:val="2B2B2B"/>
                <w:sz w:val="17"/>
              </w:rPr>
              <w:t>Provide reliable headcount, cost, capacity, performance, attrition, compliance, recruitment and workforce-planning analytics.</w:t>
            </w:r>
          </w:p>
        </w:tc>
      </w:tr>
      <w:tr>
        <w:trPr>
          <w:cantSplit/>
        </w:trPr>
        <w:tc>
          <w:tcPr>
            <w:tcW w:type="dxa" w:w="3240"/>
            <w:shd w:fill="FAFAF8"/>
            <w:vAlign w:val="top"/>
            <w:tcBorders>
              <w:bottom w:sz="2" w:val="single" w:color="E3DED5"/>
            </w:tcBorders>
          </w:tcPr>
          <w:p>
            <w:pPr>
              <w:spacing w:before="40" w:after="40" w:line="240" w:lineRule="auto"/>
            </w:pPr>
            <w:r>
              <w:rPr>
                <w:rFonts w:ascii="Arial" w:hAnsi="Arial"/>
                <w:color w:val="2B2B2B"/>
                <w:sz w:val="17"/>
              </w:rPr>
              <w:t>O8 — Create a Configurable Platform</w:t>
            </w:r>
          </w:p>
        </w:tc>
        <w:tc>
          <w:tcPr>
            <w:tcW w:type="dxa" w:w="6408"/>
            <w:shd w:fill="FAFAF8"/>
            <w:vAlign w:val="top"/>
            <w:tcBorders>
              <w:bottom w:sz="2" w:val="single" w:color="E3DED5"/>
            </w:tcBorders>
          </w:tcPr>
          <w:p>
            <w:pPr>
              <w:spacing w:before="40" w:after="40" w:line="240" w:lineRule="auto"/>
            </w:pPr>
            <w:r>
              <w:rPr>
                <w:rFonts w:ascii="Arial" w:hAnsi="Arial"/>
                <w:color w:val="2B2B2B"/>
                <w:sz w:val="17"/>
              </w:rPr>
              <w:t>Allow authorized administrators to manage rules, workflows, calendars, languages, templates, number sequences, SLAs and notifications without code changes where practical.</w:t>
            </w:r>
          </w:p>
        </w:tc>
      </w:tr>
      <w:tr>
        <w:trPr>
          <w:cantSplit/>
        </w:trPr>
        <w:tc>
          <w:tcPr>
            <w:tcW w:type="dxa" w:w="3240"/>
            <w:vAlign w:val="top"/>
            <w:tcBorders>
              <w:bottom w:sz="2" w:val="single" w:color="E3DED5"/>
            </w:tcBorders>
          </w:tcPr>
          <w:p>
            <w:pPr>
              <w:spacing w:before="40" w:after="40" w:line="240" w:lineRule="auto"/>
            </w:pPr>
            <w:r>
              <w:rPr>
                <w:rFonts w:ascii="Arial" w:hAnsi="Arial"/>
                <w:color w:val="2B2B2B"/>
                <w:sz w:val="17"/>
              </w:rPr>
              <w:t>O9 — Prepare for External Integrations and Scale</w:t>
            </w:r>
          </w:p>
        </w:tc>
        <w:tc>
          <w:tcPr>
            <w:tcW w:type="dxa" w:w="6408"/>
            <w:vAlign w:val="top"/>
            <w:tcBorders>
              <w:bottom w:sz="2" w:val="single" w:color="E3DED5"/>
            </w:tcBorders>
          </w:tcPr>
          <w:p>
            <w:pPr>
              <w:spacing w:before="40" w:after="40" w:line="240" w:lineRule="auto"/>
            </w:pPr>
            <w:r>
              <w:rPr>
                <w:rFonts w:ascii="Arial" w:hAnsi="Arial"/>
                <w:color w:val="2B2B2B"/>
                <w:sz w:val="17"/>
              </w:rPr>
              <w:t>Provide stable APIs, event patterns, reconciliation and integration monitoring for ERP, devices, banks, insurance, identity and customer systems.</w:t>
            </w:r>
          </w:p>
        </w:tc>
      </w:tr>
      <w:tr>
        <w:trPr>
          <w:cantSplit/>
        </w:trPr>
        <w:tc>
          <w:tcPr>
            <w:tcW w:type="dxa" w:w="3240"/>
            <w:shd w:fill="FAFAF8"/>
            <w:vAlign w:val="top"/>
            <w:tcBorders>
              <w:bottom w:sz="2" w:val="single" w:color="E3DED5"/>
            </w:tcBorders>
          </w:tcPr>
          <w:p>
            <w:pPr>
              <w:spacing w:before="40" w:after="40" w:line="240" w:lineRule="auto"/>
            </w:pPr>
            <w:r>
              <w:rPr>
                <w:rFonts w:ascii="Arial" w:hAnsi="Arial"/>
                <w:color w:val="2B2B2B"/>
                <w:sz w:val="17"/>
              </w:rPr>
              <w:t>O10 — Apply AI Safely to HR Work</w:t>
            </w:r>
          </w:p>
        </w:tc>
        <w:tc>
          <w:tcPr>
            <w:tcW w:type="dxa" w:w="6408"/>
            <w:shd w:fill="FAFAF8"/>
            <w:vAlign w:val="top"/>
            <w:tcBorders>
              <w:bottom w:sz="2" w:val="single" w:color="E3DED5"/>
            </w:tcBorders>
          </w:tcPr>
          <w:p>
            <w:pPr>
              <w:spacing w:before="40" w:after="40" w:line="240" w:lineRule="auto"/>
            </w:pPr>
            <w:r>
              <w:rPr>
                <w:rFonts w:ascii="Arial" w:hAnsi="Arial"/>
                <w:color w:val="2B2B2B"/>
                <w:sz w:val="17"/>
              </w:rPr>
              <w:t>Use AI to reduce repetitive work and improve insight while preserving access control, privacy, explainability, audit and human decision rights.</w:t>
            </w:r>
          </w:p>
        </w:tc>
      </w:tr>
    </w:tbl>
    <w:p>
      <w:r>
        <w:br w:type="page"/>
      </w:r>
    </w:p>
    <w:p>
      <w:pPr>
        <w:pStyle w:val="Heading1"/>
        <w:keepNext/>
        <w:keepLines/>
        <w:spacing w:before="0" w:after="100" w:line="240" w:lineRule="auto"/>
      </w:pPr>
      <w:r>
        <w:rPr>
          <w:rFonts w:ascii="Arial" w:hAnsi="Arial"/>
          <w:b/>
          <w:color w:val="2B2B2B"/>
          <w:sz w:val="44"/>
        </w:rPr>
        <w:t>5. Target-State Design Principles</w:t>
      </w:r>
    </w:p>
    <w:tbl>
      <w:tblPr>
        <w:tblW w:type="auto" w:w="0"/>
        <w:jc w:val="left"/>
        <w:tblLayout w:type="fixed"/>
        <w:tblLook w:firstColumn="1" w:firstRow="1" w:lastColumn="0" w:lastRow="0" w:noHBand="0" w:noVBand="1" w:val="04A0"/>
      </w:tblPr>
      <w:tblGrid>
        <w:gridCol w:w="9648"/>
      </w:tblGrid>
      <w:tr>
        <w:trPr>
          <w:cantSplit/>
        </w:trPr>
        <w:tc>
          <w:tcPr>
            <w:tcW w:type="dxa" w:w="10166"/>
            <w:shd w:fill="F5A01B"/>
          </w:tcPr>
          <w:p>
            <w:r/>
          </w:p>
        </w:tc>
      </w:tr>
    </w:tbl>
    <w:tbl>
      <w:tblPr>
        <w:tblW w:type="auto" w:w="0"/>
        <w:jc w:val="center"/>
        <w:tblLayout w:type="fixed"/>
        <w:tblLook w:firstColumn="1" w:firstRow="1" w:lastColumn="0" w:lastRow="0" w:noHBand="0" w:noVBand="1" w:val="04A0"/>
      </w:tblPr>
      <w:tblGrid>
        <w:gridCol w:w="3240"/>
        <w:gridCol w:w="6408"/>
      </w:tblGrid>
      <w:tr>
        <w:trPr>
          <w:cantSplit/>
        </w:trPr>
        <w:tc>
          <w:tcPr>
            <w:tcW w:type="dxa" w:w="5083"/>
            <w:shd w:fill="F5A01B"/>
            <w:vAlign w:val="center"/>
          </w:tcPr>
          <w:p>
            <w:pPr>
              <w:spacing w:before="40" w:after="40" w:line="240" w:lineRule="auto"/>
              <w:jc w:val="left"/>
            </w:pPr>
            <w:r>
              <w:rPr>
                <w:rFonts w:ascii="Arial" w:hAnsi="Arial"/>
                <w:b/>
                <w:color w:val="2B2B2B"/>
                <w:sz w:val="17"/>
              </w:rPr>
              <w:t>Principle</w:t>
            </w:r>
          </w:p>
        </w:tc>
        <w:tc>
          <w:tcPr>
            <w:tcW w:type="dxa" w:w="5083"/>
            <w:shd w:fill="F5A01B"/>
            <w:vAlign w:val="center"/>
          </w:tcPr>
          <w:p>
            <w:pPr>
              <w:spacing w:before="40" w:after="40" w:line="240" w:lineRule="auto"/>
              <w:jc w:val="left"/>
            </w:pPr>
            <w:r>
              <w:rPr>
                <w:rFonts w:ascii="Arial" w:hAnsi="Arial"/>
                <w:b/>
                <w:color w:val="2B2B2B"/>
                <w:sz w:val="17"/>
              </w:rPr>
              <w:t>System Implication</w:t>
            </w:r>
          </w:p>
        </w:tc>
      </w:tr>
      <w:tr>
        <w:trPr>
          <w:cantSplit/>
        </w:trPr>
        <w:tc>
          <w:tcPr>
            <w:tcW w:type="dxa" w:w="3240"/>
            <w:vAlign w:val="top"/>
            <w:tcBorders>
              <w:bottom w:sz="2" w:val="single" w:color="E3DED5"/>
            </w:tcBorders>
          </w:tcPr>
          <w:p>
            <w:pPr>
              <w:spacing w:before="40" w:after="40" w:line="240" w:lineRule="auto"/>
            </w:pPr>
            <w:r>
              <w:rPr>
                <w:rFonts w:ascii="Arial" w:hAnsi="Arial"/>
                <w:color w:val="2B2B2B"/>
                <w:sz w:val="17"/>
              </w:rPr>
              <w:t>1. One source of truth per data domain</w:t>
            </w:r>
          </w:p>
        </w:tc>
        <w:tc>
          <w:tcPr>
            <w:tcW w:type="dxa" w:w="6408"/>
            <w:vAlign w:val="top"/>
            <w:tcBorders>
              <w:bottom w:sz="2" w:val="single" w:color="E3DED5"/>
            </w:tcBorders>
          </w:tcPr>
          <w:p>
            <w:pPr>
              <w:spacing w:before="40" w:after="40" w:line="240" w:lineRule="auto"/>
            </w:pPr>
            <w:r>
              <w:rPr>
                <w:rFonts w:ascii="Arial" w:hAnsi="Arial"/>
                <w:color w:val="2B2B2B"/>
                <w:sz w:val="17"/>
              </w:rPr>
              <w:t>Each critical data element has one authoritative owner; copies are synchronized, not independently edited.</w:t>
            </w:r>
          </w:p>
        </w:tc>
      </w:tr>
      <w:tr>
        <w:trPr>
          <w:cantSplit/>
        </w:trPr>
        <w:tc>
          <w:tcPr>
            <w:tcW w:type="dxa" w:w="3240"/>
            <w:shd w:fill="FAFAF8"/>
            <w:vAlign w:val="top"/>
            <w:tcBorders>
              <w:bottom w:sz="2" w:val="single" w:color="E3DED5"/>
            </w:tcBorders>
          </w:tcPr>
          <w:p>
            <w:pPr>
              <w:spacing w:before="40" w:after="40" w:line="240" w:lineRule="auto"/>
            </w:pPr>
            <w:r>
              <w:rPr>
                <w:rFonts w:ascii="Arial" w:hAnsi="Arial"/>
                <w:color w:val="2B2B2B"/>
                <w:sz w:val="17"/>
              </w:rPr>
              <w:t>2. Position, employee and assignment are separate</w:t>
            </w:r>
          </w:p>
        </w:tc>
        <w:tc>
          <w:tcPr>
            <w:tcW w:type="dxa" w:w="6408"/>
            <w:shd w:fill="FAFAF8"/>
            <w:vAlign w:val="top"/>
            <w:tcBorders>
              <w:bottom w:sz="2" w:val="single" w:color="E3DED5"/>
            </w:tcBorders>
          </w:tcPr>
          <w:p>
            <w:pPr>
              <w:spacing w:before="40" w:after="40" w:line="240" w:lineRule="auto"/>
            </w:pPr>
            <w:r>
              <w:rPr>
                <w:rFonts w:ascii="Arial" w:hAnsi="Arial"/>
                <w:color w:val="2B2B2B"/>
                <w:sz w:val="17"/>
              </w:rPr>
              <w:t>The organization design exists independently of a person; employees can move across positions/projects while history remains intact.</w:t>
            </w:r>
          </w:p>
        </w:tc>
      </w:tr>
      <w:tr>
        <w:trPr>
          <w:cantSplit/>
        </w:trPr>
        <w:tc>
          <w:tcPr>
            <w:tcW w:type="dxa" w:w="3240"/>
            <w:vAlign w:val="top"/>
            <w:tcBorders>
              <w:bottom w:sz="2" w:val="single" w:color="E3DED5"/>
            </w:tcBorders>
          </w:tcPr>
          <w:p>
            <w:pPr>
              <w:spacing w:before="40" w:after="40" w:line="240" w:lineRule="auto"/>
            </w:pPr>
            <w:r>
              <w:rPr>
                <w:rFonts w:ascii="Arial" w:hAnsi="Arial"/>
                <w:color w:val="2B2B2B"/>
                <w:sz w:val="17"/>
              </w:rPr>
              <w:t>3. Workflow before informal handoff</w:t>
            </w:r>
          </w:p>
        </w:tc>
        <w:tc>
          <w:tcPr>
            <w:tcW w:type="dxa" w:w="6408"/>
            <w:vAlign w:val="top"/>
            <w:tcBorders>
              <w:bottom w:sz="2" w:val="single" w:color="E3DED5"/>
            </w:tcBorders>
          </w:tcPr>
          <w:p>
            <w:pPr>
              <w:spacing w:before="40" w:after="40" w:line="240" w:lineRule="auto"/>
            </w:pPr>
            <w:r>
              <w:rPr>
                <w:rFonts w:ascii="Arial" w:hAnsi="Arial"/>
                <w:color w:val="2B2B2B"/>
                <w:sz w:val="17"/>
              </w:rPr>
              <w:t>Approvals, rejections, returns, escalations and SLA timers occur inside governed workflows.</w:t>
            </w:r>
          </w:p>
        </w:tc>
      </w:tr>
      <w:tr>
        <w:trPr>
          <w:cantSplit/>
        </w:trPr>
        <w:tc>
          <w:tcPr>
            <w:tcW w:type="dxa" w:w="3240"/>
            <w:shd w:fill="FAFAF8"/>
            <w:vAlign w:val="top"/>
            <w:tcBorders>
              <w:bottom w:sz="2" w:val="single" w:color="E3DED5"/>
            </w:tcBorders>
          </w:tcPr>
          <w:p>
            <w:pPr>
              <w:spacing w:before="40" w:after="40" w:line="240" w:lineRule="auto"/>
            </w:pPr>
            <w:r>
              <w:rPr>
                <w:rFonts w:ascii="Arial" w:hAnsi="Arial"/>
                <w:color w:val="2B2B2B"/>
                <w:sz w:val="17"/>
              </w:rPr>
              <w:t>4. Configuration before customization</w:t>
            </w:r>
          </w:p>
        </w:tc>
        <w:tc>
          <w:tcPr>
            <w:tcW w:type="dxa" w:w="6408"/>
            <w:shd w:fill="FAFAF8"/>
            <w:vAlign w:val="top"/>
            <w:tcBorders>
              <w:bottom w:sz="2" w:val="single" w:color="E3DED5"/>
            </w:tcBorders>
          </w:tcPr>
          <w:p>
            <w:pPr>
              <w:spacing w:before="40" w:after="40" w:line="240" w:lineRule="auto"/>
            </w:pPr>
            <w:r>
              <w:rPr>
                <w:rFonts w:ascii="Arial" w:hAnsi="Arial"/>
                <w:color w:val="2B2B2B"/>
                <w:sz w:val="17"/>
              </w:rPr>
              <w:t>Policies, rules, calendars, approvals, allowances and templates should be configurable where business variation is expected.</w:t>
            </w:r>
          </w:p>
        </w:tc>
      </w:tr>
      <w:tr>
        <w:trPr>
          <w:cantSplit/>
        </w:trPr>
        <w:tc>
          <w:tcPr>
            <w:tcW w:type="dxa" w:w="3240"/>
            <w:vAlign w:val="top"/>
            <w:tcBorders>
              <w:bottom w:sz="2" w:val="single" w:color="E3DED5"/>
            </w:tcBorders>
          </w:tcPr>
          <w:p>
            <w:pPr>
              <w:spacing w:before="40" w:after="40" w:line="240" w:lineRule="auto"/>
            </w:pPr>
            <w:r>
              <w:rPr>
                <w:rFonts w:ascii="Arial" w:hAnsi="Arial"/>
                <w:color w:val="2B2B2B"/>
                <w:sz w:val="17"/>
              </w:rPr>
              <w:t>5. Approved inputs before payroll</w:t>
            </w:r>
          </w:p>
        </w:tc>
        <w:tc>
          <w:tcPr>
            <w:tcW w:type="dxa" w:w="6408"/>
            <w:vAlign w:val="top"/>
            <w:tcBorders>
              <w:bottom w:sz="2" w:val="single" w:color="E3DED5"/>
            </w:tcBorders>
          </w:tcPr>
          <w:p>
            <w:pPr>
              <w:spacing w:before="40" w:after="40" w:line="240" w:lineRule="auto"/>
            </w:pPr>
            <w:r>
              <w:rPr>
                <w:rFonts w:ascii="Arial" w:hAnsi="Arial"/>
                <w:color w:val="2B2B2B"/>
                <w:sz w:val="17"/>
              </w:rPr>
              <w:t>Payroll reads normalized, validated payroll inputs — not uncontrolled raw attendance or ad-hoc spreadsheets.</w:t>
            </w:r>
          </w:p>
        </w:tc>
      </w:tr>
      <w:tr>
        <w:trPr>
          <w:cantSplit/>
        </w:trPr>
        <w:tc>
          <w:tcPr>
            <w:tcW w:type="dxa" w:w="3240"/>
            <w:shd w:fill="FAFAF8"/>
            <w:vAlign w:val="top"/>
            <w:tcBorders>
              <w:bottom w:sz="2" w:val="single" w:color="E3DED5"/>
            </w:tcBorders>
          </w:tcPr>
          <w:p>
            <w:pPr>
              <w:spacing w:before="40" w:after="40" w:line="240" w:lineRule="auto"/>
            </w:pPr>
            <w:r>
              <w:rPr>
                <w:rFonts w:ascii="Arial" w:hAnsi="Arial"/>
                <w:color w:val="2B2B2B"/>
                <w:sz w:val="17"/>
              </w:rPr>
              <w:t>6. Evidence for sensitive actions</w:t>
            </w:r>
          </w:p>
        </w:tc>
        <w:tc>
          <w:tcPr>
            <w:tcW w:type="dxa" w:w="6408"/>
            <w:shd w:fill="FAFAF8"/>
            <w:vAlign w:val="top"/>
            <w:tcBorders>
              <w:bottom w:sz="2" w:val="single" w:color="E3DED5"/>
            </w:tcBorders>
          </w:tcPr>
          <w:p>
            <w:pPr>
              <w:spacing w:before="40" w:after="40" w:line="240" w:lineRule="auto"/>
            </w:pPr>
            <w:r>
              <w:rPr>
                <w:rFonts w:ascii="Arial" w:hAnsi="Arial"/>
                <w:color w:val="2B2B2B"/>
                <w:sz w:val="17"/>
              </w:rPr>
              <w:t>Attendance overrides, pay changes, disciplinary decisions, exceptions and offboarding clearances require evidence and approval as defined by policy.</w:t>
            </w:r>
          </w:p>
        </w:tc>
      </w:tr>
      <w:tr>
        <w:trPr>
          <w:cantSplit/>
        </w:trPr>
        <w:tc>
          <w:tcPr>
            <w:tcW w:type="dxa" w:w="3240"/>
            <w:vAlign w:val="top"/>
            <w:tcBorders>
              <w:bottom w:sz="2" w:val="single" w:color="E3DED5"/>
            </w:tcBorders>
          </w:tcPr>
          <w:p>
            <w:pPr>
              <w:spacing w:before="40" w:after="40" w:line="240" w:lineRule="auto"/>
            </w:pPr>
            <w:r>
              <w:rPr>
                <w:rFonts w:ascii="Arial" w:hAnsi="Arial"/>
                <w:color w:val="2B2B2B"/>
                <w:sz w:val="17"/>
              </w:rPr>
              <w:t>7. Least privilege and privacy by design</w:t>
            </w:r>
          </w:p>
        </w:tc>
        <w:tc>
          <w:tcPr>
            <w:tcW w:type="dxa" w:w="6408"/>
            <w:vAlign w:val="top"/>
            <w:tcBorders>
              <w:bottom w:sz="2" w:val="single" w:color="E3DED5"/>
            </w:tcBorders>
          </w:tcPr>
          <w:p>
            <w:pPr>
              <w:spacing w:before="40" w:after="40" w:line="240" w:lineRule="auto"/>
            </w:pPr>
            <w:r>
              <w:rPr>
                <w:rFonts w:ascii="Arial" w:hAnsi="Arial"/>
                <w:color w:val="2B2B2B"/>
                <w:sz w:val="17"/>
              </w:rPr>
              <w:t>Users see only the employee population and data fields required by their role, company, project and responsibility.</w:t>
            </w:r>
          </w:p>
        </w:tc>
      </w:tr>
      <w:tr>
        <w:trPr>
          <w:cantSplit/>
        </w:trPr>
        <w:tc>
          <w:tcPr>
            <w:tcW w:type="dxa" w:w="3240"/>
            <w:shd w:fill="FAFAF8"/>
            <w:vAlign w:val="top"/>
            <w:tcBorders>
              <w:bottom w:sz="2" w:val="single" w:color="E3DED5"/>
            </w:tcBorders>
          </w:tcPr>
          <w:p>
            <w:pPr>
              <w:spacing w:before="40" w:after="40" w:line="240" w:lineRule="auto"/>
            </w:pPr>
            <w:r>
              <w:rPr>
                <w:rFonts w:ascii="Arial" w:hAnsi="Arial"/>
                <w:color w:val="2B2B2B"/>
                <w:sz w:val="17"/>
              </w:rPr>
              <w:t>8. Mobile-friendly field execution</w:t>
            </w:r>
          </w:p>
        </w:tc>
        <w:tc>
          <w:tcPr>
            <w:tcW w:type="dxa" w:w="6408"/>
            <w:shd w:fill="FAFAF8"/>
            <w:vAlign w:val="top"/>
            <w:tcBorders>
              <w:bottom w:sz="2" w:val="single" w:color="E3DED5"/>
            </w:tcBorders>
          </w:tcPr>
          <w:p>
            <w:pPr>
              <w:spacing w:before="40" w:after="40" w:line="240" w:lineRule="auto"/>
            </w:pPr>
            <w:r>
              <w:rPr>
                <w:rFonts w:ascii="Arial" w:hAnsi="Arial"/>
                <w:color w:val="2B2B2B"/>
                <w:sz w:val="17"/>
              </w:rPr>
              <w:t>High-frequency field tasks must work well on Android and tolerate variable connectivity where requirements justify offline behavior.</w:t>
            </w:r>
          </w:p>
        </w:tc>
      </w:tr>
      <w:tr>
        <w:trPr>
          <w:cantSplit/>
        </w:trPr>
        <w:tc>
          <w:tcPr>
            <w:tcW w:type="dxa" w:w="3240"/>
            <w:vAlign w:val="top"/>
            <w:tcBorders>
              <w:bottom w:sz="2" w:val="single" w:color="E3DED5"/>
            </w:tcBorders>
          </w:tcPr>
          <w:p>
            <w:pPr>
              <w:spacing w:before="40" w:after="40" w:line="240" w:lineRule="auto"/>
            </w:pPr>
            <w:r>
              <w:rPr>
                <w:rFonts w:ascii="Arial" w:hAnsi="Arial"/>
                <w:color w:val="2B2B2B"/>
                <w:sz w:val="17"/>
              </w:rPr>
              <w:t>9. Audit by default</w:t>
            </w:r>
          </w:p>
        </w:tc>
        <w:tc>
          <w:tcPr>
            <w:tcW w:type="dxa" w:w="6408"/>
            <w:vAlign w:val="top"/>
            <w:tcBorders>
              <w:bottom w:sz="2" w:val="single" w:color="E3DED5"/>
            </w:tcBorders>
          </w:tcPr>
          <w:p>
            <w:pPr>
              <w:spacing w:before="40" w:after="40" w:line="240" w:lineRule="auto"/>
            </w:pPr>
            <w:r>
              <w:rPr>
                <w:rFonts w:ascii="Arial" w:hAnsi="Arial"/>
                <w:color w:val="2B2B2B"/>
                <w:sz w:val="17"/>
              </w:rPr>
              <w:t>Material changes record who, what, when, previous value, new value, source, approval and reason.</w:t>
            </w:r>
          </w:p>
        </w:tc>
      </w:tr>
      <w:tr>
        <w:trPr>
          <w:cantSplit/>
        </w:trPr>
        <w:tc>
          <w:tcPr>
            <w:tcW w:type="dxa" w:w="3240"/>
            <w:shd w:fill="FAFAF8"/>
            <w:vAlign w:val="top"/>
            <w:tcBorders>
              <w:bottom w:sz="2" w:val="single" w:color="E3DED5"/>
            </w:tcBorders>
          </w:tcPr>
          <w:p>
            <w:pPr>
              <w:spacing w:before="40" w:after="40" w:line="240" w:lineRule="auto"/>
            </w:pPr>
            <w:r>
              <w:rPr>
                <w:rFonts w:ascii="Arial" w:hAnsi="Arial"/>
                <w:color w:val="2B2B2B"/>
                <w:sz w:val="17"/>
              </w:rPr>
              <w:t>10. Multilingual by design</w:t>
            </w:r>
          </w:p>
        </w:tc>
        <w:tc>
          <w:tcPr>
            <w:tcW w:type="dxa" w:w="6408"/>
            <w:shd w:fill="FAFAF8"/>
            <w:vAlign w:val="top"/>
            <w:tcBorders>
              <w:bottom w:sz="2" w:val="single" w:color="E3DED5"/>
            </w:tcBorders>
          </w:tcPr>
          <w:p>
            <w:pPr>
              <w:spacing w:before="40" w:after="40" w:line="240" w:lineRule="auto"/>
            </w:pPr>
            <w:r>
              <w:rPr>
                <w:rFonts w:ascii="Arial" w:hAnsi="Arial"/>
                <w:color w:val="2B2B2B"/>
                <w:sz w:val="17"/>
              </w:rPr>
              <w:t>Labels, templates, notifications and user experience support English, Arabic RTL and French without duplicating core business logic.</w:t>
            </w:r>
          </w:p>
        </w:tc>
      </w:tr>
      <w:tr>
        <w:trPr>
          <w:cantSplit/>
        </w:trPr>
        <w:tc>
          <w:tcPr>
            <w:tcW w:type="dxa" w:w="3240"/>
            <w:vAlign w:val="top"/>
            <w:tcBorders>
              <w:bottom w:sz="2" w:val="single" w:color="E3DED5"/>
            </w:tcBorders>
          </w:tcPr>
          <w:p>
            <w:pPr>
              <w:spacing w:before="40" w:after="40" w:line="240" w:lineRule="auto"/>
            </w:pPr>
            <w:r>
              <w:rPr>
                <w:rFonts w:ascii="Arial" w:hAnsi="Arial"/>
                <w:color w:val="2B2B2B"/>
                <w:sz w:val="17"/>
              </w:rPr>
              <w:t>11. API-first external integration</w:t>
            </w:r>
          </w:p>
        </w:tc>
        <w:tc>
          <w:tcPr>
            <w:tcW w:type="dxa" w:w="6408"/>
            <w:vAlign w:val="top"/>
            <w:tcBorders>
              <w:bottom w:sz="2" w:val="single" w:color="E3DED5"/>
            </w:tcBorders>
          </w:tcPr>
          <w:p>
            <w:pPr>
              <w:spacing w:before="40" w:after="40" w:line="240" w:lineRule="auto"/>
            </w:pPr>
            <w:r>
              <w:rPr>
                <w:rFonts w:ascii="Arial" w:hAnsi="Arial"/>
                <w:color w:val="2B2B2B"/>
                <w:sz w:val="17"/>
              </w:rPr>
              <w:t>External systems exchange data through governed interfaces with monitoring, retry, reconciliation and error ownership.</w:t>
            </w:r>
          </w:p>
        </w:tc>
      </w:tr>
      <w:tr>
        <w:trPr>
          <w:cantSplit/>
        </w:trPr>
        <w:tc>
          <w:tcPr>
            <w:tcW w:type="dxa" w:w="3240"/>
            <w:shd w:fill="FAFAF8"/>
            <w:vAlign w:val="top"/>
            <w:tcBorders>
              <w:bottom w:sz="2" w:val="single" w:color="E3DED5"/>
            </w:tcBorders>
          </w:tcPr>
          <w:p>
            <w:pPr>
              <w:spacing w:before="40" w:after="40" w:line="240" w:lineRule="auto"/>
            </w:pPr>
            <w:r>
              <w:rPr>
                <w:rFonts w:ascii="Arial" w:hAnsi="Arial"/>
                <w:color w:val="2B2B2B"/>
                <w:sz w:val="17"/>
              </w:rPr>
              <w:t>12. Human-controlled AI</w:t>
            </w:r>
          </w:p>
        </w:tc>
        <w:tc>
          <w:tcPr>
            <w:tcW w:type="dxa" w:w="6408"/>
            <w:shd w:fill="FAFAF8"/>
            <w:vAlign w:val="top"/>
            <w:tcBorders>
              <w:bottom w:sz="2" w:val="single" w:color="E3DED5"/>
            </w:tcBorders>
          </w:tcPr>
          <w:p>
            <w:pPr>
              <w:spacing w:before="40" w:after="40" w:line="240" w:lineRule="auto"/>
            </w:pPr>
            <w:r>
              <w:rPr>
                <w:rFonts w:ascii="Arial" w:hAnsi="Arial"/>
                <w:color w:val="2B2B2B"/>
                <w:sz w:val="17"/>
              </w:rPr>
              <w:t>AI may recommend, draft, explain and perform allowed actions, but cannot bypass permissions, approvals or policy gates.</w:t>
            </w:r>
          </w:p>
        </w:tc>
      </w:tr>
    </w:tbl>
    <w:p>
      <w:r>
        <w:br w:type="page"/>
      </w:r>
    </w:p>
    <w:p>
      <w:pPr>
        <w:pStyle w:val="Heading1"/>
        <w:keepNext/>
        <w:keepLines/>
        <w:spacing w:before="0" w:after="100" w:line="240" w:lineRule="auto"/>
      </w:pPr>
      <w:r>
        <w:rPr>
          <w:rFonts w:ascii="Arial" w:hAnsi="Arial"/>
          <w:b/>
          <w:color w:val="2B2B2B"/>
          <w:sz w:val="44"/>
        </w:rPr>
        <w:t>6. Scope Model &amp; Functional Domains</w:t>
      </w:r>
    </w:p>
    <w:tbl>
      <w:tblPr>
        <w:tblW w:type="auto" w:w="0"/>
        <w:jc w:val="left"/>
        <w:tblLayout w:type="fixed"/>
        <w:tblLook w:firstColumn="1" w:firstRow="1" w:lastColumn="0" w:lastRow="0" w:noHBand="0" w:noVBand="1" w:val="04A0"/>
      </w:tblPr>
      <w:tblGrid>
        <w:gridCol w:w="9648"/>
      </w:tblGrid>
      <w:tr>
        <w:trPr>
          <w:cantSplit/>
        </w:trPr>
        <w:tc>
          <w:tcPr>
            <w:tcW w:type="dxa" w:w="10166"/>
            <w:shd w:fill="F5A01B"/>
          </w:tcPr>
          <w:p>
            <w:r/>
          </w:p>
        </w:tc>
      </w:tr>
    </w:tbl>
    <w:p>
      <w:pPr>
        <w:spacing w:after="120"/>
        <w:jc w:val="center"/>
      </w:pPr>
      <w:r>
        <w:drawing>
          <wp:inline xmlns:a="http://schemas.openxmlformats.org/drawingml/2006/main" xmlns:pic="http://schemas.openxmlformats.org/drawingml/2006/picture">
            <wp:extent cx="6263640" cy="3914775"/>
            <wp:docPr id="2" name="Picture 2"/>
            <wp:cNvGraphicFramePr>
              <a:graphicFrameLocks noChangeAspect="1"/>
            </wp:cNvGraphicFramePr>
            <a:graphic>
              <a:graphicData uri="http://schemas.openxmlformats.org/drawingml/2006/picture">
                <pic:pic>
                  <pic:nvPicPr>
                    <pic:cNvPr id="0" name="capability_map.png"/>
                    <pic:cNvPicPr/>
                  </pic:nvPicPr>
                  <pic:blipFill>
                    <a:blip r:embed="rId13"/>
                    <a:stretch>
                      <a:fillRect/>
                    </a:stretch>
                  </pic:blipFill>
                  <pic:spPr>
                    <a:xfrm>
                      <a:off x="0" y="0"/>
                      <a:ext cx="6263640" cy="3914775"/>
                    </a:xfrm>
                    <a:prstGeom prst="rect"/>
                  </pic:spPr>
                </pic:pic>
              </a:graphicData>
            </a:graphic>
          </wp:inline>
        </w:drawing>
      </w:r>
    </w:p>
    <w:tbl>
      <w:tblPr>
        <w:tblW w:type="auto" w:w="0"/>
        <w:jc w:val="center"/>
        <w:tblLayout w:type="fixed"/>
        <w:tblLook w:firstColumn="1" w:firstRow="1" w:lastColumn="0" w:lastRow="0" w:noHBand="0" w:noVBand="1" w:val="04A0"/>
      </w:tblPr>
      <w:tblGrid>
        <w:gridCol w:w="9792"/>
      </w:tblGrid>
      <w:tr>
        <w:trPr>
          <w:cantSplit/>
        </w:trPr>
        <w:tc>
          <w:tcPr>
            <w:tcW w:type="dxa" w:w="10166"/>
            <w:shd w:fill="FFF6E6"/>
            <w:tcBorders>
              <w:top w:sz="4" w:val="single" w:color="E6E0D8"/>
              <w:left w:sz="14" w:val="single" w:color="F5A01B"/>
              <w:bottom w:sz="4" w:val="single" w:color="E6E0D8"/>
              <w:right w:sz="4" w:val="single" w:color="E6E0D8"/>
            </w:tcBorders>
          </w:tcPr>
          <w:p>
            <w:pPr>
              <w:spacing w:before="60" w:after="60" w:line="252" w:lineRule="auto"/>
            </w:pPr>
            <w:r>
              <w:rPr>
                <w:rFonts w:ascii="Arial" w:hAnsi="Arial"/>
                <w:b/>
                <w:color w:val="2B2B2B"/>
                <w:sz w:val="20"/>
              </w:rPr>
              <w:t xml:space="preserve">Scope interpretation.  </w:t>
            </w:r>
            <w:r>
              <w:rPr>
                <w:rFonts w:ascii="Arial" w:hAnsi="Arial"/>
                <w:color w:val="2B2B2B"/>
                <w:sz w:val="19"/>
              </w:rPr>
              <w:t>The six groups above are presentation groupings only. Detailed process ownership, data ownership and release sequencing may cross these boundaries. The numbered modules remain the primary functional decomposition for the blueprint.</w:t>
            </w:r>
          </w:p>
        </w:tc>
      </w:tr>
    </w:tbl>
    <w:p>
      <w:pPr>
        <w:pStyle w:val="Heading2"/>
        <w:keepNext/>
        <w:keepLines/>
        <w:spacing w:before="160" w:after="80" w:line="240" w:lineRule="auto"/>
      </w:pPr>
      <w:r>
        <w:rPr>
          <w:rFonts w:ascii="Arial" w:hAnsi="Arial"/>
          <w:b/>
          <w:color w:val="F5A01B"/>
          <w:sz w:val="28"/>
        </w:rPr>
        <w:t>Extended Capability Domains</w:t>
      </w:r>
    </w:p>
    <w:p>
      <w:pPr>
        <w:spacing w:before="0" w:after="120" w:line="259" w:lineRule="auto"/>
      </w:pPr>
      <w:r>
        <w:rPr>
          <w:rFonts w:ascii="Arial" w:hAnsi="Arial"/>
          <w:color w:val="2B2B2B"/>
          <w:sz w:val="20"/>
        </w:rPr>
        <w:t>The target platform also includes enabling capabilities that cut across multiple modules: benefits administration, occupational health/HSE employee readiness, expense and travel, HR master-data migration and integrations, and a system administration/configuration center. These are treated as cross-cutting or sub-domain capabilities rather than additional numbered modules in this blueprint.</w:t>
      </w:r>
    </w:p>
    <w:p>
      <w:r>
        <w:br w:type="page"/>
      </w:r>
    </w:p>
    <w:p>
      <w:pPr>
        <w:pStyle w:val="Heading1"/>
        <w:keepNext/>
        <w:keepLines/>
        <w:spacing w:before="0" w:after="100" w:line="240" w:lineRule="auto"/>
      </w:pPr>
      <w:r>
        <w:rPr>
          <w:rFonts w:ascii="Arial" w:hAnsi="Arial"/>
          <w:b/>
          <w:color w:val="2B2B2B"/>
          <w:sz w:val="44"/>
        </w:rPr>
        <w:t>7. Twenty-Module Portfolio — Modules 01–10</w:t>
      </w:r>
    </w:p>
    <w:tbl>
      <w:tblPr>
        <w:tblW w:type="auto" w:w="0"/>
        <w:jc w:val="left"/>
        <w:tblLayout w:type="fixed"/>
        <w:tblLook w:firstColumn="1" w:firstRow="1" w:lastColumn="0" w:lastRow="0" w:noHBand="0" w:noVBand="1" w:val="04A0"/>
      </w:tblPr>
      <w:tblGrid>
        <w:gridCol w:w="9648"/>
      </w:tblGrid>
      <w:tr>
        <w:trPr>
          <w:cantSplit/>
        </w:trPr>
        <w:tc>
          <w:tcPr>
            <w:tcW w:type="dxa" w:w="10166"/>
            <w:shd w:fill="F5A01B"/>
          </w:tcPr>
          <w:p>
            <w:r/>
          </w:p>
        </w:tc>
      </w:tr>
    </w:tbl>
    <w:tbl>
      <w:tblPr>
        <w:tblW w:type="auto" w:w="0"/>
        <w:jc w:val="center"/>
        <w:tblLayout w:type="fixed"/>
        <w:tblLook w:firstColumn="1" w:firstRow="1" w:lastColumn="0" w:lastRow="0" w:noHBand="0" w:noVBand="1" w:val="04A0"/>
      </w:tblPr>
      <w:tblGrid>
        <w:gridCol w:w="605"/>
        <w:gridCol w:w="3240"/>
        <w:gridCol w:w="5803"/>
      </w:tblGrid>
      <w:tr>
        <w:trPr>
          <w:cantSplit/>
        </w:trPr>
        <w:tc>
          <w:tcPr>
            <w:tcW w:type="dxa" w:w="3389"/>
            <w:shd w:fill="F5A01B"/>
            <w:vAlign w:val="center"/>
          </w:tcPr>
          <w:p>
            <w:pPr>
              <w:spacing w:before="40" w:after="40" w:line="240" w:lineRule="auto"/>
              <w:jc w:val="left"/>
            </w:pPr>
            <w:r>
              <w:rPr>
                <w:rFonts w:ascii="Arial" w:hAnsi="Arial"/>
                <w:b/>
                <w:color w:val="2B2B2B"/>
                <w:sz w:val="16"/>
              </w:rPr>
              <w:t>No.</w:t>
            </w:r>
          </w:p>
        </w:tc>
        <w:tc>
          <w:tcPr>
            <w:tcW w:type="dxa" w:w="3389"/>
            <w:shd w:fill="F5A01B"/>
            <w:vAlign w:val="center"/>
          </w:tcPr>
          <w:p>
            <w:pPr>
              <w:spacing w:before="40" w:after="40" w:line="240" w:lineRule="auto"/>
              <w:jc w:val="left"/>
            </w:pPr>
            <w:r>
              <w:rPr>
                <w:rFonts w:ascii="Arial" w:hAnsi="Arial"/>
                <w:b/>
                <w:color w:val="2B2B2B"/>
                <w:sz w:val="16"/>
              </w:rPr>
              <w:t>Module</w:t>
            </w:r>
          </w:p>
        </w:tc>
        <w:tc>
          <w:tcPr>
            <w:tcW w:type="dxa" w:w="3389"/>
            <w:shd w:fill="F5A01B"/>
            <w:vAlign w:val="center"/>
          </w:tcPr>
          <w:p>
            <w:pPr>
              <w:spacing w:before="40" w:after="40" w:line="240" w:lineRule="auto"/>
              <w:jc w:val="left"/>
            </w:pPr>
            <w:r>
              <w:rPr>
                <w:rFonts w:ascii="Arial" w:hAnsi="Arial"/>
                <w:b/>
                <w:color w:val="2B2B2B"/>
                <w:sz w:val="16"/>
              </w:rPr>
              <w:t>Executive Scope</w:t>
            </w:r>
          </w:p>
        </w:tc>
      </w:tr>
      <w:tr>
        <w:trPr>
          <w:cantSplit/>
        </w:trPr>
        <w:tc>
          <w:tcPr>
            <w:tcW w:type="dxa" w:w="605"/>
            <w:vAlign w:val="top"/>
            <w:tcBorders>
              <w:bottom w:sz="2" w:val="single" w:color="E3DED5"/>
            </w:tcBorders>
          </w:tcPr>
          <w:p>
            <w:pPr>
              <w:spacing w:before="40" w:after="40" w:line="240" w:lineRule="auto"/>
            </w:pPr>
            <w:r>
              <w:rPr>
                <w:rFonts w:ascii="Arial" w:hAnsi="Arial"/>
                <w:color w:val="2B2B2B"/>
                <w:sz w:val="16"/>
              </w:rPr>
              <w:t>01</w:t>
            </w:r>
          </w:p>
        </w:tc>
        <w:tc>
          <w:tcPr>
            <w:tcW w:type="dxa" w:w="3240"/>
            <w:vAlign w:val="top"/>
            <w:tcBorders>
              <w:bottom w:sz="2" w:val="single" w:color="E3DED5"/>
            </w:tcBorders>
          </w:tcPr>
          <w:p>
            <w:pPr>
              <w:spacing w:before="40" w:after="40" w:line="240" w:lineRule="auto"/>
            </w:pPr>
            <w:r>
              <w:rPr>
                <w:rFonts w:ascii="Arial" w:hAnsi="Arial"/>
                <w:color w:val="2B2B2B"/>
                <w:sz w:val="16"/>
              </w:rPr>
              <w:t>Master Company Setup</w:t>
            </w:r>
          </w:p>
        </w:tc>
        <w:tc>
          <w:tcPr>
            <w:tcW w:type="dxa" w:w="5803"/>
            <w:vAlign w:val="top"/>
            <w:tcBorders>
              <w:bottom w:sz="2" w:val="single" w:color="E3DED5"/>
            </w:tcBorders>
          </w:tcPr>
          <w:p>
            <w:pPr>
              <w:spacing w:before="40" w:after="40" w:line="240" w:lineRule="auto"/>
            </w:pPr>
            <w:r>
              <w:rPr>
                <w:rFonts w:ascii="Arial" w:hAnsi="Arial"/>
                <w:color w:val="2B2B2B"/>
                <w:sz w:val="16"/>
              </w:rPr>
              <w:t>Companies, legal entities, business units, calendars, locations, projects and foundational master data.</w:t>
            </w:r>
          </w:p>
        </w:tc>
      </w:tr>
      <w:tr>
        <w:trPr>
          <w:cantSplit/>
        </w:trPr>
        <w:tc>
          <w:tcPr>
            <w:tcW w:type="dxa" w:w="605"/>
            <w:shd w:fill="FAFAF8"/>
            <w:vAlign w:val="top"/>
            <w:tcBorders>
              <w:bottom w:sz="2" w:val="single" w:color="E3DED5"/>
            </w:tcBorders>
          </w:tcPr>
          <w:p>
            <w:pPr>
              <w:spacing w:before="40" w:after="40" w:line="240" w:lineRule="auto"/>
            </w:pPr>
            <w:r>
              <w:rPr>
                <w:rFonts w:ascii="Arial" w:hAnsi="Arial"/>
                <w:color w:val="2B2B2B"/>
                <w:sz w:val="16"/>
              </w:rPr>
              <w:t>02</w:t>
            </w:r>
          </w:p>
        </w:tc>
        <w:tc>
          <w:tcPr>
            <w:tcW w:type="dxa" w:w="3240"/>
            <w:shd w:fill="FAFAF8"/>
            <w:vAlign w:val="top"/>
            <w:tcBorders>
              <w:bottom w:sz="2" w:val="single" w:color="E3DED5"/>
            </w:tcBorders>
          </w:tcPr>
          <w:p>
            <w:pPr>
              <w:spacing w:before="40" w:after="40" w:line="240" w:lineRule="auto"/>
            </w:pPr>
            <w:r>
              <w:rPr>
                <w:rFonts w:ascii="Arial" w:hAnsi="Arial"/>
                <w:color w:val="2B2B2B"/>
                <w:sz w:val="16"/>
              </w:rPr>
              <w:t>Organization Structure &amp; Job Architecture</w:t>
            </w:r>
          </w:p>
        </w:tc>
        <w:tc>
          <w:tcPr>
            <w:tcW w:type="dxa" w:w="5803"/>
            <w:shd w:fill="FAFAF8"/>
            <w:vAlign w:val="top"/>
            <w:tcBorders>
              <w:bottom w:sz="2" w:val="single" w:color="E3DED5"/>
            </w:tcBorders>
          </w:tcPr>
          <w:p>
            <w:pPr>
              <w:spacing w:before="40" w:after="40" w:line="240" w:lineRule="auto"/>
            </w:pPr>
            <w:r>
              <w:rPr>
                <w:rFonts w:ascii="Arial" w:hAnsi="Arial"/>
                <w:color w:val="2B2B2B"/>
                <w:sz w:val="16"/>
              </w:rPr>
              <w:t>Organization units, positions, jobs, grades, reporting lines, workforce structure and job architecture.</w:t>
            </w:r>
          </w:p>
        </w:tc>
      </w:tr>
      <w:tr>
        <w:trPr>
          <w:cantSplit/>
        </w:trPr>
        <w:tc>
          <w:tcPr>
            <w:tcW w:type="dxa" w:w="605"/>
            <w:vAlign w:val="top"/>
            <w:tcBorders>
              <w:bottom w:sz="2" w:val="single" w:color="E3DED5"/>
            </w:tcBorders>
          </w:tcPr>
          <w:p>
            <w:pPr>
              <w:spacing w:before="40" w:after="40" w:line="240" w:lineRule="auto"/>
            </w:pPr>
            <w:r>
              <w:rPr>
                <w:rFonts w:ascii="Arial" w:hAnsi="Arial"/>
                <w:color w:val="2B2B2B"/>
                <w:sz w:val="16"/>
              </w:rPr>
              <w:t>03</w:t>
            </w:r>
          </w:p>
        </w:tc>
        <w:tc>
          <w:tcPr>
            <w:tcW w:type="dxa" w:w="3240"/>
            <w:vAlign w:val="top"/>
            <w:tcBorders>
              <w:bottom w:sz="2" w:val="single" w:color="E3DED5"/>
            </w:tcBorders>
          </w:tcPr>
          <w:p>
            <w:pPr>
              <w:spacing w:before="40" w:after="40" w:line="240" w:lineRule="auto"/>
            </w:pPr>
            <w:r>
              <w:rPr>
                <w:rFonts w:ascii="Arial" w:hAnsi="Arial"/>
                <w:color w:val="2B2B2B"/>
                <w:sz w:val="16"/>
              </w:rPr>
              <w:t>Identity, Users, Roles, Permissions &amp; Security</w:t>
            </w:r>
          </w:p>
        </w:tc>
        <w:tc>
          <w:tcPr>
            <w:tcW w:type="dxa" w:w="5803"/>
            <w:vAlign w:val="top"/>
            <w:tcBorders>
              <w:bottom w:sz="2" w:val="single" w:color="E3DED5"/>
            </w:tcBorders>
          </w:tcPr>
          <w:p>
            <w:pPr>
              <w:spacing w:before="40" w:after="40" w:line="240" w:lineRule="auto"/>
            </w:pPr>
            <w:r>
              <w:rPr>
                <w:rFonts w:ascii="Arial" w:hAnsi="Arial"/>
                <w:color w:val="2B2B2B"/>
                <w:sz w:val="16"/>
              </w:rPr>
              <w:t>User lifecycle, role-based access, scoped permissions, authentication controls and security administration.</w:t>
            </w:r>
          </w:p>
        </w:tc>
      </w:tr>
      <w:tr>
        <w:trPr>
          <w:cantSplit/>
        </w:trPr>
        <w:tc>
          <w:tcPr>
            <w:tcW w:type="dxa" w:w="605"/>
            <w:shd w:fill="FAFAF8"/>
            <w:vAlign w:val="top"/>
            <w:tcBorders>
              <w:bottom w:sz="2" w:val="single" w:color="E3DED5"/>
            </w:tcBorders>
          </w:tcPr>
          <w:p>
            <w:pPr>
              <w:spacing w:before="40" w:after="40" w:line="240" w:lineRule="auto"/>
            </w:pPr>
            <w:r>
              <w:rPr>
                <w:rFonts w:ascii="Arial" w:hAnsi="Arial"/>
                <w:color w:val="2B2B2B"/>
                <w:sz w:val="16"/>
              </w:rPr>
              <w:t>04</w:t>
            </w:r>
          </w:p>
        </w:tc>
        <w:tc>
          <w:tcPr>
            <w:tcW w:type="dxa" w:w="3240"/>
            <w:shd w:fill="FAFAF8"/>
            <w:vAlign w:val="top"/>
            <w:tcBorders>
              <w:bottom w:sz="2" w:val="single" w:color="E3DED5"/>
            </w:tcBorders>
          </w:tcPr>
          <w:p>
            <w:pPr>
              <w:spacing w:before="40" w:after="40" w:line="240" w:lineRule="auto"/>
            </w:pPr>
            <w:r>
              <w:rPr>
                <w:rFonts w:ascii="Arial" w:hAnsi="Arial"/>
                <w:color w:val="2B2B2B"/>
                <w:sz w:val="16"/>
              </w:rPr>
              <w:t>Employee Core, Employment Lifecycle &amp; Assignment Management*</w:t>
            </w:r>
          </w:p>
        </w:tc>
        <w:tc>
          <w:tcPr>
            <w:tcW w:type="dxa" w:w="5803"/>
            <w:shd w:fill="FAFAF8"/>
            <w:vAlign w:val="top"/>
            <w:tcBorders>
              <w:bottom w:sz="2" w:val="single" w:color="E3DED5"/>
            </w:tcBorders>
          </w:tcPr>
          <w:p>
            <w:pPr>
              <w:spacing w:before="40" w:after="40" w:line="240" w:lineRule="auto"/>
            </w:pPr>
            <w:r>
              <w:rPr>
                <w:rFonts w:ascii="Arial" w:hAnsi="Arial"/>
                <w:color w:val="2B2B2B"/>
                <w:sz w:val="16"/>
              </w:rPr>
              <w:t>Employee master, employment records, position/project assignments, status history, movements and core lifecycle state.</w:t>
            </w:r>
          </w:p>
        </w:tc>
      </w:tr>
      <w:tr>
        <w:trPr>
          <w:cantSplit/>
        </w:trPr>
        <w:tc>
          <w:tcPr>
            <w:tcW w:type="dxa" w:w="605"/>
            <w:vAlign w:val="top"/>
            <w:tcBorders>
              <w:bottom w:sz="2" w:val="single" w:color="E3DED5"/>
            </w:tcBorders>
          </w:tcPr>
          <w:p>
            <w:pPr>
              <w:spacing w:before="40" w:after="40" w:line="240" w:lineRule="auto"/>
            </w:pPr>
            <w:r>
              <w:rPr>
                <w:rFonts w:ascii="Arial" w:hAnsi="Arial"/>
                <w:color w:val="2B2B2B"/>
                <w:sz w:val="16"/>
              </w:rPr>
              <w:t>05</w:t>
            </w:r>
          </w:p>
        </w:tc>
        <w:tc>
          <w:tcPr>
            <w:tcW w:type="dxa" w:w="3240"/>
            <w:vAlign w:val="top"/>
            <w:tcBorders>
              <w:bottom w:sz="2" w:val="single" w:color="E3DED5"/>
            </w:tcBorders>
          </w:tcPr>
          <w:p>
            <w:pPr>
              <w:spacing w:before="40" w:after="40" w:line="240" w:lineRule="auto"/>
            </w:pPr>
            <w:r>
              <w:rPr>
                <w:rFonts w:ascii="Arial" w:hAnsi="Arial"/>
                <w:color w:val="2B2B2B"/>
                <w:sz w:val="16"/>
              </w:rPr>
              <w:t>Recruitment, Manpower Request &amp; ATS</w:t>
            </w:r>
          </w:p>
        </w:tc>
        <w:tc>
          <w:tcPr>
            <w:tcW w:type="dxa" w:w="5803"/>
            <w:vAlign w:val="top"/>
            <w:tcBorders>
              <w:bottom w:sz="2" w:val="single" w:color="E3DED5"/>
            </w:tcBorders>
          </w:tcPr>
          <w:p>
            <w:pPr>
              <w:spacing w:before="40" w:after="40" w:line="240" w:lineRule="auto"/>
            </w:pPr>
            <w:r>
              <w:rPr>
                <w:rFonts w:ascii="Arial" w:hAnsi="Arial"/>
                <w:color w:val="2B2B2B"/>
                <w:sz w:val="16"/>
              </w:rPr>
              <w:t>Manpower demand, requisitions, sourcing, candidate management, interviews, assessments, approvals and offers.</w:t>
            </w:r>
          </w:p>
        </w:tc>
      </w:tr>
      <w:tr>
        <w:trPr>
          <w:cantSplit/>
        </w:trPr>
        <w:tc>
          <w:tcPr>
            <w:tcW w:type="dxa" w:w="605"/>
            <w:shd w:fill="FAFAF8"/>
            <w:vAlign w:val="top"/>
            <w:tcBorders>
              <w:bottom w:sz="2" w:val="single" w:color="E3DED5"/>
            </w:tcBorders>
          </w:tcPr>
          <w:p>
            <w:pPr>
              <w:spacing w:before="40" w:after="40" w:line="240" w:lineRule="auto"/>
            </w:pPr>
            <w:r>
              <w:rPr>
                <w:rFonts w:ascii="Arial" w:hAnsi="Arial"/>
                <w:color w:val="2B2B2B"/>
                <w:sz w:val="16"/>
              </w:rPr>
              <w:t>06</w:t>
            </w:r>
          </w:p>
        </w:tc>
        <w:tc>
          <w:tcPr>
            <w:tcW w:type="dxa" w:w="3240"/>
            <w:shd w:fill="FAFAF8"/>
            <w:vAlign w:val="top"/>
            <w:tcBorders>
              <w:bottom w:sz="2" w:val="single" w:color="E3DED5"/>
            </w:tcBorders>
          </w:tcPr>
          <w:p>
            <w:pPr>
              <w:spacing w:before="40" w:after="40" w:line="240" w:lineRule="auto"/>
            </w:pPr>
            <w:r>
              <w:rPr>
                <w:rFonts w:ascii="Arial" w:hAnsi="Arial"/>
                <w:color w:val="2B2B2B"/>
                <w:sz w:val="16"/>
              </w:rPr>
              <w:t>Onboarding, Pre-Employment Compliance &amp; Employee Activation</w:t>
            </w:r>
          </w:p>
        </w:tc>
        <w:tc>
          <w:tcPr>
            <w:tcW w:type="dxa" w:w="5803"/>
            <w:shd w:fill="FAFAF8"/>
            <w:vAlign w:val="top"/>
            <w:tcBorders>
              <w:bottom w:sz="2" w:val="single" w:color="E3DED5"/>
            </w:tcBorders>
          </w:tcPr>
          <w:p>
            <w:pPr>
              <w:spacing w:before="40" w:after="40" w:line="240" w:lineRule="auto"/>
            </w:pPr>
            <w:r>
              <w:rPr>
                <w:rFonts w:ascii="Arial" w:hAnsi="Arial"/>
                <w:color w:val="2B2B2B"/>
                <w:sz w:val="16"/>
              </w:rPr>
              <w:t>Documents, contracting, systems, equipment, HSE readiness, orientation and activation gates.</w:t>
            </w:r>
          </w:p>
        </w:tc>
      </w:tr>
      <w:tr>
        <w:trPr>
          <w:cantSplit/>
        </w:trPr>
        <w:tc>
          <w:tcPr>
            <w:tcW w:type="dxa" w:w="605"/>
            <w:vAlign w:val="top"/>
            <w:tcBorders>
              <w:bottom w:sz="2" w:val="single" w:color="E3DED5"/>
            </w:tcBorders>
          </w:tcPr>
          <w:p>
            <w:pPr>
              <w:spacing w:before="40" w:after="40" w:line="240" w:lineRule="auto"/>
            </w:pPr>
            <w:r>
              <w:rPr>
                <w:rFonts w:ascii="Arial" w:hAnsi="Arial"/>
                <w:color w:val="2B2B2B"/>
                <w:sz w:val="16"/>
              </w:rPr>
              <w:t>07</w:t>
            </w:r>
          </w:p>
        </w:tc>
        <w:tc>
          <w:tcPr>
            <w:tcW w:type="dxa" w:w="3240"/>
            <w:vAlign w:val="top"/>
            <w:tcBorders>
              <w:bottom w:sz="2" w:val="single" w:color="E3DED5"/>
            </w:tcBorders>
          </w:tcPr>
          <w:p>
            <w:pPr>
              <w:spacing w:before="40" w:after="40" w:line="240" w:lineRule="auto"/>
            </w:pPr>
            <w:r>
              <w:rPr>
                <w:rFonts w:ascii="Arial" w:hAnsi="Arial"/>
                <w:color w:val="2B2B2B"/>
                <w:sz w:val="16"/>
              </w:rPr>
              <w:t>Attendance, Time, Shifts, Rosters &amp; Field Workforce Tracking</w:t>
            </w:r>
          </w:p>
        </w:tc>
        <w:tc>
          <w:tcPr>
            <w:tcW w:type="dxa" w:w="5803"/>
            <w:vAlign w:val="top"/>
            <w:tcBorders>
              <w:bottom w:sz="2" w:val="single" w:color="E3DED5"/>
            </w:tcBorders>
          </w:tcPr>
          <w:p>
            <w:pPr>
              <w:spacing w:before="40" w:after="40" w:line="240" w:lineRule="auto"/>
            </w:pPr>
            <w:r>
              <w:rPr>
                <w:rFonts w:ascii="Arial" w:hAnsi="Arial"/>
                <w:color w:val="2B2B2B"/>
                <w:sz w:val="16"/>
              </w:rPr>
              <w:t>Biometric/GPS/supervisor/manual evidence, shifts, rosters, exceptions, overtime and field/location rules.</w:t>
            </w:r>
          </w:p>
        </w:tc>
      </w:tr>
      <w:tr>
        <w:trPr>
          <w:cantSplit/>
        </w:trPr>
        <w:tc>
          <w:tcPr>
            <w:tcW w:type="dxa" w:w="605"/>
            <w:shd w:fill="FAFAF8"/>
            <w:vAlign w:val="top"/>
            <w:tcBorders>
              <w:bottom w:sz="2" w:val="single" w:color="E3DED5"/>
            </w:tcBorders>
          </w:tcPr>
          <w:p>
            <w:pPr>
              <w:spacing w:before="40" w:after="40" w:line="240" w:lineRule="auto"/>
            </w:pPr>
            <w:r>
              <w:rPr>
                <w:rFonts w:ascii="Arial" w:hAnsi="Arial"/>
                <w:color w:val="2B2B2B"/>
                <w:sz w:val="16"/>
              </w:rPr>
              <w:t>08</w:t>
            </w:r>
          </w:p>
        </w:tc>
        <w:tc>
          <w:tcPr>
            <w:tcW w:type="dxa" w:w="3240"/>
            <w:shd w:fill="FAFAF8"/>
            <w:vAlign w:val="top"/>
            <w:tcBorders>
              <w:bottom w:sz="2" w:val="single" w:color="E3DED5"/>
            </w:tcBorders>
          </w:tcPr>
          <w:p>
            <w:pPr>
              <w:spacing w:before="40" w:after="40" w:line="240" w:lineRule="auto"/>
            </w:pPr>
            <w:r>
              <w:rPr>
                <w:rFonts w:ascii="Arial" w:hAnsi="Arial"/>
                <w:color w:val="2B2B2B"/>
                <w:sz w:val="16"/>
              </w:rPr>
              <w:t>Leave, Absence, Holidays &amp; Employee Availability</w:t>
            </w:r>
          </w:p>
        </w:tc>
        <w:tc>
          <w:tcPr>
            <w:tcW w:type="dxa" w:w="5803"/>
            <w:shd w:fill="FAFAF8"/>
            <w:vAlign w:val="top"/>
            <w:tcBorders>
              <w:bottom w:sz="2" w:val="single" w:color="E3DED5"/>
            </w:tcBorders>
          </w:tcPr>
          <w:p>
            <w:pPr>
              <w:spacing w:before="40" w:after="40" w:line="240" w:lineRule="auto"/>
            </w:pPr>
            <w:r>
              <w:rPr>
                <w:rFonts w:ascii="Arial" w:hAnsi="Arial"/>
                <w:color w:val="2B2B2B"/>
                <w:sz w:val="16"/>
              </w:rPr>
              <w:t>Leave policies, balances, approvals, calendars, absences and workforce availability.</w:t>
            </w:r>
          </w:p>
        </w:tc>
      </w:tr>
      <w:tr>
        <w:trPr>
          <w:cantSplit/>
        </w:trPr>
        <w:tc>
          <w:tcPr>
            <w:tcW w:type="dxa" w:w="605"/>
            <w:vAlign w:val="top"/>
            <w:tcBorders>
              <w:bottom w:sz="2" w:val="single" w:color="E3DED5"/>
            </w:tcBorders>
          </w:tcPr>
          <w:p>
            <w:pPr>
              <w:spacing w:before="40" w:after="40" w:line="240" w:lineRule="auto"/>
            </w:pPr>
            <w:r>
              <w:rPr>
                <w:rFonts w:ascii="Arial" w:hAnsi="Arial"/>
                <w:color w:val="2B2B2B"/>
                <w:sz w:val="16"/>
              </w:rPr>
              <w:t>09</w:t>
            </w:r>
          </w:p>
        </w:tc>
        <w:tc>
          <w:tcPr>
            <w:tcW w:type="dxa" w:w="3240"/>
            <w:vAlign w:val="top"/>
            <w:tcBorders>
              <w:bottom w:sz="2" w:val="single" w:color="E3DED5"/>
            </w:tcBorders>
          </w:tcPr>
          <w:p>
            <w:pPr>
              <w:spacing w:before="40" w:after="40" w:line="240" w:lineRule="auto"/>
            </w:pPr>
            <w:r>
              <w:rPr>
                <w:rFonts w:ascii="Arial" w:hAnsi="Arial"/>
                <w:color w:val="2B2B2B"/>
                <w:sz w:val="16"/>
              </w:rPr>
              <w:t>Payroll, Compensation, Earnings, Deductions &amp; Payroll Processing</w:t>
            </w:r>
          </w:p>
        </w:tc>
        <w:tc>
          <w:tcPr>
            <w:tcW w:type="dxa" w:w="5803"/>
            <w:vAlign w:val="top"/>
            <w:tcBorders>
              <w:bottom w:sz="2" w:val="single" w:color="E3DED5"/>
            </w:tcBorders>
          </w:tcPr>
          <w:p>
            <w:pPr>
              <w:spacing w:before="40" w:after="40" w:line="240" w:lineRule="auto"/>
            </w:pPr>
            <w:r>
              <w:rPr>
                <w:rFonts w:ascii="Arial" w:hAnsi="Arial"/>
                <w:color w:val="2B2B2B"/>
                <w:sz w:val="16"/>
              </w:rPr>
              <w:t>Compensation structures, payroll inputs, taxes/social insurance, allowances, deductions, payroll run and payments.</w:t>
            </w:r>
          </w:p>
        </w:tc>
      </w:tr>
      <w:tr>
        <w:trPr>
          <w:cantSplit/>
        </w:trPr>
        <w:tc>
          <w:tcPr>
            <w:tcW w:type="dxa" w:w="605"/>
            <w:shd w:fill="FAFAF8"/>
            <w:vAlign w:val="top"/>
            <w:tcBorders>
              <w:bottom w:sz="2" w:val="single" w:color="E3DED5"/>
            </w:tcBorders>
          </w:tcPr>
          <w:p>
            <w:pPr>
              <w:spacing w:before="40" w:after="40" w:line="240" w:lineRule="auto"/>
            </w:pPr>
            <w:r>
              <w:rPr>
                <w:rFonts w:ascii="Arial" w:hAnsi="Arial"/>
                <w:color w:val="2B2B2B"/>
                <w:sz w:val="16"/>
              </w:rPr>
              <w:t>10</w:t>
            </w:r>
          </w:p>
        </w:tc>
        <w:tc>
          <w:tcPr>
            <w:tcW w:type="dxa" w:w="3240"/>
            <w:shd w:fill="FAFAF8"/>
            <w:vAlign w:val="top"/>
            <w:tcBorders>
              <w:bottom w:sz="2" w:val="single" w:color="E3DED5"/>
            </w:tcBorders>
          </w:tcPr>
          <w:p>
            <w:pPr>
              <w:spacing w:before="40" w:after="40" w:line="240" w:lineRule="auto"/>
            </w:pPr>
            <w:r>
              <w:rPr>
                <w:rFonts w:ascii="Arial" w:hAnsi="Arial"/>
                <w:color w:val="2B2B2B"/>
                <w:sz w:val="16"/>
              </w:rPr>
              <w:t>Performance, KPI, Objectives, Appraisals &amp; Incentives</w:t>
            </w:r>
          </w:p>
        </w:tc>
        <w:tc>
          <w:tcPr>
            <w:tcW w:type="dxa" w:w="5803"/>
            <w:shd w:fill="FAFAF8"/>
            <w:vAlign w:val="top"/>
            <w:tcBorders>
              <w:bottom w:sz="2" w:val="single" w:color="E3DED5"/>
            </w:tcBorders>
          </w:tcPr>
          <w:p>
            <w:pPr>
              <w:spacing w:before="40" w:after="40" w:line="240" w:lineRule="auto"/>
            </w:pPr>
            <w:r>
              <w:rPr>
                <w:rFonts w:ascii="Arial" w:hAnsi="Arial"/>
                <w:color w:val="2B2B2B"/>
                <w:sz w:val="16"/>
              </w:rPr>
              <w:t>Objectives, KPI cycles, reviews, scoring, calibration, incentives and performance records.</w:t>
            </w:r>
          </w:p>
        </w:tc>
      </w:tr>
    </w:tbl>
    <w:tbl>
      <w:tblPr>
        <w:tblW w:type="auto" w:w="0"/>
        <w:jc w:val="center"/>
        <w:tblLayout w:type="fixed"/>
        <w:tblLook w:firstColumn="1" w:firstRow="1" w:lastColumn="0" w:lastRow="0" w:noHBand="0" w:noVBand="1" w:val="04A0"/>
      </w:tblPr>
      <w:tblGrid>
        <w:gridCol w:w="9792"/>
      </w:tblGrid>
      <w:tr>
        <w:trPr>
          <w:cantSplit/>
        </w:trPr>
        <w:tc>
          <w:tcPr>
            <w:tcW w:type="dxa" w:w="10166"/>
            <w:shd w:fill="FFF6E6"/>
            <w:tcBorders>
              <w:top w:sz="4" w:val="single" w:color="E6E0D8"/>
              <w:left w:sz="14" w:val="single" w:color="F5A01B"/>
              <w:bottom w:sz="4" w:val="single" w:color="E6E0D8"/>
              <w:right w:sz="4" w:val="single" w:color="E6E0D8"/>
            </w:tcBorders>
          </w:tcPr>
          <w:p>
            <w:pPr>
              <w:spacing w:before="60" w:after="60" w:line="252" w:lineRule="auto"/>
            </w:pPr>
            <w:r>
              <w:rPr>
                <w:rFonts w:ascii="Arial" w:hAnsi="Arial"/>
                <w:b/>
                <w:color w:val="2B2B2B"/>
                <w:sz w:val="20"/>
              </w:rPr>
              <w:t xml:space="preserve">* Working title.  </w:t>
            </w:r>
            <w:r>
              <w:rPr>
                <w:rFonts w:ascii="Arial" w:hAnsi="Arial"/>
                <w:color w:val="2B2B2B"/>
                <w:sz w:val="19"/>
              </w:rPr>
              <w:t>Module 04 was not formally named in the source manual; this working title reflects the Core Employee / Position / Assignment domain already required by the target data architecture. It will be confirmed in the Core HR specification.</w:t>
            </w:r>
          </w:p>
        </w:tc>
      </w:tr>
    </w:tbl>
    <w:p>
      <w:r>
        <w:br w:type="page"/>
      </w:r>
    </w:p>
    <w:p>
      <w:pPr>
        <w:pStyle w:val="Heading1"/>
        <w:keepNext/>
        <w:keepLines/>
        <w:spacing w:before="0" w:after="100" w:line="240" w:lineRule="auto"/>
      </w:pPr>
      <w:r>
        <w:rPr>
          <w:rFonts w:ascii="Arial" w:hAnsi="Arial"/>
          <w:b/>
          <w:color w:val="2B2B2B"/>
          <w:sz w:val="44"/>
        </w:rPr>
        <w:t>7.1. Twenty-Module Portfolio — Modules 11–20</w:t>
      </w:r>
    </w:p>
    <w:tbl>
      <w:tblPr>
        <w:tblW w:type="auto" w:w="0"/>
        <w:jc w:val="left"/>
        <w:tblLayout w:type="fixed"/>
        <w:tblLook w:firstColumn="1" w:firstRow="1" w:lastColumn="0" w:lastRow="0" w:noHBand="0" w:noVBand="1" w:val="04A0"/>
      </w:tblPr>
      <w:tblGrid>
        <w:gridCol w:w="9648"/>
      </w:tblGrid>
      <w:tr>
        <w:trPr>
          <w:cantSplit/>
        </w:trPr>
        <w:tc>
          <w:tcPr>
            <w:tcW w:type="dxa" w:w="10166"/>
            <w:shd w:fill="F5A01B"/>
          </w:tcPr>
          <w:p>
            <w:r/>
          </w:p>
        </w:tc>
      </w:tr>
    </w:tbl>
    <w:tbl>
      <w:tblPr>
        <w:tblW w:type="auto" w:w="0"/>
        <w:jc w:val="center"/>
        <w:tblLayout w:type="fixed"/>
        <w:tblLook w:firstColumn="1" w:firstRow="1" w:lastColumn="0" w:lastRow="0" w:noHBand="0" w:noVBand="1" w:val="04A0"/>
      </w:tblPr>
      <w:tblGrid>
        <w:gridCol w:w="605"/>
        <w:gridCol w:w="3240"/>
        <w:gridCol w:w="5803"/>
      </w:tblGrid>
      <w:tr>
        <w:trPr>
          <w:cantSplit/>
        </w:trPr>
        <w:tc>
          <w:tcPr>
            <w:tcW w:type="dxa" w:w="3389"/>
            <w:shd w:fill="F5A01B"/>
            <w:vAlign w:val="center"/>
          </w:tcPr>
          <w:p>
            <w:pPr>
              <w:spacing w:before="40" w:after="40" w:line="240" w:lineRule="auto"/>
              <w:jc w:val="left"/>
            </w:pPr>
            <w:r>
              <w:rPr>
                <w:rFonts w:ascii="Arial" w:hAnsi="Arial"/>
                <w:b/>
                <w:color w:val="2B2B2B"/>
                <w:sz w:val="16"/>
              </w:rPr>
              <w:t>No.</w:t>
            </w:r>
          </w:p>
        </w:tc>
        <w:tc>
          <w:tcPr>
            <w:tcW w:type="dxa" w:w="3389"/>
            <w:shd w:fill="F5A01B"/>
            <w:vAlign w:val="center"/>
          </w:tcPr>
          <w:p>
            <w:pPr>
              <w:spacing w:before="40" w:after="40" w:line="240" w:lineRule="auto"/>
              <w:jc w:val="left"/>
            </w:pPr>
            <w:r>
              <w:rPr>
                <w:rFonts w:ascii="Arial" w:hAnsi="Arial"/>
                <w:b/>
                <w:color w:val="2B2B2B"/>
                <w:sz w:val="16"/>
              </w:rPr>
              <w:t>Module</w:t>
            </w:r>
          </w:p>
        </w:tc>
        <w:tc>
          <w:tcPr>
            <w:tcW w:type="dxa" w:w="3389"/>
            <w:shd w:fill="F5A01B"/>
            <w:vAlign w:val="center"/>
          </w:tcPr>
          <w:p>
            <w:pPr>
              <w:spacing w:before="40" w:after="40" w:line="240" w:lineRule="auto"/>
              <w:jc w:val="left"/>
            </w:pPr>
            <w:r>
              <w:rPr>
                <w:rFonts w:ascii="Arial" w:hAnsi="Arial"/>
                <w:b/>
                <w:color w:val="2B2B2B"/>
                <w:sz w:val="16"/>
              </w:rPr>
              <w:t>Executive Scope</w:t>
            </w:r>
          </w:p>
        </w:tc>
      </w:tr>
      <w:tr>
        <w:trPr>
          <w:cantSplit/>
        </w:trPr>
        <w:tc>
          <w:tcPr>
            <w:tcW w:type="dxa" w:w="605"/>
            <w:vAlign w:val="top"/>
            <w:tcBorders>
              <w:bottom w:sz="2" w:val="single" w:color="E3DED5"/>
            </w:tcBorders>
          </w:tcPr>
          <w:p>
            <w:pPr>
              <w:spacing w:before="40" w:after="40" w:line="240" w:lineRule="auto"/>
            </w:pPr>
            <w:r>
              <w:rPr>
                <w:rFonts w:ascii="Arial" w:hAnsi="Arial"/>
                <w:color w:val="2B2B2B"/>
                <w:sz w:val="16"/>
              </w:rPr>
              <w:t>11</w:t>
            </w:r>
          </w:p>
        </w:tc>
        <w:tc>
          <w:tcPr>
            <w:tcW w:type="dxa" w:w="3240"/>
            <w:vAlign w:val="top"/>
            <w:tcBorders>
              <w:bottom w:sz="2" w:val="single" w:color="E3DED5"/>
            </w:tcBorders>
          </w:tcPr>
          <w:p>
            <w:pPr>
              <w:spacing w:before="40" w:after="40" w:line="240" w:lineRule="auto"/>
            </w:pPr>
            <w:r>
              <w:rPr>
                <w:rFonts w:ascii="Arial" w:hAnsi="Arial"/>
                <w:color w:val="2B2B2B"/>
                <w:sz w:val="16"/>
              </w:rPr>
              <w:t>Learning, Training, Competency Development &amp; Certification</w:t>
            </w:r>
          </w:p>
        </w:tc>
        <w:tc>
          <w:tcPr>
            <w:tcW w:type="dxa" w:w="5803"/>
            <w:vAlign w:val="top"/>
            <w:tcBorders>
              <w:bottom w:sz="2" w:val="single" w:color="E3DED5"/>
            </w:tcBorders>
          </w:tcPr>
          <w:p>
            <w:pPr>
              <w:spacing w:before="40" w:after="40" w:line="240" w:lineRule="auto"/>
            </w:pPr>
            <w:r>
              <w:rPr>
                <w:rFonts w:ascii="Arial" w:hAnsi="Arial"/>
                <w:color w:val="2B2B2B"/>
                <w:sz w:val="16"/>
              </w:rPr>
              <w:t>Training plans, courses, competency profiles, skill gaps, certifications and readiness.</w:t>
            </w:r>
          </w:p>
        </w:tc>
      </w:tr>
      <w:tr>
        <w:trPr>
          <w:cantSplit/>
        </w:trPr>
        <w:tc>
          <w:tcPr>
            <w:tcW w:type="dxa" w:w="605"/>
            <w:shd w:fill="FAFAF8"/>
            <w:vAlign w:val="top"/>
            <w:tcBorders>
              <w:bottom w:sz="2" w:val="single" w:color="E3DED5"/>
            </w:tcBorders>
          </w:tcPr>
          <w:p>
            <w:pPr>
              <w:spacing w:before="40" w:after="40" w:line="240" w:lineRule="auto"/>
            </w:pPr>
            <w:r>
              <w:rPr>
                <w:rFonts w:ascii="Arial" w:hAnsi="Arial"/>
                <w:color w:val="2B2B2B"/>
                <w:sz w:val="16"/>
              </w:rPr>
              <w:t>12</w:t>
            </w:r>
          </w:p>
        </w:tc>
        <w:tc>
          <w:tcPr>
            <w:tcW w:type="dxa" w:w="3240"/>
            <w:shd w:fill="FAFAF8"/>
            <w:vAlign w:val="top"/>
            <w:tcBorders>
              <w:bottom w:sz="2" w:val="single" w:color="E3DED5"/>
            </w:tcBorders>
          </w:tcPr>
          <w:p>
            <w:pPr>
              <w:spacing w:before="40" w:after="40" w:line="240" w:lineRule="auto"/>
            </w:pPr>
            <w:r>
              <w:rPr>
                <w:rFonts w:ascii="Arial" w:hAnsi="Arial"/>
                <w:color w:val="2B2B2B"/>
                <w:sz w:val="16"/>
              </w:rPr>
              <w:t>Career Management, Talent Review, Succession, Promotions &amp; Mobility</w:t>
            </w:r>
          </w:p>
        </w:tc>
        <w:tc>
          <w:tcPr>
            <w:tcW w:type="dxa" w:w="5803"/>
            <w:shd w:fill="FAFAF8"/>
            <w:vAlign w:val="top"/>
            <w:tcBorders>
              <w:bottom w:sz="2" w:val="single" w:color="E3DED5"/>
            </w:tcBorders>
          </w:tcPr>
          <w:p>
            <w:pPr>
              <w:spacing w:before="40" w:after="40" w:line="240" w:lineRule="auto"/>
            </w:pPr>
            <w:r>
              <w:rPr>
                <w:rFonts w:ascii="Arial" w:hAnsi="Arial"/>
                <w:color w:val="2B2B2B"/>
                <w:sz w:val="16"/>
              </w:rPr>
              <w:t>Talent reviews, succession, career paths, readiness, promotions and internal transfers.</w:t>
            </w:r>
          </w:p>
        </w:tc>
      </w:tr>
      <w:tr>
        <w:trPr>
          <w:cantSplit/>
        </w:trPr>
        <w:tc>
          <w:tcPr>
            <w:tcW w:type="dxa" w:w="605"/>
            <w:vAlign w:val="top"/>
            <w:tcBorders>
              <w:bottom w:sz="2" w:val="single" w:color="E3DED5"/>
            </w:tcBorders>
          </w:tcPr>
          <w:p>
            <w:pPr>
              <w:spacing w:before="40" w:after="40" w:line="240" w:lineRule="auto"/>
            </w:pPr>
            <w:r>
              <w:rPr>
                <w:rFonts w:ascii="Arial" w:hAnsi="Arial"/>
                <w:color w:val="2B2B2B"/>
                <w:sz w:val="16"/>
              </w:rPr>
              <w:t>13</w:t>
            </w:r>
          </w:p>
        </w:tc>
        <w:tc>
          <w:tcPr>
            <w:tcW w:type="dxa" w:w="3240"/>
            <w:vAlign w:val="top"/>
            <w:tcBorders>
              <w:bottom w:sz="2" w:val="single" w:color="E3DED5"/>
            </w:tcBorders>
          </w:tcPr>
          <w:p>
            <w:pPr>
              <w:spacing w:before="40" w:after="40" w:line="240" w:lineRule="auto"/>
            </w:pPr>
            <w:r>
              <w:rPr>
                <w:rFonts w:ascii="Arial" w:hAnsi="Arial"/>
                <w:color w:val="2B2B2B"/>
                <w:sz w:val="16"/>
              </w:rPr>
              <w:t>Employee Relations, Grievances, Disciplinary Actions, Investigations &amp; Cases</w:t>
            </w:r>
          </w:p>
        </w:tc>
        <w:tc>
          <w:tcPr>
            <w:tcW w:type="dxa" w:w="5803"/>
            <w:vAlign w:val="top"/>
            <w:tcBorders>
              <w:bottom w:sz="2" w:val="single" w:color="E3DED5"/>
            </w:tcBorders>
          </w:tcPr>
          <w:p>
            <w:pPr>
              <w:spacing w:before="40" w:after="40" w:line="240" w:lineRule="auto"/>
            </w:pPr>
            <w:r>
              <w:rPr>
                <w:rFonts w:ascii="Arial" w:hAnsi="Arial"/>
                <w:color w:val="2B2B2B"/>
                <w:sz w:val="16"/>
              </w:rPr>
              <w:t>Confidential case management, evidence, investigation workflow, decisions, appeal and controlled payroll/performance impacts.</w:t>
            </w:r>
          </w:p>
        </w:tc>
      </w:tr>
      <w:tr>
        <w:trPr>
          <w:cantSplit/>
        </w:trPr>
        <w:tc>
          <w:tcPr>
            <w:tcW w:type="dxa" w:w="605"/>
            <w:shd w:fill="FAFAF8"/>
            <w:vAlign w:val="top"/>
            <w:tcBorders>
              <w:bottom w:sz="2" w:val="single" w:color="E3DED5"/>
            </w:tcBorders>
          </w:tcPr>
          <w:p>
            <w:pPr>
              <w:spacing w:before="40" w:after="40" w:line="240" w:lineRule="auto"/>
            </w:pPr>
            <w:r>
              <w:rPr>
                <w:rFonts w:ascii="Arial" w:hAnsi="Arial"/>
                <w:color w:val="2B2B2B"/>
                <w:sz w:val="16"/>
              </w:rPr>
              <w:t>14</w:t>
            </w:r>
          </w:p>
        </w:tc>
        <w:tc>
          <w:tcPr>
            <w:tcW w:type="dxa" w:w="3240"/>
            <w:shd w:fill="FAFAF8"/>
            <w:vAlign w:val="top"/>
            <w:tcBorders>
              <w:bottom w:sz="2" w:val="single" w:color="E3DED5"/>
            </w:tcBorders>
          </w:tcPr>
          <w:p>
            <w:pPr>
              <w:spacing w:before="40" w:after="40" w:line="240" w:lineRule="auto"/>
            </w:pPr>
            <w:r>
              <w:rPr>
                <w:rFonts w:ascii="Arial" w:hAnsi="Arial"/>
                <w:color w:val="2B2B2B"/>
                <w:sz w:val="16"/>
              </w:rPr>
              <w:t>HR Service Desk, Employee Requests, Letters, Documents &amp; ESS</w:t>
            </w:r>
          </w:p>
        </w:tc>
        <w:tc>
          <w:tcPr>
            <w:tcW w:type="dxa" w:w="5803"/>
            <w:shd w:fill="FAFAF8"/>
            <w:vAlign w:val="top"/>
            <w:tcBorders>
              <w:bottom w:sz="2" w:val="single" w:color="E3DED5"/>
            </w:tcBorders>
          </w:tcPr>
          <w:p>
            <w:pPr>
              <w:spacing w:before="40" w:after="40" w:line="240" w:lineRule="auto"/>
            </w:pPr>
            <w:r>
              <w:rPr>
                <w:rFonts w:ascii="Arial" w:hAnsi="Arial"/>
                <w:color w:val="2B2B2B"/>
                <w:sz w:val="16"/>
              </w:rPr>
              <w:t>Employee service catalog, requests, SLA, letters, certificates, status tracking and self-service.</w:t>
            </w:r>
          </w:p>
        </w:tc>
      </w:tr>
      <w:tr>
        <w:trPr>
          <w:cantSplit/>
        </w:trPr>
        <w:tc>
          <w:tcPr>
            <w:tcW w:type="dxa" w:w="605"/>
            <w:vAlign w:val="top"/>
            <w:tcBorders>
              <w:bottom w:sz="2" w:val="single" w:color="E3DED5"/>
            </w:tcBorders>
          </w:tcPr>
          <w:p>
            <w:pPr>
              <w:spacing w:before="40" w:after="40" w:line="240" w:lineRule="auto"/>
            </w:pPr>
            <w:r>
              <w:rPr>
                <w:rFonts w:ascii="Arial" w:hAnsi="Arial"/>
                <w:color w:val="2B2B2B"/>
                <w:sz w:val="16"/>
              </w:rPr>
              <w:t>15</w:t>
            </w:r>
          </w:p>
        </w:tc>
        <w:tc>
          <w:tcPr>
            <w:tcW w:type="dxa" w:w="3240"/>
            <w:vAlign w:val="top"/>
            <w:tcBorders>
              <w:bottom w:sz="2" w:val="single" w:color="E3DED5"/>
            </w:tcBorders>
          </w:tcPr>
          <w:p>
            <w:pPr>
              <w:spacing w:before="40" w:after="40" w:line="240" w:lineRule="auto"/>
            </w:pPr>
            <w:r>
              <w:rPr>
                <w:rFonts w:ascii="Arial" w:hAnsi="Arial"/>
                <w:color w:val="2B2B2B"/>
                <w:sz w:val="16"/>
              </w:rPr>
              <w:t>Employee Documents, Contracts, Personnel, Insurance &amp; Compliance</w:t>
            </w:r>
          </w:p>
        </w:tc>
        <w:tc>
          <w:tcPr>
            <w:tcW w:type="dxa" w:w="5803"/>
            <w:vAlign w:val="top"/>
            <w:tcBorders>
              <w:bottom w:sz="2" w:val="single" w:color="E3DED5"/>
            </w:tcBorders>
          </w:tcPr>
          <w:p>
            <w:pPr>
              <w:spacing w:before="40" w:after="40" w:line="240" w:lineRule="auto"/>
            </w:pPr>
            <w:r>
              <w:rPr>
                <w:rFonts w:ascii="Arial" w:hAnsi="Arial"/>
                <w:color w:val="2B2B2B"/>
                <w:sz w:val="16"/>
              </w:rPr>
              <w:t>Personnel system of record, contracts, legal documents, social/medical insurance, benefits eligibility and expiry compliance.</w:t>
            </w:r>
          </w:p>
        </w:tc>
      </w:tr>
      <w:tr>
        <w:trPr>
          <w:cantSplit/>
        </w:trPr>
        <w:tc>
          <w:tcPr>
            <w:tcW w:type="dxa" w:w="605"/>
            <w:shd w:fill="FAFAF8"/>
            <w:vAlign w:val="top"/>
            <w:tcBorders>
              <w:bottom w:sz="2" w:val="single" w:color="E3DED5"/>
            </w:tcBorders>
          </w:tcPr>
          <w:p>
            <w:pPr>
              <w:spacing w:before="40" w:after="40" w:line="240" w:lineRule="auto"/>
            </w:pPr>
            <w:r>
              <w:rPr>
                <w:rFonts w:ascii="Arial" w:hAnsi="Arial"/>
                <w:color w:val="2B2B2B"/>
                <w:sz w:val="16"/>
              </w:rPr>
              <w:t>16</w:t>
            </w:r>
          </w:p>
        </w:tc>
        <w:tc>
          <w:tcPr>
            <w:tcW w:type="dxa" w:w="3240"/>
            <w:shd w:fill="FAFAF8"/>
            <w:vAlign w:val="top"/>
            <w:tcBorders>
              <w:bottom w:sz="2" w:val="single" w:color="E3DED5"/>
            </w:tcBorders>
          </w:tcPr>
          <w:p>
            <w:pPr>
              <w:spacing w:before="40" w:after="40" w:line="240" w:lineRule="auto"/>
            </w:pPr>
            <w:r>
              <w:rPr>
                <w:rFonts w:ascii="Arial" w:hAnsi="Arial"/>
                <w:color w:val="2B2B2B"/>
                <w:sz w:val="16"/>
              </w:rPr>
              <w:t>Offboarding, Resignation, Termination, Clearance &amp; Final Settlement</w:t>
            </w:r>
          </w:p>
        </w:tc>
        <w:tc>
          <w:tcPr>
            <w:tcW w:type="dxa" w:w="5803"/>
            <w:shd w:fill="FAFAF8"/>
            <w:vAlign w:val="top"/>
            <w:tcBorders>
              <w:bottom w:sz="2" w:val="single" w:color="E3DED5"/>
            </w:tcBorders>
          </w:tcPr>
          <w:p>
            <w:pPr>
              <w:spacing w:before="40" w:after="40" w:line="240" w:lineRule="auto"/>
            </w:pPr>
            <w:r>
              <w:rPr>
                <w:rFonts w:ascii="Arial" w:hAnsi="Arial"/>
                <w:color w:val="2B2B2B"/>
                <w:sz w:val="16"/>
              </w:rPr>
              <w:t>Separation case, handover, access shutdown, asset recovery, clearance, final settlement and archival.</w:t>
            </w:r>
          </w:p>
        </w:tc>
      </w:tr>
      <w:tr>
        <w:trPr>
          <w:cantSplit/>
        </w:trPr>
        <w:tc>
          <w:tcPr>
            <w:tcW w:type="dxa" w:w="605"/>
            <w:vAlign w:val="top"/>
            <w:tcBorders>
              <w:bottom w:sz="2" w:val="single" w:color="E3DED5"/>
            </w:tcBorders>
          </w:tcPr>
          <w:p>
            <w:pPr>
              <w:spacing w:before="40" w:after="40" w:line="240" w:lineRule="auto"/>
            </w:pPr>
            <w:r>
              <w:rPr>
                <w:rFonts w:ascii="Arial" w:hAnsi="Arial"/>
                <w:color w:val="2B2B2B"/>
                <w:sz w:val="16"/>
              </w:rPr>
              <w:t>17</w:t>
            </w:r>
          </w:p>
        </w:tc>
        <w:tc>
          <w:tcPr>
            <w:tcW w:type="dxa" w:w="3240"/>
            <w:vAlign w:val="top"/>
            <w:tcBorders>
              <w:bottom w:sz="2" w:val="single" w:color="E3DED5"/>
            </w:tcBorders>
          </w:tcPr>
          <w:p>
            <w:pPr>
              <w:spacing w:before="40" w:after="40" w:line="240" w:lineRule="auto"/>
            </w:pPr>
            <w:r>
              <w:rPr>
                <w:rFonts w:ascii="Arial" w:hAnsi="Arial"/>
                <w:color w:val="2B2B2B"/>
                <w:sz w:val="16"/>
              </w:rPr>
              <w:t>HR Analytics, Workforce Planning, People Cost &amp; Headcount Budgeting</w:t>
            </w:r>
          </w:p>
        </w:tc>
        <w:tc>
          <w:tcPr>
            <w:tcW w:type="dxa" w:w="5803"/>
            <w:vAlign w:val="top"/>
            <w:tcBorders>
              <w:bottom w:sz="2" w:val="single" w:color="E3DED5"/>
            </w:tcBorders>
          </w:tcPr>
          <w:p>
            <w:pPr>
              <w:spacing w:before="40" w:after="40" w:line="240" w:lineRule="auto"/>
            </w:pPr>
            <w:r>
              <w:rPr>
                <w:rFonts w:ascii="Arial" w:hAnsi="Arial"/>
                <w:color w:val="2B2B2B"/>
                <w:sz w:val="16"/>
              </w:rPr>
              <w:t>Executive analytics, workforce demand/capacity, people cost, budgets, trends and forecasting.</w:t>
            </w:r>
          </w:p>
        </w:tc>
      </w:tr>
      <w:tr>
        <w:trPr>
          <w:cantSplit/>
        </w:trPr>
        <w:tc>
          <w:tcPr>
            <w:tcW w:type="dxa" w:w="605"/>
            <w:shd w:fill="FAFAF8"/>
            <w:vAlign w:val="top"/>
            <w:tcBorders>
              <w:bottom w:sz="2" w:val="single" w:color="E3DED5"/>
            </w:tcBorders>
          </w:tcPr>
          <w:p>
            <w:pPr>
              <w:spacing w:before="40" w:after="40" w:line="240" w:lineRule="auto"/>
            </w:pPr>
            <w:r>
              <w:rPr>
                <w:rFonts w:ascii="Arial" w:hAnsi="Arial"/>
                <w:color w:val="2B2B2B"/>
                <w:sz w:val="16"/>
              </w:rPr>
              <w:t>18</w:t>
            </w:r>
          </w:p>
        </w:tc>
        <w:tc>
          <w:tcPr>
            <w:tcW w:type="dxa" w:w="3240"/>
            <w:shd w:fill="FAFAF8"/>
            <w:vAlign w:val="top"/>
            <w:tcBorders>
              <w:bottom w:sz="2" w:val="single" w:color="E3DED5"/>
            </w:tcBorders>
          </w:tcPr>
          <w:p>
            <w:pPr>
              <w:spacing w:before="40" w:after="40" w:line="240" w:lineRule="auto"/>
            </w:pPr>
            <w:r>
              <w:rPr>
                <w:rFonts w:ascii="Arial" w:hAnsi="Arial"/>
                <w:color w:val="2B2B2B"/>
                <w:sz w:val="16"/>
              </w:rPr>
              <w:t>HR Governance, Policies, Delegation, Audit, Compliance, Privacy &amp; Risk</w:t>
            </w:r>
          </w:p>
        </w:tc>
        <w:tc>
          <w:tcPr>
            <w:tcW w:type="dxa" w:w="5803"/>
            <w:shd w:fill="FAFAF8"/>
            <w:vAlign w:val="top"/>
            <w:tcBorders>
              <w:bottom w:sz="2" w:val="single" w:color="E3DED5"/>
            </w:tcBorders>
          </w:tcPr>
          <w:p>
            <w:pPr>
              <w:spacing w:before="40" w:after="40" w:line="240" w:lineRule="auto"/>
            </w:pPr>
            <w:r>
              <w:rPr>
                <w:rFonts w:ascii="Arial" w:hAnsi="Arial"/>
                <w:color w:val="2B2B2B"/>
                <w:sz w:val="16"/>
              </w:rPr>
              <w:t>Policy registry, delegation, approvals, controls, audit, privacy obligations and HR risk management.</w:t>
            </w:r>
          </w:p>
        </w:tc>
      </w:tr>
      <w:tr>
        <w:trPr>
          <w:cantSplit/>
        </w:trPr>
        <w:tc>
          <w:tcPr>
            <w:tcW w:type="dxa" w:w="605"/>
            <w:vAlign w:val="top"/>
            <w:tcBorders>
              <w:bottom w:sz="2" w:val="single" w:color="E3DED5"/>
            </w:tcBorders>
          </w:tcPr>
          <w:p>
            <w:pPr>
              <w:spacing w:before="40" w:after="40" w:line="240" w:lineRule="auto"/>
            </w:pPr>
            <w:r>
              <w:rPr>
                <w:rFonts w:ascii="Arial" w:hAnsi="Arial"/>
                <w:color w:val="2B2B2B"/>
                <w:sz w:val="16"/>
              </w:rPr>
              <w:t>19</w:t>
            </w:r>
          </w:p>
        </w:tc>
        <w:tc>
          <w:tcPr>
            <w:tcW w:type="dxa" w:w="3240"/>
            <w:vAlign w:val="top"/>
            <w:tcBorders>
              <w:bottom w:sz="2" w:val="single" w:color="E3DED5"/>
            </w:tcBorders>
          </w:tcPr>
          <w:p>
            <w:pPr>
              <w:spacing w:before="40" w:after="40" w:line="240" w:lineRule="auto"/>
            </w:pPr>
            <w:r>
              <w:rPr>
                <w:rFonts w:ascii="Arial" w:hAnsi="Arial"/>
                <w:color w:val="2B2B2B"/>
                <w:sz w:val="16"/>
              </w:rPr>
              <w:t>Employee Engagement, Surveys, Recognition, Communication, Culture &amp; Wellbeing</w:t>
            </w:r>
          </w:p>
        </w:tc>
        <w:tc>
          <w:tcPr>
            <w:tcW w:type="dxa" w:w="5803"/>
            <w:vAlign w:val="top"/>
            <w:tcBorders>
              <w:bottom w:sz="2" w:val="single" w:color="E3DED5"/>
            </w:tcBorders>
          </w:tcPr>
          <w:p>
            <w:pPr>
              <w:spacing w:before="40" w:after="40" w:line="240" w:lineRule="auto"/>
            </w:pPr>
            <w:r>
              <w:rPr>
                <w:rFonts w:ascii="Arial" w:hAnsi="Arial"/>
                <w:color w:val="2B2B2B"/>
                <w:sz w:val="16"/>
              </w:rPr>
              <w:t>Engagement surveys, recognition, communications, cultural initiatives, feedback and wellbeing activities.</w:t>
            </w:r>
          </w:p>
        </w:tc>
      </w:tr>
      <w:tr>
        <w:trPr>
          <w:cantSplit/>
        </w:trPr>
        <w:tc>
          <w:tcPr>
            <w:tcW w:type="dxa" w:w="605"/>
            <w:shd w:fill="FAFAF8"/>
            <w:vAlign w:val="top"/>
            <w:tcBorders>
              <w:bottom w:sz="2" w:val="single" w:color="E3DED5"/>
            </w:tcBorders>
          </w:tcPr>
          <w:p>
            <w:pPr>
              <w:spacing w:before="40" w:after="40" w:line="240" w:lineRule="auto"/>
            </w:pPr>
            <w:r>
              <w:rPr>
                <w:rFonts w:ascii="Arial" w:hAnsi="Arial"/>
                <w:color w:val="2B2B2B"/>
                <w:sz w:val="16"/>
              </w:rPr>
              <w:t>20</w:t>
            </w:r>
          </w:p>
        </w:tc>
        <w:tc>
          <w:tcPr>
            <w:tcW w:type="dxa" w:w="3240"/>
            <w:shd w:fill="FAFAF8"/>
            <w:vAlign w:val="top"/>
            <w:tcBorders>
              <w:bottom w:sz="2" w:val="single" w:color="E3DED5"/>
            </w:tcBorders>
          </w:tcPr>
          <w:p>
            <w:pPr>
              <w:spacing w:before="40" w:after="40" w:line="240" w:lineRule="auto"/>
            </w:pPr>
            <w:r>
              <w:rPr>
                <w:rFonts w:ascii="Arial" w:hAnsi="Arial"/>
                <w:color w:val="2B2B2B"/>
                <w:sz w:val="16"/>
              </w:rPr>
              <w:t>Strategic Organization Development, Organization Design &amp; Workforce Transformation</w:t>
            </w:r>
          </w:p>
        </w:tc>
        <w:tc>
          <w:tcPr>
            <w:tcW w:type="dxa" w:w="5803"/>
            <w:shd w:fill="FAFAF8"/>
            <w:vAlign w:val="top"/>
            <w:tcBorders>
              <w:bottom w:sz="2" w:val="single" w:color="E3DED5"/>
            </w:tcBorders>
          </w:tcPr>
          <w:p>
            <w:pPr>
              <w:spacing w:before="40" w:after="40" w:line="240" w:lineRule="auto"/>
            </w:pPr>
            <w:r>
              <w:rPr>
                <w:rFonts w:ascii="Arial" w:hAnsi="Arial"/>
                <w:color w:val="2B2B2B"/>
                <w:sz w:val="16"/>
              </w:rPr>
              <w:t>Org design scenarios, spans/layers, operating-model changes, workforce transformation and organizational effectiveness.</w:t>
            </w:r>
          </w:p>
        </w:tc>
      </w:tr>
    </w:tbl>
    <w:p>
      <w:r>
        <w:br w:type="page"/>
      </w:r>
    </w:p>
    <w:p>
      <w:pPr>
        <w:pStyle w:val="Heading1"/>
        <w:keepNext/>
        <w:keepLines/>
        <w:spacing w:before="0" w:after="100" w:line="240" w:lineRule="auto"/>
      </w:pPr>
      <w:r>
        <w:rPr>
          <w:rFonts w:ascii="Arial" w:hAnsi="Arial"/>
          <w:b/>
          <w:color w:val="2B2B2B"/>
          <w:sz w:val="44"/>
        </w:rPr>
        <w:t>8. System Boundaries &amp; Out-of-Scope</w:t>
      </w:r>
    </w:p>
    <w:tbl>
      <w:tblPr>
        <w:tblW w:type="auto" w:w="0"/>
        <w:jc w:val="left"/>
        <w:tblLayout w:type="fixed"/>
        <w:tblLook w:firstColumn="1" w:firstRow="1" w:lastColumn="0" w:lastRow="0" w:noHBand="0" w:noVBand="1" w:val="04A0"/>
      </w:tblPr>
      <w:tblGrid>
        <w:gridCol w:w="9648"/>
      </w:tblGrid>
      <w:tr>
        <w:trPr>
          <w:cantSplit/>
        </w:trPr>
        <w:tc>
          <w:tcPr>
            <w:tcW w:type="dxa" w:w="10166"/>
            <w:shd w:fill="F5A01B"/>
          </w:tcPr>
          <w:p>
            <w:r/>
          </w:p>
        </w:tc>
      </w:tr>
    </w:tbl>
    <w:p>
      <w:pPr>
        <w:pStyle w:val="Heading2"/>
        <w:keepNext/>
        <w:keepLines/>
        <w:spacing w:before="160" w:after="80" w:line="240" w:lineRule="auto"/>
      </w:pPr>
      <w:r>
        <w:rPr>
          <w:rFonts w:ascii="Arial" w:hAnsi="Arial"/>
          <w:b/>
          <w:color w:val="F5A01B"/>
          <w:sz w:val="28"/>
        </w:rPr>
        <w:t>In Scope at Platform Level</w:t>
      </w:r>
    </w:p>
    <w:p>
      <w:pPr>
        <w:pStyle w:val="ListBullet"/>
        <w:spacing w:before="0" w:after="60" w:line="252" w:lineRule="auto"/>
        <w:ind w:left="317" w:hanging="173"/>
      </w:pPr>
      <w:r>
        <w:rPr>
          <w:rFonts w:ascii="Arial" w:hAnsi="Arial"/>
          <w:color w:val="2B2B2B"/>
          <w:sz w:val="20"/>
        </w:rPr>
        <w:t>People &amp; Culture master data, lifecycle transactions, approvals, policy rules, documents, employee cases, readiness and HR analytics.</w:t>
      </w:r>
    </w:p>
    <w:p>
      <w:pPr>
        <w:pStyle w:val="ListBullet"/>
        <w:spacing w:before="0" w:after="60" w:line="252" w:lineRule="auto"/>
        <w:ind w:left="317" w:hanging="173"/>
      </w:pPr>
      <w:r>
        <w:rPr>
          <w:rFonts w:ascii="Arial" w:hAnsi="Arial"/>
          <w:color w:val="2B2B2B"/>
          <w:sz w:val="20"/>
        </w:rPr>
        <w:t>Employee, manager and HR self-service; role-based dashboards; web and mobile user experiences.</w:t>
      </w:r>
    </w:p>
    <w:p>
      <w:pPr>
        <w:pStyle w:val="ListBullet"/>
        <w:spacing w:before="0" w:after="60" w:line="252" w:lineRule="auto"/>
        <w:ind w:left="317" w:hanging="173"/>
      </w:pPr>
      <w:r>
        <w:rPr>
          <w:rFonts w:ascii="Arial" w:hAnsi="Arial"/>
          <w:color w:val="2B2B2B"/>
          <w:sz w:val="20"/>
        </w:rPr>
        <w:t>Workflow, rules, notifications, document generation, audit, localization, integration monitoring and AI assistance.</w:t>
      </w:r>
    </w:p>
    <w:p>
      <w:pPr>
        <w:pStyle w:val="ListBullet"/>
        <w:spacing w:before="0" w:after="60" w:line="252" w:lineRule="auto"/>
        <w:ind w:left="317" w:hanging="173"/>
      </w:pPr>
      <w:r>
        <w:rPr>
          <w:rFonts w:ascii="Arial" w:hAnsi="Arial"/>
          <w:color w:val="2B2B2B"/>
          <w:sz w:val="20"/>
        </w:rPr>
        <w:t>HR-relevant project assignment, cost allocation, attendance/availability and workforce-readiness data.</w:t>
      </w:r>
    </w:p>
    <w:p>
      <w:pPr>
        <w:pStyle w:val="ListBullet"/>
        <w:spacing w:before="0" w:after="60" w:line="252" w:lineRule="auto"/>
        <w:ind w:left="317" w:hanging="173"/>
      </w:pPr>
      <w:r>
        <w:rPr>
          <w:rFonts w:ascii="Arial" w:hAnsi="Arial"/>
          <w:color w:val="2B2B2B"/>
          <w:sz w:val="20"/>
        </w:rPr>
        <w:t>Controlled interfaces to enterprise and external systems required to complete HR processes.</w:t>
      </w:r>
    </w:p>
    <w:p>
      <w:pPr>
        <w:pStyle w:val="Heading2"/>
        <w:keepNext/>
        <w:keepLines/>
        <w:spacing w:before="160" w:after="80" w:line="240" w:lineRule="auto"/>
      </w:pPr>
      <w:r>
        <w:rPr>
          <w:rFonts w:ascii="Arial" w:hAnsi="Arial"/>
          <w:b/>
          <w:color w:val="F5A01B"/>
          <w:sz w:val="28"/>
        </w:rPr>
        <w:t>Explicitly Outside the Core Product Boundary</w:t>
      </w:r>
    </w:p>
    <w:tbl>
      <w:tblPr>
        <w:tblW w:type="auto" w:w="0"/>
        <w:jc w:val="center"/>
        <w:tblLayout w:type="fixed"/>
        <w:tblLook w:firstColumn="1" w:firstRow="1" w:lastColumn="0" w:lastRow="0" w:noHBand="0" w:noVBand="1" w:val="04A0"/>
      </w:tblPr>
      <w:tblGrid>
        <w:gridCol w:w="3096"/>
        <w:gridCol w:w="6552"/>
      </w:tblGrid>
      <w:tr>
        <w:trPr>
          <w:cantSplit/>
        </w:trPr>
        <w:tc>
          <w:tcPr>
            <w:tcW w:type="dxa" w:w="5083"/>
            <w:shd w:fill="F5A01B"/>
            <w:vAlign w:val="center"/>
          </w:tcPr>
          <w:p>
            <w:pPr>
              <w:spacing w:before="40" w:after="40" w:line="240" w:lineRule="auto"/>
              <w:jc w:val="left"/>
            </w:pPr>
            <w:r>
              <w:rPr>
                <w:rFonts w:ascii="Arial" w:hAnsi="Arial"/>
                <w:b/>
                <w:color w:val="2B2B2B"/>
                <w:sz w:val="17"/>
              </w:rPr>
              <w:t>External Domain</w:t>
            </w:r>
          </w:p>
        </w:tc>
        <w:tc>
          <w:tcPr>
            <w:tcW w:type="dxa" w:w="5083"/>
            <w:shd w:fill="F5A01B"/>
            <w:vAlign w:val="center"/>
          </w:tcPr>
          <w:p>
            <w:pPr>
              <w:spacing w:before="40" w:after="40" w:line="240" w:lineRule="auto"/>
              <w:jc w:val="left"/>
            </w:pPr>
            <w:r>
              <w:rPr>
                <w:rFonts w:ascii="Arial" w:hAnsi="Arial"/>
                <w:b/>
                <w:color w:val="2B2B2B"/>
                <w:sz w:val="17"/>
              </w:rPr>
              <w:t>Boundary Rule</w:t>
            </w:r>
          </w:p>
        </w:tc>
      </w:tr>
      <w:tr>
        <w:trPr>
          <w:cantSplit/>
        </w:trPr>
        <w:tc>
          <w:tcPr>
            <w:tcW w:type="dxa" w:w="3096"/>
            <w:vAlign w:val="top"/>
            <w:tcBorders>
              <w:bottom w:sz="2" w:val="single" w:color="E3DED5"/>
            </w:tcBorders>
          </w:tcPr>
          <w:p>
            <w:pPr>
              <w:spacing w:before="40" w:after="40" w:line="240" w:lineRule="auto"/>
            </w:pPr>
            <w:r>
              <w:rPr>
                <w:rFonts w:ascii="Arial" w:hAnsi="Arial"/>
                <w:color w:val="2B2B2B"/>
                <w:sz w:val="17"/>
              </w:rPr>
              <w:t>General ledger / full accounting</w:t>
            </w:r>
          </w:p>
        </w:tc>
        <w:tc>
          <w:tcPr>
            <w:tcW w:type="dxa" w:w="6552"/>
            <w:vAlign w:val="top"/>
            <w:tcBorders>
              <w:bottom w:sz="2" w:val="single" w:color="E3DED5"/>
            </w:tcBorders>
          </w:tcPr>
          <w:p>
            <w:pPr>
              <w:spacing w:before="40" w:after="40" w:line="240" w:lineRule="auto"/>
            </w:pPr>
            <w:r>
              <w:rPr>
                <w:rFonts w:ascii="Arial" w:hAnsi="Arial"/>
                <w:color w:val="2B2B2B"/>
                <w:sz w:val="17"/>
              </w:rPr>
              <w:t>AFRO HR produces payroll, people-cost and approved financial interface outputs; Finance remains the accounting system of record.</w:t>
            </w:r>
          </w:p>
        </w:tc>
      </w:tr>
      <w:tr>
        <w:trPr>
          <w:cantSplit/>
        </w:trPr>
        <w:tc>
          <w:tcPr>
            <w:tcW w:type="dxa" w:w="3096"/>
            <w:shd w:fill="FAFAF8"/>
            <w:vAlign w:val="top"/>
            <w:tcBorders>
              <w:bottom w:sz="2" w:val="single" w:color="E3DED5"/>
            </w:tcBorders>
          </w:tcPr>
          <w:p>
            <w:pPr>
              <w:spacing w:before="40" w:after="40" w:line="240" w:lineRule="auto"/>
            </w:pPr>
            <w:r>
              <w:rPr>
                <w:rFonts w:ascii="Arial" w:hAnsi="Arial"/>
                <w:color w:val="2B2B2B"/>
                <w:sz w:val="17"/>
              </w:rPr>
              <w:t>Procurement and warehouse management</w:t>
            </w:r>
          </w:p>
        </w:tc>
        <w:tc>
          <w:tcPr>
            <w:tcW w:type="dxa" w:w="6552"/>
            <w:shd w:fill="FAFAF8"/>
            <w:vAlign w:val="top"/>
            <w:tcBorders>
              <w:bottom w:sz="2" w:val="single" w:color="E3DED5"/>
            </w:tcBorders>
          </w:tcPr>
          <w:p>
            <w:pPr>
              <w:spacing w:before="40" w:after="40" w:line="240" w:lineRule="auto"/>
            </w:pPr>
            <w:r>
              <w:rPr>
                <w:rFonts w:ascii="Arial" w:hAnsi="Arial"/>
                <w:color w:val="2B2B2B"/>
                <w:sz w:val="17"/>
              </w:rPr>
              <w:t>HR may request or track employee-issued assets/PPE, but full procurement, inventory valuation and warehouse operations remain external.</w:t>
            </w:r>
          </w:p>
        </w:tc>
      </w:tr>
      <w:tr>
        <w:trPr>
          <w:cantSplit/>
        </w:trPr>
        <w:tc>
          <w:tcPr>
            <w:tcW w:type="dxa" w:w="3096"/>
            <w:vAlign w:val="top"/>
            <w:tcBorders>
              <w:bottom w:sz="2" w:val="single" w:color="E3DED5"/>
            </w:tcBorders>
          </w:tcPr>
          <w:p>
            <w:pPr>
              <w:spacing w:before="40" w:after="40" w:line="240" w:lineRule="auto"/>
            </w:pPr>
            <w:r>
              <w:rPr>
                <w:rFonts w:ascii="Arial" w:hAnsi="Arial"/>
                <w:color w:val="2B2B2B"/>
                <w:sz w:val="17"/>
              </w:rPr>
              <w:t>Enterprise project management</w:t>
            </w:r>
          </w:p>
        </w:tc>
        <w:tc>
          <w:tcPr>
            <w:tcW w:type="dxa" w:w="6552"/>
            <w:vAlign w:val="top"/>
            <w:tcBorders>
              <w:bottom w:sz="2" w:val="single" w:color="E3DED5"/>
            </w:tcBorders>
          </w:tcPr>
          <w:p>
            <w:pPr>
              <w:spacing w:before="40" w:after="40" w:line="240" w:lineRule="auto"/>
            </w:pPr>
            <w:r>
              <w:rPr>
                <w:rFonts w:ascii="Arial" w:hAnsi="Arial"/>
                <w:color w:val="2B2B2B"/>
                <w:sz w:val="17"/>
              </w:rPr>
              <w:t>HR stores project identifiers and workforce assignments; project schedule, construction progress, BOQ and commercial delivery are not HR functions.</w:t>
            </w:r>
          </w:p>
        </w:tc>
      </w:tr>
      <w:tr>
        <w:trPr>
          <w:cantSplit/>
        </w:trPr>
        <w:tc>
          <w:tcPr>
            <w:tcW w:type="dxa" w:w="3096"/>
            <w:shd w:fill="FAFAF8"/>
            <w:vAlign w:val="top"/>
            <w:tcBorders>
              <w:bottom w:sz="2" w:val="single" w:color="E3DED5"/>
            </w:tcBorders>
          </w:tcPr>
          <w:p>
            <w:pPr>
              <w:spacing w:before="40" w:after="40" w:line="240" w:lineRule="auto"/>
            </w:pPr>
            <w:r>
              <w:rPr>
                <w:rFonts w:ascii="Arial" w:hAnsi="Arial"/>
                <w:color w:val="2B2B2B"/>
                <w:sz w:val="17"/>
              </w:rPr>
              <w:t>Full HSE management system</w:t>
            </w:r>
          </w:p>
        </w:tc>
        <w:tc>
          <w:tcPr>
            <w:tcW w:type="dxa" w:w="6552"/>
            <w:shd w:fill="FAFAF8"/>
            <w:vAlign w:val="top"/>
            <w:tcBorders>
              <w:bottom w:sz="2" w:val="single" w:color="E3DED5"/>
            </w:tcBorders>
          </w:tcPr>
          <w:p>
            <w:pPr>
              <w:spacing w:before="40" w:after="40" w:line="240" w:lineRule="auto"/>
            </w:pPr>
            <w:r>
              <w:rPr>
                <w:rFonts w:ascii="Arial" w:hAnsi="Arial"/>
                <w:color w:val="2B2B2B"/>
                <w:sz w:val="17"/>
              </w:rPr>
              <w:t>HR manages employee medical fitness, training/certification readiness and incident employee impact; enterprise hazard/permit/HSE operations remain external.</w:t>
            </w:r>
          </w:p>
        </w:tc>
      </w:tr>
      <w:tr>
        <w:trPr>
          <w:cantSplit/>
        </w:trPr>
        <w:tc>
          <w:tcPr>
            <w:tcW w:type="dxa" w:w="3096"/>
            <w:vAlign w:val="top"/>
            <w:tcBorders>
              <w:bottom w:sz="2" w:val="single" w:color="E3DED5"/>
            </w:tcBorders>
          </w:tcPr>
          <w:p>
            <w:pPr>
              <w:spacing w:before="40" w:after="40" w:line="240" w:lineRule="auto"/>
            </w:pPr>
            <w:r>
              <w:rPr>
                <w:rFonts w:ascii="Arial" w:hAnsi="Arial"/>
                <w:color w:val="2B2B2B"/>
                <w:sz w:val="17"/>
              </w:rPr>
              <w:t>Banking platform</w:t>
            </w:r>
          </w:p>
        </w:tc>
        <w:tc>
          <w:tcPr>
            <w:tcW w:type="dxa" w:w="6552"/>
            <w:vAlign w:val="top"/>
            <w:tcBorders>
              <w:bottom w:sz="2" w:val="single" w:color="E3DED5"/>
            </w:tcBorders>
          </w:tcPr>
          <w:p>
            <w:pPr>
              <w:spacing w:before="40" w:after="40" w:line="240" w:lineRule="auto"/>
            </w:pPr>
            <w:r>
              <w:rPr>
                <w:rFonts w:ascii="Arial" w:hAnsi="Arial"/>
                <w:color w:val="2B2B2B"/>
                <w:sz w:val="17"/>
              </w:rPr>
              <w:t>AFRO HR prepares approved payment data and reconciliation status; payment execution remains through Finance/banking channels.</w:t>
            </w:r>
          </w:p>
        </w:tc>
      </w:tr>
      <w:tr>
        <w:trPr>
          <w:cantSplit/>
        </w:trPr>
        <w:tc>
          <w:tcPr>
            <w:tcW w:type="dxa" w:w="3096"/>
            <w:shd w:fill="FAFAF8"/>
            <w:vAlign w:val="top"/>
            <w:tcBorders>
              <w:bottom w:sz="2" w:val="single" w:color="E3DED5"/>
            </w:tcBorders>
          </w:tcPr>
          <w:p>
            <w:pPr>
              <w:spacing w:before="40" w:after="40" w:line="240" w:lineRule="auto"/>
            </w:pPr>
            <w:r>
              <w:rPr>
                <w:rFonts w:ascii="Arial" w:hAnsi="Arial"/>
                <w:color w:val="2B2B2B"/>
                <w:sz w:val="17"/>
              </w:rPr>
              <w:t>Corporate identity platform</w:t>
            </w:r>
          </w:p>
        </w:tc>
        <w:tc>
          <w:tcPr>
            <w:tcW w:type="dxa" w:w="6552"/>
            <w:shd w:fill="FAFAF8"/>
            <w:vAlign w:val="top"/>
            <w:tcBorders>
              <w:bottom w:sz="2" w:val="single" w:color="E3DED5"/>
            </w:tcBorders>
          </w:tcPr>
          <w:p>
            <w:pPr>
              <w:spacing w:before="40" w:after="40" w:line="240" w:lineRule="auto"/>
            </w:pPr>
            <w:r>
              <w:rPr>
                <w:rFonts w:ascii="Arial" w:hAnsi="Arial"/>
                <w:color w:val="2B2B2B"/>
                <w:sz w:val="17"/>
              </w:rPr>
              <w:t>HR initiates joiner/mover/leaver access requirements; AD/SSO/email remains the identity infrastructure.</w:t>
            </w:r>
          </w:p>
        </w:tc>
      </w:tr>
      <w:tr>
        <w:trPr>
          <w:cantSplit/>
        </w:trPr>
        <w:tc>
          <w:tcPr>
            <w:tcW w:type="dxa" w:w="3096"/>
            <w:vAlign w:val="top"/>
            <w:tcBorders>
              <w:bottom w:sz="2" w:val="single" w:color="E3DED5"/>
            </w:tcBorders>
          </w:tcPr>
          <w:p>
            <w:pPr>
              <w:spacing w:before="40" w:after="40" w:line="240" w:lineRule="auto"/>
            </w:pPr>
            <w:r>
              <w:rPr>
                <w:rFonts w:ascii="Arial" w:hAnsi="Arial"/>
                <w:color w:val="2B2B2B"/>
                <w:sz w:val="17"/>
              </w:rPr>
              <w:t>CRM / Sales / Customer Operations</w:t>
            </w:r>
          </w:p>
        </w:tc>
        <w:tc>
          <w:tcPr>
            <w:tcW w:type="dxa" w:w="6552"/>
            <w:vAlign w:val="top"/>
            <w:tcBorders>
              <w:bottom w:sz="2" w:val="single" w:color="E3DED5"/>
            </w:tcBorders>
          </w:tcPr>
          <w:p>
            <w:pPr>
              <w:spacing w:before="40" w:after="40" w:line="240" w:lineRule="auto"/>
            </w:pPr>
            <w:r>
              <w:rPr>
                <w:rFonts w:ascii="Arial" w:hAnsi="Arial"/>
                <w:color w:val="2B2B2B"/>
                <w:sz w:val="17"/>
              </w:rPr>
              <w:t>Customer/project references may be synchronized for workforce assignment, but customer commercial processes remain outside HR.</w:t>
            </w:r>
          </w:p>
        </w:tc>
      </w:tr>
    </w:tbl>
    <w:tbl>
      <w:tblPr>
        <w:tblW w:type="auto" w:w="0"/>
        <w:jc w:val="center"/>
        <w:tblLayout w:type="fixed"/>
        <w:tblLook w:firstColumn="1" w:firstRow="1" w:lastColumn="0" w:lastRow="0" w:noHBand="0" w:noVBand="1" w:val="04A0"/>
      </w:tblPr>
      <w:tblGrid>
        <w:gridCol w:w="9792"/>
      </w:tblGrid>
      <w:tr>
        <w:trPr>
          <w:cantSplit/>
        </w:trPr>
        <w:tc>
          <w:tcPr>
            <w:tcW w:type="dxa" w:w="10166"/>
            <w:shd w:fill="FFF6E6"/>
            <w:tcBorders>
              <w:top w:sz="4" w:val="single" w:color="E6E0D8"/>
              <w:left w:sz="14" w:val="single" w:color="F5A01B"/>
              <w:bottom w:sz="4" w:val="single" w:color="E6E0D8"/>
              <w:right w:sz="4" w:val="single" w:color="E6E0D8"/>
            </w:tcBorders>
          </w:tcPr>
          <w:p>
            <w:pPr>
              <w:spacing w:before="60" w:after="60" w:line="252" w:lineRule="auto"/>
            </w:pPr>
            <w:r>
              <w:rPr>
                <w:rFonts w:ascii="Arial" w:hAnsi="Arial"/>
                <w:b/>
                <w:color w:val="2B2B2B"/>
                <w:sz w:val="20"/>
              </w:rPr>
              <w:t xml:space="preserve">Boundary principle.  </w:t>
            </w:r>
            <w:r>
              <w:rPr>
                <w:rFonts w:ascii="Arial" w:hAnsi="Arial"/>
                <w:color w:val="2B2B2B"/>
                <w:sz w:val="19"/>
              </w:rPr>
              <w:t>“Out of scope” does not mean “disconnected.” Where HR outcomes depend on another enterprise system, AFRO HR will define the required interface, ownership, trigger, reconciliation and exception process.</w:t>
            </w:r>
          </w:p>
        </w:tc>
      </w:tr>
    </w:tbl>
    <w:p>
      <w:r>
        <w:br w:type="page"/>
      </w:r>
    </w:p>
    <w:p>
      <w:pPr>
        <w:pStyle w:val="Heading1"/>
        <w:keepNext/>
        <w:keepLines/>
        <w:spacing w:before="0" w:after="100" w:line="240" w:lineRule="auto"/>
      </w:pPr>
      <w:r>
        <w:rPr>
          <w:rFonts w:ascii="Arial" w:hAnsi="Arial"/>
          <w:b/>
          <w:color w:val="2B2B2B"/>
          <w:sz w:val="44"/>
        </w:rPr>
        <w:t>9. Users, Roles &amp; Experience Channels</w:t>
      </w:r>
    </w:p>
    <w:tbl>
      <w:tblPr>
        <w:tblW w:type="auto" w:w="0"/>
        <w:jc w:val="left"/>
        <w:tblLayout w:type="fixed"/>
        <w:tblLook w:firstColumn="1" w:firstRow="1" w:lastColumn="0" w:lastRow="0" w:noHBand="0" w:noVBand="1" w:val="04A0"/>
      </w:tblPr>
      <w:tblGrid>
        <w:gridCol w:w="9648"/>
      </w:tblGrid>
      <w:tr>
        <w:trPr>
          <w:cantSplit/>
        </w:trPr>
        <w:tc>
          <w:tcPr>
            <w:tcW w:type="dxa" w:w="10166"/>
            <w:shd w:fill="F5A01B"/>
          </w:tcPr>
          <w:p>
            <w:r/>
          </w:p>
        </w:tc>
      </w:tr>
    </w:tbl>
    <w:p>
      <w:pPr>
        <w:pStyle w:val="Heading2"/>
        <w:keepNext/>
        <w:keepLines/>
        <w:spacing w:before="160" w:after="80" w:line="240" w:lineRule="auto"/>
      </w:pPr>
      <w:r>
        <w:rPr>
          <w:rFonts w:ascii="Arial" w:hAnsi="Arial"/>
          <w:b/>
          <w:color w:val="F5A01B"/>
          <w:sz w:val="28"/>
        </w:rPr>
        <w:t>Primary User Communities</w:t>
      </w:r>
    </w:p>
    <w:tbl>
      <w:tblPr>
        <w:tblW w:type="auto" w:w="0"/>
        <w:jc w:val="center"/>
        <w:tblLayout w:type="fixed"/>
        <w:tblLook w:firstColumn="1" w:firstRow="1" w:lastColumn="0" w:lastRow="0" w:noHBand="0" w:noVBand="1" w:val="04A0"/>
      </w:tblPr>
      <w:tblGrid>
        <w:gridCol w:w="3096"/>
        <w:gridCol w:w="6552"/>
      </w:tblGrid>
      <w:tr>
        <w:trPr>
          <w:cantSplit/>
        </w:trPr>
        <w:tc>
          <w:tcPr>
            <w:tcW w:type="dxa" w:w="5083"/>
            <w:shd w:fill="F5A01B"/>
            <w:vAlign w:val="center"/>
          </w:tcPr>
          <w:p>
            <w:pPr>
              <w:spacing w:before="40" w:after="40" w:line="240" w:lineRule="auto"/>
              <w:jc w:val="left"/>
            </w:pPr>
            <w:r>
              <w:rPr>
                <w:rFonts w:ascii="Arial" w:hAnsi="Arial"/>
                <w:b/>
                <w:color w:val="2B2B2B"/>
                <w:sz w:val="17"/>
              </w:rPr>
              <w:t>User Community</w:t>
            </w:r>
          </w:p>
        </w:tc>
        <w:tc>
          <w:tcPr>
            <w:tcW w:type="dxa" w:w="5083"/>
            <w:shd w:fill="F5A01B"/>
            <w:vAlign w:val="center"/>
          </w:tcPr>
          <w:p>
            <w:pPr>
              <w:spacing w:before="40" w:after="40" w:line="240" w:lineRule="auto"/>
              <w:jc w:val="left"/>
            </w:pPr>
            <w:r>
              <w:rPr>
                <w:rFonts w:ascii="Arial" w:hAnsi="Arial"/>
                <w:b/>
                <w:color w:val="2B2B2B"/>
                <w:sz w:val="17"/>
              </w:rPr>
              <w:t>Typical Responsibilities in AFRO HR</w:t>
            </w:r>
          </w:p>
        </w:tc>
      </w:tr>
      <w:tr>
        <w:trPr>
          <w:cantSplit/>
        </w:trPr>
        <w:tc>
          <w:tcPr>
            <w:tcW w:type="dxa" w:w="3096"/>
            <w:vAlign w:val="top"/>
            <w:tcBorders>
              <w:bottom w:sz="2" w:val="single" w:color="E3DED5"/>
            </w:tcBorders>
          </w:tcPr>
          <w:p>
            <w:pPr>
              <w:spacing w:before="40" w:after="40" w:line="240" w:lineRule="auto"/>
            </w:pPr>
            <w:r>
              <w:rPr>
                <w:rFonts w:ascii="Arial" w:hAnsi="Arial"/>
                <w:color w:val="2B2B2B"/>
                <w:sz w:val="17"/>
              </w:rPr>
              <w:t>Executive Management</w:t>
            </w:r>
          </w:p>
        </w:tc>
        <w:tc>
          <w:tcPr>
            <w:tcW w:type="dxa" w:w="6552"/>
            <w:vAlign w:val="top"/>
            <w:tcBorders>
              <w:bottom w:sz="2" w:val="single" w:color="E3DED5"/>
            </w:tcBorders>
          </w:tcPr>
          <w:p>
            <w:pPr>
              <w:spacing w:before="40" w:after="40" w:line="240" w:lineRule="auto"/>
            </w:pPr>
            <w:r>
              <w:rPr>
                <w:rFonts w:ascii="Arial" w:hAnsi="Arial"/>
                <w:color w:val="2B2B2B"/>
                <w:sz w:val="17"/>
              </w:rPr>
              <w:t>Headcount, people cost, risk, workforce capacity, strategic approvals and organization decisions.</w:t>
            </w:r>
          </w:p>
        </w:tc>
      </w:tr>
      <w:tr>
        <w:trPr>
          <w:cantSplit/>
        </w:trPr>
        <w:tc>
          <w:tcPr>
            <w:tcW w:type="dxa" w:w="3096"/>
            <w:shd w:fill="FAFAF8"/>
            <w:vAlign w:val="top"/>
            <w:tcBorders>
              <w:bottom w:sz="2" w:val="single" w:color="E3DED5"/>
            </w:tcBorders>
          </w:tcPr>
          <w:p>
            <w:pPr>
              <w:spacing w:before="40" w:after="40" w:line="240" w:lineRule="auto"/>
            </w:pPr>
            <w:r>
              <w:rPr>
                <w:rFonts w:ascii="Arial" w:hAnsi="Arial"/>
                <w:color w:val="2B2B2B"/>
                <w:sz w:val="17"/>
              </w:rPr>
              <w:t>People &amp; Culture Management</w:t>
            </w:r>
          </w:p>
        </w:tc>
        <w:tc>
          <w:tcPr>
            <w:tcW w:type="dxa" w:w="6552"/>
            <w:shd w:fill="FAFAF8"/>
            <w:vAlign w:val="top"/>
            <w:tcBorders>
              <w:bottom w:sz="2" w:val="single" w:color="E3DED5"/>
            </w:tcBorders>
          </w:tcPr>
          <w:p>
            <w:pPr>
              <w:spacing w:before="40" w:after="40" w:line="240" w:lineRule="auto"/>
            </w:pPr>
            <w:r>
              <w:rPr>
                <w:rFonts w:ascii="Arial" w:hAnsi="Arial"/>
                <w:color w:val="2B2B2B"/>
                <w:sz w:val="17"/>
              </w:rPr>
              <w:t>Policy ownership, process oversight, workforce controls, approvals, analytics and exceptions.</w:t>
            </w:r>
          </w:p>
        </w:tc>
      </w:tr>
      <w:tr>
        <w:trPr>
          <w:cantSplit/>
        </w:trPr>
        <w:tc>
          <w:tcPr>
            <w:tcW w:type="dxa" w:w="3096"/>
            <w:vAlign w:val="top"/>
            <w:tcBorders>
              <w:bottom w:sz="2" w:val="single" w:color="E3DED5"/>
            </w:tcBorders>
          </w:tcPr>
          <w:p>
            <w:pPr>
              <w:spacing w:before="40" w:after="40" w:line="240" w:lineRule="auto"/>
            </w:pPr>
            <w:r>
              <w:rPr>
                <w:rFonts w:ascii="Arial" w:hAnsi="Arial"/>
                <w:color w:val="2B2B2B"/>
                <w:sz w:val="17"/>
              </w:rPr>
              <w:t>Talent Acquisition</w:t>
            </w:r>
          </w:p>
        </w:tc>
        <w:tc>
          <w:tcPr>
            <w:tcW w:type="dxa" w:w="6552"/>
            <w:vAlign w:val="top"/>
            <w:tcBorders>
              <w:bottom w:sz="2" w:val="single" w:color="E3DED5"/>
            </w:tcBorders>
          </w:tcPr>
          <w:p>
            <w:pPr>
              <w:spacing w:before="40" w:after="40" w:line="240" w:lineRule="auto"/>
            </w:pPr>
            <w:r>
              <w:rPr>
                <w:rFonts w:ascii="Arial" w:hAnsi="Arial"/>
                <w:color w:val="2B2B2B"/>
                <w:sz w:val="17"/>
              </w:rPr>
              <w:t>Manpower requests, candidate pipeline, interviews, offers and hiring handover.</w:t>
            </w:r>
          </w:p>
        </w:tc>
      </w:tr>
      <w:tr>
        <w:trPr>
          <w:cantSplit/>
        </w:trPr>
        <w:tc>
          <w:tcPr>
            <w:tcW w:type="dxa" w:w="3096"/>
            <w:shd w:fill="FAFAF8"/>
            <w:vAlign w:val="top"/>
            <w:tcBorders>
              <w:bottom w:sz="2" w:val="single" w:color="E3DED5"/>
            </w:tcBorders>
          </w:tcPr>
          <w:p>
            <w:pPr>
              <w:spacing w:before="40" w:after="40" w:line="240" w:lineRule="auto"/>
            </w:pPr>
            <w:r>
              <w:rPr>
                <w:rFonts w:ascii="Arial" w:hAnsi="Arial"/>
                <w:color w:val="2B2B2B"/>
                <w:sz w:val="17"/>
              </w:rPr>
              <w:t>Personnel / Payroll / HR Operations / ER / OD</w:t>
            </w:r>
          </w:p>
        </w:tc>
        <w:tc>
          <w:tcPr>
            <w:tcW w:type="dxa" w:w="6552"/>
            <w:shd w:fill="FAFAF8"/>
            <w:vAlign w:val="top"/>
            <w:tcBorders>
              <w:bottom w:sz="2" w:val="single" w:color="E3DED5"/>
            </w:tcBorders>
          </w:tcPr>
          <w:p>
            <w:pPr>
              <w:spacing w:before="40" w:after="40" w:line="240" w:lineRule="auto"/>
            </w:pPr>
            <w:r>
              <w:rPr>
                <w:rFonts w:ascii="Arial" w:hAnsi="Arial"/>
                <w:color w:val="2B2B2B"/>
                <w:sz w:val="17"/>
              </w:rPr>
              <w:t>Specialist operational processing within controlled role and data boundaries.</w:t>
            </w:r>
          </w:p>
        </w:tc>
      </w:tr>
      <w:tr>
        <w:trPr>
          <w:cantSplit/>
        </w:trPr>
        <w:tc>
          <w:tcPr>
            <w:tcW w:type="dxa" w:w="3096"/>
            <w:vAlign w:val="top"/>
            <w:tcBorders>
              <w:bottom w:sz="2" w:val="single" w:color="E3DED5"/>
            </w:tcBorders>
          </w:tcPr>
          <w:p>
            <w:pPr>
              <w:spacing w:before="40" w:after="40" w:line="240" w:lineRule="auto"/>
            </w:pPr>
            <w:r>
              <w:rPr>
                <w:rFonts w:ascii="Arial" w:hAnsi="Arial"/>
                <w:color w:val="2B2B2B"/>
                <w:sz w:val="17"/>
              </w:rPr>
              <w:t>Department / Project / Direct Managers</w:t>
            </w:r>
          </w:p>
        </w:tc>
        <w:tc>
          <w:tcPr>
            <w:tcW w:type="dxa" w:w="6552"/>
            <w:vAlign w:val="top"/>
            <w:tcBorders>
              <w:bottom w:sz="2" w:val="single" w:color="E3DED5"/>
            </w:tcBorders>
          </w:tcPr>
          <w:p>
            <w:pPr>
              <w:spacing w:before="40" w:after="40" w:line="240" w:lineRule="auto"/>
            </w:pPr>
            <w:r>
              <w:rPr>
                <w:rFonts w:ascii="Arial" w:hAnsi="Arial"/>
                <w:color w:val="2B2B2B"/>
                <w:sz w:val="17"/>
              </w:rPr>
              <w:t>Team requests, approvals, attendance/leave review, deployment, performance, workforce planning and handover.</w:t>
            </w:r>
          </w:p>
        </w:tc>
      </w:tr>
      <w:tr>
        <w:trPr>
          <w:cantSplit/>
        </w:trPr>
        <w:tc>
          <w:tcPr>
            <w:tcW w:type="dxa" w:w="3096"/>
            <w:shd w:fill="FAFAF8"/>
            <w:vAlign w:val="top"/>
            <w:tcBorders>
              <w:bottom w:sz="2" w:val="single" w:color="E3DED5"/>
            </w:tcBorders>
          </w:tcPr>
          <w:p>
            <w:pPr>
              <w:spacing w:before="40" w:after="40" w:line="240" w:lineRule="auto"/>
            </w:pPr>
            <w:r>
              <w:rPr>
                <w:rFonts w:ascii="Arial" w:hAnsi="Arial"/>
                <w:color w:val="2B2B2B"/>
                <w:sz w:val="17"/>
              </w:rPr>
              <w:t>Employees</w:t>
            </w:r>
          </w:p>
        </w:tc>
        <w:tc>
          <w:tcPr>
            <w:tcW w:type="dxa" w:w="6552"/>
            <w:shd w:fill="FAFAF8"/>
            <w:vAlign w:val="top"/>
            <w:tcBorders>
              <w:bottom w:sz="2" w:val="single" w:color="E3DED5"/>
            </w:tcBorders>
          </w:tcPr>
          <w:p>
            <w:pPr>
              <w:spacing w:before="40" w:after="40" w:line="240" w:lineRule="auto"/>
            </w:pPr>
            <w:r>
              <w:rPr>
                <w:rFonts w:ascii="Arial" w:hAnsi="Arial"/>
                <w:color w:val="2B2B2B"/>
                <w:sz w:val="17"/>
              </w:rPr>
              <w:t>Profile, requests, leave, documents, payslips, letters, notifications, learning and case/service interactions.</w:t>
            </w:r>
          </w:p>
        </w:tc>
      </w:tr>
      <w:tr>
        <w:trPr>
          <w:cantSplit/>
        </w:trPr>
        <w:tc>
          <w:tcPr>
            <w:tcW w:type="dxa" w:w="3096"/>
            <w:vAlign w:val="top"/>
            <w:tcBorders>
              <w:bottom w:sz="2" w:val="single" w:color="E3DED5"/>
            </w:tcBorders>
          </w:tcPr>
          <w:p>
            <w:pPr>
              <w:spacing w:before="40" w:after="40" w:line="240" w:lineRule="auto"/>
            </w:pPr>
            <w:r>
              <w:rPr>
                <w:rFonts w:ascii="Arial" w:hAnsi="Arial"/>
                <w:color w:val="2B2B2B"/>
                <w:sz w:val="17"/>
              </w:rPr>
              <w:t>Field Technicians / Supervisors</w:t>
            </w:r>
          </w:p>
        </w:tc>
        <w:tc>
          <w:tcPr>
            <w:tcW w:type="dxa" w:w="6552"/>
            <w:vAlign w:val="top"/>
            <w:tcBorders>
              <w:bottom w:sz="2" w:val="single" w:color="E3DED5"/>
            </w:tcBorders>
          </w:tcPr>
          <w:p>
            <w:pPr>
              <w:spacing w:before="40" w:after="40" w:line="240" w:lineRule="auto"/>
            </w:pPr>
            <w:r>
              <w:rPr>
                <w:rFonts w:ascii="Arial" w:hAnsi="Arial"/>
                <w:color w:val="2B2B2B"/>
                <w:sz w:val="17"/>
              </w:rPr>
              <w:t>Mobile attendance, roster, project/site assignment, evidence capture, approvals and field readiness.</w:t>
            </w:r>
          </w:p>
        </w:tc>
      </w:tr>
      <w:tr>
        <w:trPr>
          <w:cantSplit/>
        </w:trPr>
        <w:tc>
          <w:tcPr>
            <w:tcW w:type="dxa" w:w="3096"/>
            <w:shd w:fill="FAFAF8"/>
            <w:vAlign w:val="top"/>
            <w:tcBorders>
              <w:bottom w:sz="2" w:val="single" w:color="E3DED5"/>
            </w:tcBorders>
          </w:tcPr>
          <w:p>
            <w:pPr>
              <w:spacing w:before="40" w:after="40" w:line="240" w:lineRule="auto"/>
            </w:pPr>
            <w:r>
              <w:rPr>
                <w:rFonts w:ascii="Arial" w:hAnsi="Arial"/>
                <w:color w:val="2B2B2B"/>
                <w:sz w:val="17"/>
              </w:rPr>
              <w:t>IT / HSE / Finance / Administration</w:t>
            </w:r>
          </w:p>
        </w:tc>
        <w:tc>
          <w:tcPr>
            <w:tcW w:type="dxa" w:w="6552"/>
            <w:shd w:fill="FAFAF8"/>
            <w:vAlign w:val="top"/>
            <w:tcBorders>
              <w:bottom w:sz="2" w:val="single" w:color="E3DED5"/>
            </w:tcBorders>
          </w:tcPr>
          <w:p>
            <w:pPr>
              <w:spacing w:before="40" w:after="40" w:line="240" w:lineRule="auto"/>
            </w:pPr>
            <w:r>
              <w:rPr>
                <w:rFonts w:ascii="Arial" w:hAnsi="Arial"/>
                <w:color w:val="2B2B2B"/>
                <w:sz w:val="17"/>
              </w:rPr>
              <w:t>Cross-functional tasks triggered by HR workflows, limited to required data and actions.</w:t>
            </w:r>
          </w:p>
        </w:tc>
      </w:tr>
      <w:tr>
        <w:trPr>
          <w:cantSplit/>
        </w:trPr>
        <w:tc>
          <w:tcPr>
            <w:tcW w:type="dxa" w:w="3096"/>
            <w:vAlign w:val="top"/>
            <w:tcBorders>
              <w:bottom w:sz="2" w:val="single" w:color="E3DED5"/>
            </w:tcBorders>
          </w:tcPr>
          <w:p>
            <w:pPr>
              <w:spacing w:before="40" w:after="40" w:line="240" w:lineRule="auto"/>
            </w:pPr>
            <w:r>
              <w:rPr>
                <w:rFonts w:ascii="Arial" w:hAnsi="Arial"/>
                <w:color w:val="2B2B2B"/>
                <w:sz w:val="17"/>
              </w:rPr>
              <w:t>Candidates / External Parties</w:t>
            </w:r>
          </w:p>
        </w:tc>
        <w:tc>
          <w:tcPr>
            <w:tcW w:type="dxa" w:w="6552"/>
            <w:vAlign w:val="top"/>
            <w:tcBorders>
              <w:bottom w:sz="2" w:val="single" w:color="E3DED5"/>
            </w:tcBorders>
          </w:tcPr>
          <w:p>
            <w:pPr>
              <w:spacing w:before="40" w:after="40" w:line="240" w:lineRule="auto"/>
            </w:pPr>
            <w:r>
              <w:rPr>
                <w:rFonts w:ascii="Arial" w:hAnsi="Arial"/>
                <w:color w:val="2B2B2B"/>
                <w:sz w:val="17"/>
              </w:rPr>
              <w:t>Candidate portal and controlled data exchange where applicable.</w:t>
            </w:r>
          </w:p>
        </w:tc>
      </w:tr>
    </w:tbl>
    <w:p>
      <w:pPr>
        <w:pStyle w:val="Heading2"/>
        <w:keepNext/>
        <w:keepLines/>
        <w:spacing w:before="160" w:after="80" w:line="240" w:lineRule="auto"/>
      </w:pPr>
      <w:r>
        <w:rPr>
          <w:rFonts w:ascii="Arial" w:hAnsi="Arial"/>
          <w:b/>
          <w:color w:val="F5A01B"/>
          <w:sz w:val="28"/>
        </w:rPr>
        <w:t>Experience Channels</w:t>
      </w:r>
    </w:p>
    <w:tbl>
      <w:tblPr>
        <w:tblW w:type="auto" w:w="0"/>
        <w:jc w:val="center"/>
        <w:tblLayout w:type="fixed"/>
        <w:tblLook w:firstColumn="1" w:firstRow="1" w:lastColumn="0" w:lastRow="0" w:noHBand="0" w:noVBand="1" w:val="04A0"/>
      </w:tblPr>
      <w:tblGrid>
        <w:gridCol w:w="3389"/>
        <w:gridCol w:w="3389"/>
        <w:gridCol w:w="3389"/>
      </w:tblGrid>
      <w:tr>
        <w:trPr>
          <w:cantSplit/>
        </w:trPr>
        <w:tc>
          <w:tcPr>
            <w:tcW w:type="dxa" w:w="3389"/>
            <w:shd w:fill="FFF7E8"/>
            <w:tcBorders>
              <w:top w:sz="4" w:val="single" w:color="E6E0D8"/>
              <w:left w:sz="4" w:val="single" w:color="E6E0D8"/>
              <w:bottom w:sz="4" w:val="single" w:color="E6E0D8"/>
              <w:right w:sz="4" w:val="single" w:color="E6E0D8"/>
            </w:tcBorders>
            <w:vAlign w:val="center"/>
          </w:tcPr>
          <w:p>
            <w:pPr>
              <w:spacing w:before="100" w:after="40" w:line="240" w:lineRule="auto"/>
              <w:jc w:val="center"/>
            </w:pPr>
            <w:r>
              <w:rPr>
                <w:rFonts w:ascii="Arial" w:hAnsi="Arial"/>
                <w:b/>
                <w:color w:val="F5A01B"/>
                <w:sz w:val="20"/>
              </w:rPr>
              <w:t>Web HR Workspace</w:t>
            </w:r>
          </w:p>
          <w:p>
            <w:pPr>
              <w:spacing w:before="0" w:after="100" w:line="240" w:lineRule="auto"/>
              <w:jc w:val="center"/>
            </w:pPr>
            <w:r>
              <w:rPr>
                <w:rFonts w:ascii="Arial" w:hAnsi="Arial"/>
                <w:color w:val="2B2B2B"/>
                <w:sz w:val="17"/>
              </w:rPr>
              <w:t>Full specialist and administrative processing.</w:t>
            </w:r>
          </w:p>
        </w:tc>
        <w:tc>
          <w:tcPr>
            <w:tcW w:type="dxa" w:w="3389"/>
            <w:shd w:fill="F6F4F0"/>
            <w:tcBorders>
              <w:top w:sz="4" w:val="single" w:color="E6E0D8"/>
              <w:left w:sz="4" w:val="single" w:color="E6E0D8"/>
              <w:bottom w:sz="4" w:val="single" w:color="E6E0D8"/>
              <w:right w:sz="4" w:val="single" w:color="E6E0D8"/>
            </w:tcBorders>
            <w:vAlign w:val="center"/>
          </w:tcPr>
          <w:p>
            <w:pPr>
              <w:spacing w:before="100" w:after="40" w:line="240" w:lineRule="auto"/>
              <w:jc w:val="center"/>
            </w:pPr>
            <w:r>
              <w:rPr>
                <w:rFonts w:ascii="Arial" w:hAnsi="Arial"/>
                <w:b/>
                <w:color w:val="F5A01B"/>
                <w:sz w:val="20"/>
              </w:rPr>
              <w:t>Manager Self-Service</w:t>
            </w:r>
          </w:p>
          <w:p>
            <w:pPr>
              <w:spacing w:before="0" w:after="100" w:line="240" w:lineRule="auto"/>
              <w:jc w:val="center"/>
            </w:pPr>
            <w:r>
              <w:rPr>
                <w:rFonts w:ascii="Arial" w:hAnsi="Arial"/>
                <w:color w:val="2B2B2B"/>
                <w:sz w:val="17"/>
              </w:rPr>
              <w:t>Approvals, team visibility and workforce actions.</w:t>
            </w:r>
          </w:p>
        </w:tc>
        <w:tc>
          <w:tcPr>
            <w:tcW w:type="dxa" w:w="3389"/>
            <w:shd w:fill="FFF7E8"/>
            <w:tcBorders>
              <w:top w:sz="4" w:val="single" w:color="E6E0D8"/>
              <w:left w:sz="4" w:val="single" w:color="E6E0D8"/>
              <w:bottom w:sz="4" w:val="single" w:color="E6E0D8"/>
              <w:right w:sz="4" w:val="single" w:color="E6E0D8"/>
            </w:tcBorders>
            <w:vAlign w:val="center"/>
          </w:tcPr>
          <w:p>
            <w:pPr>
              <w:spacing w:before="100" w:after="40" w:line="240" w:lineRule="auto"/>
              <w:jc w:val="center"/>
            </w:pPr>
            <w:r>
              <w:rPr>
                <w:rFonts w:ascii="Arial" w:hAnsi="Arial"/>
                <w:b/>
                <w:color w:val="F5A01B"/>
                <w:sz w:val="20"/>
              </w:rPr>
              <w:t>Employee Self-Service</w:t>
            </w:r>
          </w:p>
          <w:p>
            <w:pPr>
              <w:spacing w:before="0" w:after="100" w:line="240" w:lineRule="auto"/>
              <w:jc w:val="center"/>
            </w:pPr>
            <w:r>
              <w:rPr>
                <w:rFonts w:ascii="Arial" w:hAnsi="Arial"/>
                <w:color w:val="2B2B2B"/>
                <w:sz w:val="17"/>
              </w:rPr>
              <w:t>Personal services, requests, documents and notifications.</w:t>
            </w:r>
          </w:p>
        </w:tc>
      </w:tr>
    </w:tbl>
    <w:tbl>
      <w:tblPr>
        <w:tblW w:type="auto" w:w="0"/>
        <w:jc w:val="center"/>
        <w:tblLayout w:type="fixed"/>
        <w:tblLook w:firstColumn="1" w:firstRow="1" w:lastColumn="0" w:lastRow="0" w:noHBand="0" w:noVBand="1" w:val="04A0"/>
      </w:tblPr>
      <w:tblGrid>
        <w:gridCol w:w="3389"/>
        <w:gridCol w:w="3389"/>
        <w:gridCol w:w="3389"/>
      </w:tblGrid>
      <w:tr>
        <w:trPr>
          <w:cantSplit/>
        </w:trPr>
        <w:tc>
          <w:tcPr>
            <w:tcW w:type="dxa" w:w="3389"/>
            <w:shd w:fill="FFF7E8"/>
            <w:tcBorders>
              <w:top w:sz="4" w:val="single" w:color="E6E0D8"/>
              <w:left w:sz="4" w:val="single" w:color="E6E0D8"/>
              <w:bottom w:sz="4" w:val="single" w:color="E6E0D8"/>
              <w:right w:sz="4" w:val="single" w:color="E6E0D8"/>
            </w:tcBorders>
            <w:vAlign w:val="center"/>
          </w:tcPr>
          <w:p>
            <w:pPr>
              <w:spacing w:before="100" w:after="40" w:line="240" w:lineRule="auto"/>
              <w:jc w:val="center"/>
            </w:pPr>
            <w:r>
              <w:rPr>
                <w:rFonts w:ascii="Arial" w:hAnsi="Arial"/>
                <w:b/>
                <w:color w:val="F5A01B"/>
                <w:sz w:val="20"/>
              </w:rPr>
              <w:t>Android Field App</w:t>
            </w:r>
          </w:p>
          <w:p>
            <w:pPr>
              <w:spacing w:before="0" w:after="100" w:line="240" w:lineRule="auto"/>
              <w:jc w:val="center"/>
            </w:pPr>
            <w:r>
              <w:rPr>
                <w:rFonts w:ascii="Arial" w:hAnsi="Arial"/>
                <w:color w:val="2B2B2B"/>
                <w:sz w:val="17"/>
              </w:rPr>
              <w:t>Attendance, field tasks, evidence and operational actions.</w:t>
            </w:r>
          </w:p>
        </w:tc>
        <w:tc>
          <w:tcPr>
            <w:tcW w:type="dxa" w:w="3389"/>
            <w:shd w:fill="F6F4F0"/>
            <w:tcBorders>
              <w:top w:sz="4" w:val="single" w:color="E6E0D8"/>
              <w:left w:sz="4" w:val="single" w:color="E6E0D8"/>
              <w:bottom w:sz="4" w:val="single" w:color="E6E0D8"/>
              <w:right w:sz="4" w:val="single" w:color="E6E0D8"/>
            </w:tcBorders>
            <w:vAlign w:val="center"/>
          </w:tcPr>
          <w:p>
            <w:pPr>
              <w:spacing w:before="100" w:after="40" w:line="240" w:lineRule="auto"/>
              <w:jc w:val="center"/>
            </w:pPr>
            <w:r>
              <w:rPr>
                <w:rFonts w:ascii="Arial" w:hAnsi="Arial"/>
                <w:b/>
                <w:color w:val="F5A01B"/>
                <w:sz w:val="20"/>
              </w:rPr>
              <w:t>Candidate Experience</w:t>
            </w:r>
          </w:p>
          <w:p>
            <w:pPr>
              <w:spacing w:before="0" w:after="100" w:line="240" w:lineRule="auto"/>
              <w:jc w:val="center"/>
            </w:pPr>
            <w:r>
              <w:rPr>
                <w:rFonts w:ascii="Arial" w:hAnsi="Arial"/>
                <w:color w:val="2B2B2B"/>
                <w:sz w:val="17"/>
              </w:rPr>
              <w:t>Applications, interviews, offers and pre-joining tasks.</w:t>
            </w:r>
          </w:p>
        </w:tc>
        <w:tc>
          <w:tcPr>
            <w:tcW w:type="dxa" w:w="3389"/>
            <w:shd w:fill="FFF7E8"/>
            <w:tcBorders>
              <w:top w:sz="4" w:val="single" w:color="E6E0D8"/>
              <w:left w:sz="4" w:val="single" w:color="E6E0D8"/>
              <w:bottom w:sz="4" w:val="single" w:color="E6E0D8"/>
              <w:right w:sz="4" w:val="single" w:color="E6E0D8"/>
            </w:tcBorders>
            <w:vAlign w:val="center"/>
          </w:tcPr>
          <w:p>
            <w:pPr>
              <w:spacing w:before="100" w:after="40" w:line="240" w:lineRule="auto"/>
              <w:jc w:val="center"/>
            </w:pPr>
            <w:r>
              <w:rPr>
                <w:rFonts w:ascii="Arial" w:hAnsi="Arial"/>
                <w:b/>
                <w:color w:val="F5A01B"/>
                <w:sz w:val="20"/>
              </w:rPr>
              <w:t>AI Copilot</w:t>
            </w:r>
          </w:p>
          <w:p>
            <w:pPr>
              <w:spacing w:before="0" w:after="100" w:line="240" w:lineRule="auto"/>
              <w:jc w:val="center"/>
            </w:pPr>
            <w:r>
              <w:rPr>
                <w:rFonts w:ascii="Arial" w:hAnsi="Arial"/>
                <w:color w:val="2B2B2B"/>
                <w:sz w:val="17"/>
              </w:rPr>
              <w:t>Permission-aware search, explanation, drafting and controlled actions.</w:t>
            </w:r>
          </w:p>
        </w:tc>
      </w:tr>
    </w:tbl>
    <w:tbl>
      <w:tblPr>
        <w:tblW w:type="auto" w:w="0"/>
        <w:jc w:val="center"/>
        <w:tblLayout w:type="fixed"/>
        <w:tblLook w:firstColumn="1" w:firstRow="1" w:lastColumn="0" w:lastRow="0" w:noHBand="0" w:noVBand="1" w:val="04A0"/>
      </w:tblPr>
      <w:tblGrid>
        <w:gridCol w:w="9792"/>
      </w:tblGrid>
      <w:tr>
        <w:trPr>
          <w:cantSplit/>
        </w:trPr>
        <w:tc>
          <w:tcPr>
            <w:tcW w:type="dxa" w:w="10166"/>
            <w:shd w:fill="FFF6E6"/>
            <w:tcBorders>
              <w:top w:sz="4" w:val="single" w:color="E6E0D8"/>
              <w:left w:sz="14" w:val="single" w:color="F5A01B"/>
              <w:bottom w:sz="4" w:val="single" w:color="E6E0D8"/>
              <w:right w:sz="4" w:val="single" w:color="E6E0D8"/>
            </w:tcBorders>
          </w:tcPr>
          <w:p>
            <w:pPr>
              <w:spacing w:before="60" w:after="60" w:line="252" w:lineRule="auto"/>
            </w:pPr>
            <w:r>
              <w:rPr>
                <w:rFonts w:ascii="Arial" w:hAnsi="Arial"/>
                <w:b/>
                <w:color w:val="2B2B2B"/>
                <w:sz w:val="20"/>
              </w:rPr>
              <w:t xml:space="preserve">Access principle.  </w:t>
            </w:r>
            <w:r>
              <w:rPr>
                <w:rFonts w:ascii="Arial" w:hAnsi="Arial"/>
                <w:color w:val="2B2B2B"/>
                <w:sz w:val="19"/>
              </w:rPr>
              <w:t>Role alone is not enough. Final access decisions should consider tenant/company, business unit, project, reporting line, employee population, data sensitivity and transaction context.</w:t>
            </w:r>
          </w:p>
        </w:tc>
      </w:tr>
    </w:tbl>
    <w:p>
      <w:r>
        <w:br w:type="page"/>
      </w:r>
    </w:p>
    <w:p>
      <w:pPr>
        <w:pStyle w:val="Heading1"/>
        <w:keepNext/>
        <w:keepLines/>
        <w:spacing w:before="0" w:after="100" w:line="240" w:lineRule="auto"/>
      </w:pPr>
      <w:r>
        <w:rPr>
          <w:rFonts w:ascii="Arial" w:hAnsi="Arial"/>
          <w:b/>
          <w:color w:val="2B2B2B"/>
          <w:sz w:val="44"/>
        </w:rPr>
        <w:t>10. End-to-End Employee Lifecycle</w:t>
      </w:r>
    </w:p>
    <w:tbl>
      <w:tblPr>
        <w:tblW w:type="auto" w:w="0"/>
        <w:jc w:val="left"/>
        <w:tblLayout w:type="fixed"/>
        <w:tblLook w:firstColumn="1" w:firstRow="1" w:lastColumn="0" w:lastRow="0" w:noHBand="0" w:noVBand="1" w:val="04A0"/>
      </w:tblPr>
      <w:tblGrid>
        <w:gridCol w:w="9648"/>
      </w:tblGrid>
      <w:tr>
        <w:trPr>
          <w:cantSplit/>
        </w:trPr>
        <w:tc>
          <w:tcPr>
            <w:tcW w:type="dxa" w:w="10166"/>
            <w:shd w:fill="F5A01B"/>
          </w:tcPr>
          <w:p>
            <w:r/>
          </w:p>
        </w:tc>
      </w:tr>
    </w:tbl>
    <w:p>
      <w:pPr>
        <w:spacing w:after="120"/>
        <w:jc w:val="center"/>
      </w:pPr>
      <w:r>
        <w:drawing>
          <wp:inline xmlns:a="http://schemas.openxmlformats.org/drawingml/2006/main" xmlns:pic="http://schemas.openxmlformats.org/drawingml/2006/picture">
            <wp:extent cx="6355080" cy="2841095"/>
            <wp:docPr id="3" name="Picture 3"/>
            <wp:cNvGraphicFramePr>
              <a:graphicFrameLocks noChangeAspect="1"/>
            </wp:cNvGraphicFramePr>
            <a:graphic>
              <a:graphicData uri="http://schemas.openxmlformats.org/drawingml/2006/picture">
                <pic:pic>
                  <pic:nvPicPr>
                    <pic:cNvPr id="0" name="lifecycle.png"/>
                    <pic:cNvPicPr/>
                  </pic:nvPicPr>
                  <pic:blipFill>
                    <a:blip r:embed="rId14"/>
                    <a:stretch>
                      <a:fillRect/>
                    </a:stretch>
                  </pic:blipFill>
                  <pic:spPr>
                    <a:xfrm>
                      <a:off x="0" y="0"/>
                      <a:ext cx="6355080" cy="2841095"/>
                    </a:xfrm>
                    <a:prstGeom prst="rect"/>
                  </pic:spPr>
                </pic:pic>
              </a:graphicData>
            </a:graphic>
          </wp:inline>
        </w:drawing>
      </w:r>
    </w:p>
    <w:p>
      <w:pPr>
        <w:pStyle w:val="Heading2"/>
        <w:keepNext/>
        <w:keepLines/>
        <w:spacing w:before="160" w:after="80" w:line="240" w:lineRule="auto"/>
      </w:pPr>
      <w:r>
        <w:rPr>
          <w:rFonts w:ascii="Arial" w:hAnsi="Arial"/>
          <w:b/>
          <w:color w:val="F5A01B"/>
          <w:sz w:val="28"/>
        </w:rPr>
        <w:t>Lifecycle Control Points</w:t>
      </w:r>
    </w:p>
    <w:p>
      <w:pPr>
        <w:pStyle w:val="ListBullet"/>
        <w:spacing w:before="0" w:after="60" w:line="252" w:lineRule="auto"/>
        <w:ind w:left="317" w:hanging="173"/>
      </w:pPr>
      <w:r>
        <w:rPr>
          <w:rFonts w:ascii="Arial" w:hAnsi="Arial"/>
          <w:color w:val="2B2B2B"/>
          <w:sz w:val="20"/>
        </w:rPr>
        <w:t>A manpower demand should reference an approved organization/project requirement before recruitment starts.</w:t>
      </w:r>
    </w:p>
    <w:p>
      <w:pPr>
        <w:pStyle w:val="ListBullet"/>
        <w:spacing w:before="0" w:after="60" w:line="252" w:lineRule="auto"/>
        <w:ind w:left="317" w:hanging="173"/>
      </w:pPr>
      <w:r>
        <w:rPr>
          <w:rFonts w:ascii="Arial" w:hAnsi="Arial"/>
          <w:color w:val="2B2B2B"/>
          <w:sz w:val="20"/>
        </w:rPr>
        <w:t>A candidate becomes an employee only after approved offer, required documentation and employment setup conditions are met.</w:t>
      </w:r>
    </w:p>
    <w:p>
      <w:pPr>
        <w:pStyle w:val="ListBullet"/>
        <w:spacing w:before="0" w:after="60" w:line="252" w:lineRule="auto"/>
        <w:ind w:left="317" w:hanging="173"/>
      </w:pPr>
      <w:r>
        <w:rPr>
          <w:rFonts w:ascii="Arial" w:hAnsi="Arial"/>
          <w:color w:val="2B2B2B"/>
          <w:sz w:val="20"/>
        </w:rPr>
        <w:t>Deployment to safety-sensitive work must be gated by applicable medical, HSE, certification and customer readiness requirements.</w:t>
      </w:r>
    </w:p>
    <w:p>
      <w:pPr>
        <w:pStyle w:val="ListBullet"/>
        <w:spacing w:before="0" w:after="60" w:line="252" w:lineRule="auto"/>
        <w:ind w:left="317" w:hanging="173"/>
      </w:pPr>
      <w:r>
        <w:rPr>
          <w:rFonts w:ascii="Arial" w:hAnsi="Arial"/>
          <w:color w:val="2B2B2B"/>
          <w:sz w:val="20"/>
        </w:rPr>
        <w:t>Attendance, leave, overtime, allowances and KPI outcomes should become normalized payroll inputs only after the appropriate approvals and validations.</w:t>
      </w:r>
    </w:p>
    <w:p>
      <w:pPr>
        <w:pStyle w:val="ListBullet"/>
        <w:spacing w:before="0" w:after="60" w:line="252" w:lineRule="auto"/>
        <w:ind w:left="317" w:hanging="173"/>
      </w:pPr>
      <w:r>
        <w:rPr>
          <w:rFonts w:ascii="Arial" w:hAnsi="Arial"/>
          <w:color w:val="2B2B2B"/>
          <w:sz w:val="20"/>
        </w:rPr>
        <w:t>Performance and competency outcomes should feed development, career and succession decisions without silently changing payroll or employment status.</w:t>
      </w:r>
    </w:p>
    <w:p>
      <w:pPr>
        <w:pStyle w:val="ListBullet"/>
        <w:spacing w:before="0" w:after="60" w:line="252" w:lineRule="auto"/>
        <w:ind w:left="317" w:hanging="173"/>
      </w:pPr>
      <w:r>
        <w:rPr>
          <w:rFonts w:ascii="Arial" w:hAnsi="Arial"/>
          <w:color w:val="2B2B2B"/>
          <w:sz w:val="20"/>
        </w:rPr>
        <w:t>Separation should deactivate access, recover assets, close liabilities, calculate final settlement and archive the employee record through one controlled case.</w:t>
      </w:r>
    </w:p>
    <w:tbl>
      <w:tblPr>
        <w:tblW w:type="auto" w:w="0"/>
        <w:jc w:val="center"/>
        <w:tblLayout w:type="fixed"/>
        <w:tblLook w:firstColumn="1" w:firstRow="1" w:lastColumn="0" w:lastRow="0" w:noHBand="0" w:noVBand="1" w:val="04A0"/>
      </w:tblPr>
      <w:tblGrid>
        <w:gridCol w:w="9792"/>
      </w:tblGrid>
      <w:tr>
        <w:trPr>
          <w:cantSplit/>
        </w:trPr>
        <w:tc>
          <w:tcPr>
            <w:tcW w:type="dxa" w:w="10166"/>
            <w:shd w:fill="FFF6E6"/>
            <w:tcBorders>
              <w:top w:sz="4" w:val="single" w:color="E6E0D8"/>
              <w:left w:sz="14" w:val="single" w:color="F5A01B"/>
              <w:bottom w:sz="4" w:val="single" w:color="E6E0D8"/>
              <w:right w:sz="4" w:val="single" w:color="E6E0D8"/>
            </w:tcBorders>
          </w:tcPr>
          <w:p>
            <w:pPr>
              <w:spacing w:before="60" w:after="60" w:line="252" w:lineRule="auto"/>
            </w:pPr>
            <w:r>
              <w:rPr>
                <w:rFonts w:ascii="Arial" w:hAnsi="Arial"/>
                <w:b/>
                <w:color w:val="2B2B2B"/>
                <w:sz w:val="20"/>
              </w:rPr>
              <w:t xml:space="preserve">Lifecycle design rule.  </w:t>
            </w:r>
            <w:r>
              <w:rPr>
                <w:rFonts w:ascii="Arial" w:hAnsi="Arial"/>
                <w:color w:val="2B2B2B"/>
                <w:sz w:val="19"/>
              </w:rPr>
              <w:t>Every major lifecycle event should create a dated, auditable state transition rather than overwrite history. This is critical for payroll, legal compliance, reporting and employee-movement analysis.</w:t>
            </w:r>
          </w:p>
        </w:tc>
      </w:tr>
    </w:tbl>
    <w:p>
      <w:r>
        <w:br w:type="page"/>
      </w:r>
    </w:p>
    <w:p>
      <w:pPr>
        <w:pStyle w:val="Heading1"/>
        <w:keepNext/>
        <w:keepLines/>
        <w:spacing w:before="0" w:after="100" w:line="240" w:lineRule="auto"/>
      </w:pPr>
      <w:r>
        <w:rPr>
          <w:rFonts w:ascii="Arial" w:hAnsi="Arial"/>
          <w:b/>
          <w:color w:val="2B2B2B"/>
          <w:sz w:val="44"/>
        </w:rPr>
        <w:t>11. Shared Platform, Automation &amp; AI</w:t>
      </w:r>
    </w:p>
    <w:tbl>
      <w:tblPr>
        <w:tblW w:type="auto" w:w="0"/>
        <w:jc w:val="left"/>
        <w:tblLayout w:type="fixed"/>
        <w:tblLook w:firstColumn="1" w:firstRow="1" w:lastColumn="0" w:lastRow="0" w:noHBand="0" w:noVBand="1" w:val="04A0"/>
      </w:tblPr>
      <w:tblGrid>
        <w:gridCol w:w="9648"/>
      </w:tblGrid>
      <w:tr>
        <w:trPr>
          <w:cantSplit/>
        </w:trPr>
        <w:tc>
          <w:tcPr>
            <w:tcW w:type="dxa" w:w="10166"/>
            <w:shd w:fill="F5A01B"/>
          </w:tcPr>
          <w:p>
            <w:r/>
          </w:p>
        </w:tc>
      </w:tr>
    </w:tbl>
    <w:p>
      <w:pPr>
        <w:pStyle w:val="Heading2"/>
        <w:keepNext/>
        <w:keepLines/>
        <w:spacing w:before="160" w:after="80" w:line="240" w:lineRule="auto"/>
      </w:pPr>
      <w:r>
        <w:rPr>
          <w:rFonts w:ascii="Arial" w:hAnsi="Arial"/>
          <w:b/>
          <w:color w:val="F5A01B"/>
          <w:sz w:val="28"/>
        </w:rPr>
        <w:t>Shared Engines</w:t>
      </w:r>
    </w:p>
    <w:tbl>
      <w:tblPr>
        <w:tblW w:type="auto" w:w="0"/>
        <w:jc w:val="center"/>
        <w:tblLayout w:type="fixed"/>
        <w:tblLook w:firstColumn="1" w:firstRow="1" w:lastColumn="0" w:lastRow="0" w:noHBand="0" w:noVBand="1" w:val="04A0"/>
      </w:tblPr>
      <w:tblGrid>
        <w:gridCol w:w="2952"/>
        <w:gridCol w:w="6696"/>
      </w:tblGrid>
      <w:tr>
        <w:trPr>
          <w:cantSplit/>
        </w:trPr>
        <w:tc>
          <w:tcPr>
            <w:tcW w:type="dxa" w:w="5083"/>
            <w:shd w:fill="F5A01B"/>
            <w:vAlign w:val="center"/>
          </w:tcPr>
          <w:p>
            <w:pPr>
              <w:spacing w:before="40" w:after="40" w:line="240" w:lineRule="auto"/>
              <w:jc w:val="left"/>
            </w:pPr>
            <w:r>
              <w:rPr>
                <w:rFonts w:ascii="Arial" w:hAnsi="Arial"/>
                <w:b/>
                <w:color w:val="2B2B2B"/>
                <w:sz w:val="17"/>
              </w:rPr>
              <w:t>Shared Capability</w:t>
            </w:r>
          </w:p>
        </w:tc>
        <w:tc>
          <w:tcPr>
            <w:tcW w:type="dxa" w:w="5083"/>
            <w:shd w:fill="F5A01B"/>
            <w:vAlign w:val="center"/>
          </w:tcPr>
          <w:p>
            <w:pPr>
              <w:spacing w:before="40" w:after="40" w:line="240" w:lineRule="auto"/>
              <w:jc w:val="left"/>
            </w:pPr>
            <w:r>
              <w:rPr>
                <w:rFonts w:ascii="Arial" w:hAnsi="Arial"/>
                <w:b/>
                <w:color w:val="2B2B2B"/>
                <w:sz w:val="17"/>
              </w:rPr>
              <w:t>Executive Purpose</w:t>
            </w:r>
          </w:p>
        </w:tc>
      </w:tr>
      <w:tr>
        <w:trPr>
          <w:cantSplit/>
        </w:trPr>
        <w:tc>
          <w:tcPr>
            <w:tcW w:type="dxa" w:w="2952"/>
            <w:vAlign w:val="top"/>
            <w:tcBorders>
              <w:bottom w:sz="2" w:val="single" w:color="E3DED5"/>
            </w:tcBorders>
          </w:tcPr>
          <w:p>
            <w:pPr>
              <w:spacing w:before="40" w:after="40" w:line="240" w:lineRule="auto"/>
            </w:pPr>
            <w:r>
              <w:rPr>
                <w:rFonts w:ascii="Arial" w:hAnsi="Arial"/>
                <w:color w:val="2B2B2B"/>
                <w:sz w:val="17"/>
              </w:rPr>
              <w:t>Workflow Engine</w:t>
            </w:r>
          </w:p>
        </w:tc>
        <w:tc>
          <w:tcPr>
            <w:tcW w:type="dxa" w:w="6696"/>
            <w:vAlign w:val="top"/>
            <w:tcBorders>
              <w:bottom w:sz="2" w:val="single" w:color="E3DED5"/>
            </w:tcBorders>
          </w:tcPr>
          <w:p>
            <w:pPr>
              <w:spacing w:before="40" w:after="40" w:line="240" w:lineRule="auto"/>
            </w:pPr>
            <w:r>
              <w:rPr>
                <w:rFonts w:ascii="Arial" w:hAnsi="Arial"/>
                <w:color w:val="2B2B2B"/>
                <w:sz w:val="17"/>
              </w:rPr>
              <w:t>Reusable approvals, tasks, branching, SLA timers, escalation, delegation and versioned process definitions.</w:t>
            </w:r>
          </w:p>
        </w:tc>
      </w:tr>
      <w:tr>
        <w:trPr>
          <w:cantSplit/>
        </w:trPr>
        <w:tc>
          <w:tcPr>
            <w:tcW w:type="dxa" w:w="2952"/>
            <w:shd w:fill="FAFAF8"/>
            <w:vAlign w:val="top"/>
            <w:tcBorders>
              <w:bottom w:sz="2" w:val="single" w:color="E3DED5"/>
            </w:tcBorders>
          </w:tcPr>
          <w:p>
            <w:pPr>
              <w:spacing w:before="40" w:after="40" w:line="240" w:lineRule="auto"/>
            </w:pPr>
            <w:r>
              <w:rPr>
                <w:rFonts w:ascii="Arial" w:hAnsi="Arial"/>
                <w:color w:val="2B2B2B"/>
                <w:sz w:val="17"/>
              </w:rPr>
              <w:t>Rules Engine</w:t>
            </w:r>
          </w:p>
        </w:tc>
        <w:tc>
          <w:tcPr>
            <w:tcW w:type="dxa" w:w="6696"/>
            <w:shd w:fill="FAFAF8"/>
            <w:vAlign w:val="top"/>
            <w:tcBorders>
              <w:bottom w:sz="2" w:val="single" w:color="E3DED5"/>
            </w:tcBorders>
          </w:tcPr>
          <w:p>
            <w:pPr>
              <w:spacing w:before="40" w:after="40" w:line="240" w:lineRule="auto"/>
            </w:pPr>
            <w:r>
              <w:rPr>
                <w:rFonts w:ascii="Arial" w:hAnsi="Arial"/>
                <w:color w:val="2B2B2B"/>
                <w:sz w:val="17"/>
              </w:rPr>
              <w:t>Eligibility, allowances, overtime, leave, payroll inputs, readiness gates, approval thresholds and policy conditions.</w:t>
            </w:r>
          </w:p>
        </w:tc>
      </w:tr>
      <w:tr>
        <w:trPr>
          <w:cantSplit/>
        </w:trPr>
        <w:tc>
          <w:tcPr>
            <w:tcW w:type="dxa" w:w="2952"/>
            <w:vAlign w:val="top"/>
            <w:tcBorders>
              <w:bottom w:sz="2" w:val="single" w:color="E3DED5"/>
            </w:tcBorders>
          </w:tcPr>
          <w:p>
            <w:pPr>
              <w:spacing w:before="40" w:after="40" w:line="240" w:lineRule="auto"/>
            </w:pPr>
            <w:r>
              <w:rPr>
                <w:rFonts w:ascii="Arial" w:hAnsi="Arial"/>
                <w:color w:val="2B2B2B"/>
                <w:sz w:val="17"/>
              </w:rPr>
              <w:t>Document &amp; Template Engine</w:t>
            </w:r>
          </w:p>
        </w:tc>
        <w:tc>
          <w:tcPr>
            <w:tcW w:type="dxa" w:w="6696"/>
            <w:vAlign w:val="top"/>
            <w:tcBorders>
              <w:bottom w:sz="2" w:val="single" w:color="E3DED5"/>
            </w:tcBorders>
          </w:tcPr>
          <w:p>
            <w:pPr>
              <w:spacing w:before="40" w:after="40" w:line="240" w:lineRule="auto"/>
            </w:pPr>
            <w:r>
              <w:rPr>
                <w:rFonts w:ascii="Arial" w:hAnsi="Arial"/>
                <w:color w:val="2B2B2B"/>
                <w:sz w:val="17"/>
              </w:rPr>
              <w:t>Contracts, offers, letters, acknowledgments, forms and localized templates with controlled versions.</w:t>
            </w:r>
          </w:p>
        </w:tc>
      </w:tr>
      <w:tr>
        <w:trPr>
          <w:cantSplit/>
        </w:trPr>
        <w:tc>
          <w:tcPr>
            <w:tcW w:type="dxa" w:w="2952"/>
            <w:shd w:fill="FAFAF8"/>
            <w:vAlign w:val="top"/>
            <w:tcBorders>
              <w:bottom w:sz="2" w:val="single" w:color="E3DED5"/>
            </w:tcBorders>
          </w:tcPr>
          <w:p>
            <w:pPr>
              <w:spacing w:before="40" w:after="40" w:line="240" w:lineRule="auto"/>
            </w:pPr>
            <w:r>
              <w:rPr>
                <w:rFonts w:ascii="Arial" w:hAnsi="Arial"/>
                <w:color w:val="2B2B2B"/>
                <w:sz w:val="17"/>
              </w:rPr>
              <w:t>Notification Engine</w:t>
            </w:r>
          </w:p>
        </w:tc>
        <w:tc>
          <w:tcPr>
            <w:tcW w:type="dxa" w:w="6696"/>
            <w:shd w:fill="FAFAF8"/>
            <w:vAlign w:val="top"/>
            <w:tcBorders>
              <w:bottom w:sz="2" w:val="single" w:color="E3DED5"/>
            </w:tcBorders>
          </w:tcPr>
          <w:p>
            <w:pPr>
              <w:spacing w:before="40" w:after="40" w:line="240" w:lineRule="auto"/>
            </w:pPr>
            <w:r>
              <w:rPr>
                <w:rFonts w:ascii="Arial" w:hAnsi="Arial"/>
                <w:color w:val="2B2B2B"/>
                <w:sz w:val="17"/>
              </w:rPr>
              <w:t>Email, in-app, mobile push and future messaging channels using event-based templates and escalation rules.</w:t>
            </w:r>
          </w:p>
        </w:tc>
      </w:tr>
      <w:tr>
        <w:trPr>
          <w:cantSplit/>
        </w:trPr>
        <w:tc>
          <w:tcPr>
            <w:tcW w:type="dxa" w:w="2952"/>
            <w:vAlign w:val="top"/>
            <w:tcBorders>
              <w:bottom w:sz="2" w:val="single" w:color="E3DED5"/>
            </w:tcBorders>
          </w:tcPr>
          <w:p>
            <w:pPr>
              <w:spacing w:before="40" w:after="40" w:line="240" w:lineRule="auto"/>
            </w:pPr>
            <w:r>
              <w:rPr>
                <w:rFonts w:ascii="Arial" w:hAnsi="Arial"/>
                <w:color w:val="2B2B2B"/>
                <w:sz w:val="17"/>
              </w:rPr>
              <w:t>Audit &amp; Evidence Engine</w:t>
            </w:r>
          </w:p>
        </w:tc>
        <w:tc>
          <w:tcPr>
            <w:tcW w:type="dxa" w:w="6696"/>
            <w:vAlign w:val="top"/>
            <w:tcBorders>
              <w:bottom w:sz="2" w:val="single" w:color="E3DED5"/>
            </w:tcBorders>
          </w:tcPr>
          <w:p>
            <w:pPr>
              <w:spacing w:before="40" w:after="40" w:line="240" w:lineRule="auto"/>
            </w:pPr>
            <w:r>
              <w:rPr>
                <w:rFonts w:ascii="Arial" w:hAnsi="Arial"/>
                <w:color w:val="2B2B2B"/>
                <w:sz w:val="17"/>
              </w:rPr>
              <w:t>Immutable material-event trail with actor, timestamp, source, before/after value, reason, evidence and approval.</w:t>
            </w:r>
          </w:p>
        </w:tc>
      </w:tr>
      <w:tr>
        <w:trPr>
          <w:cantSplit/>
        </w:trPr>
        <w:tc>
          <w:tcPr>
            <w:tcW w:type="dxa" w:w="2952"/>
            <w:shd w:fill="FAFAF8"/>
            <w:vAlign w:val="top"/>
            <w:tcBorders>
              <w:bottom w:sz="2" w:val="single" w:color="E3DED5"/>
            </w:tcBorders>
          </w:tcPr>
          <w:p>
            <w:pPr>
              <w:spacing w:before="40" w:after="40" w:line="240" w:lineRule="auto"/>
            </w:pPr>
            <w:r>
              <w:rPr>
                <w:rFonts w:ascii="Arial" w:hAnsi="Arial"/>
                <w:color w:val="2B2B2B"/>
                <w:sz w:val="17"/>
              </w:rPr>
              <w:t>Localization Engine</w:t>
            </w:r>
          </w:p>
        </w:tc>
        <w:tc>
          <w:tcPr>
            <w:tcW w:type="dxa" w:w="6696"/>
            <w:shd w:fill="FAFAF8"/>
            <w:vAlign w:val="top"/>
            <w:tcBorders>
              <w:bottom w:sz="2" w:val="single" w:color="E3DED5"/>
            </w:tcBorders>
          </w:tcPr>
          <w:p>
            <w:pPr>
              <w:spacing w:before="40" w:after="40" w:line="240" w:lineRule="auto"/>
            </w:pPr>
            <w:r>
              <w:rPr>
                <w:rFonts w:ascii="Arial" w:hAnsi="Arial"/>
                <w:color w:val="2B2B2B"/>
                <w:sz w:val="17"/>
              </w:rPr>
              <w:t>Language packs, RTL/LTR, local calendars, formats, labels and template variants.</w:t>
            </w:r>
          </w:p>
        </w:tc>
      </w:tr>
      <w:tr>
        <w:trPr>
          <w:cantSplit/>
        </w:trPr>
        <w:tc>
          <w:tcPr>
            <w:tcW w:type="dxa" w:w="2952"/>
            <w:vAlign w:val="top"/>
            <w:tcBorders>
              <w:bottom w:sz="2" w:val="single" w:color="E3DED5"/>
            </w:tcBorders>
          </w:tcPr>
          <w:p>
            <w:pPr>
              <w:spacing w:before="40" w:after="40" w:line="240" w:lineRule="auto"/>
            </w:pPr>
            <w:r>
              <w:rPr>
                <w:rFonts w:ascii="Arial" w:hAnsi="Arial"/>
                <w:color w:val="2B2B2B"/>
                <w:sz w:val="17"/>
              </w:rPr>
              <w:t>Analytics &amp; Reporting Layer</w:t>
            </w:r>
          </w:p>
        </w:tc>
        <w:tc>
          <w:tcPr>
            <w:tcW w:type="dxa" w:w="6696"/>
            <w:vAlign w:val="top"/>
            <w:tcBorders>
              <w:bottom w:sz="2" w:val="single" w:color="E3DED5"/>
            </w:tcBorders>
          </w:tcPr>
          <w:p>
            <w:pPr>
              <w:spacing w:before="40" w:after="40" w:line="240" w:lineRule="auto"/>
            </w:pPr>
            <w:r>
              <w:rPr>
                <w:rFonts w:ascii="Arial" w:hAnsi="Arial"/>
                <w:color w:val="2B2B2B"/>
                <w:sz w:val="17"/>
              </w:rPr>
              <w:t>Operational dashboards, executive metrics, drill-down, exports and governed semantic definitions.</w:t>
            </w:r>
          </w:p>
        </w:tc>
      </w:tr>
      <w:tr>
        <w:trPr>
          <w:cantSplit/>
        </w:trPr>
        <w:tc>
          <w:tcPr>
            <w:tcW w:type="dxa" w:w="2952"/>
            <w:shd w:fill="FAFAF8"/>
            <w:vAlign w:val="top"/>
            <w:tcBorders>
              <w:bottom w:sz="2" w:val="single" w:color="E3DED5"/>
            </w:tcBorders>
          </w:tcPr>
          <w:p>
            <w:pPr>
              <w:spacing w:before="40" w:after="40" w:line="240" w:lineRule="auto"/>
            </w:pPr>
            <w:r>
              <w:rPr>
                <w:rFonts w:ascii="Arial" w:hAnsi="Arial"/>
                <w:color w:val="2B2B2B"/>
                <w:sz w:val="17"/>
              </w:rPr>
              <w:t>Integration Layer</w:t>
            </w:r>
          </w:p>
        </w:tc>
        <w:tc>
          <w:tcPr>
            <w:tcW w:type="dxa" w:w="6696"/>
            <w:shd w:fill="FAFAF8"/>
            <w:vAlign w:val="top"/>
            <w:tcBorders>
              <w:bottom w:sz="2" w:val="single" w:color="E3DED5"/>
            </w:tcBorders>
          </w:tcPr>
          <w:p>
            <w:pPr>
              <w:spacing w:before="40" w:after="40" w:line="240" w:lineRule="auto"/>
            </w:pPr>
            <w:r>
              <w:rPr>
                <w:rFonts w:ascii="Arial" w:hAnsi="Arial"/>
                <w:color w:val="2B2B2B"/>
                <w:sz w:val="17"/>
              </w:rPr>
              <w:t>APIs, scheduled interfaces, events, retries, reconciliation, monitoring and error ownership.</w:t>
            </w:r>
          </w:p>
        </w:tc>
      </w:tr>
      <w:tr>
        <w:trPr>
          <w:cantSplit/>
        </w:trPr>
        <w:tc>
          <w:tcPr>
            <w:tcW w:type="dxa" w:w="2952"/>
            <w:vAlign w:val="top"/>
            <w:tcBorders>
              <w:bottom w:sz="2" w:val="single" w:color="E3DED5"/>
            </w:tcBorders>
          </w:tcPr>
          <w:p>
            <w:pPr>
              <w:spacing w:before="40" w:after="40" w:line="240" w:lineRule="auto"/>
            </w:pPr>
            <w:r>
              <w:rPr>
                <w:rFonts w:ascii="Arial" w:hAnsi="Arial"/>
                <w:color w:val="2B2B2B"/>
                <w:sz w:val="17"/>
              </w:rPr>
              <w:t>AI Platform</w:t>
            </w:r>
          </w:p>
        </w:tc>
        <w:tc>
          <w:tcPr>
            <w:tcW w:type="dxa" w:w="6696"/>
            <w:vAlign w:val="top"/>
            <w:tcBorders>
              <w:bottom w:sz="2" w:val="single" w:color="E3DED5"/>
            </w:tcBorders>
          </w:tcPr>
          <w:p>
            <w:pPr>
              <w:spacing w:before="40" w:after="40" w:line="240" w:lineRule="auto"/>
            </w:pPr>
            <w:r>
              <w:rPr>
                <w:rFonts w:ascii="Arial" w:hAnsi="Arial"/>
                <w:color w:val="2B2B2B"/>
                <w:sz w:val="17"/>
              </w:rPr>
              <w:t>Model gateway, permissions, prompt registry, tool access, guardrails, evaluation, cost control and audit.</w:t>
            </w:r>
          </w:p>
        </w:tc>
      </w:tr>
    </w:tbl>
    <w:p>
      <w:pPr>
        <w:pStyle w:val="Heading2"/>
        <w:keepNext/>
        <w:keepLines/>
        <w:spacing w:before="160" w:after="80" w:line="240" w:lineRule="auto"/>
      </w:pPr>
      <w:r>
        <w:rPr>
          <w:rFonts w:ascii="Arial" w:hAnsi="Arial"/>
          <w:b/>
          <w:color w:val="F5A01B"/>
          <w:sz w:val="28"/>
        </w:rPr>
        <w:t>AI Operating Boundary</w:t>
      </w:r>
    </w:p>
    <w:p>
      <w:pPr>
        <w:spacing w:before="0" w:after="120" w:line="259" w:lineRule="auto"/>
      </w:pPr>
      <w:r>
        <w:rPr>
          <w:rFonts w:ascii="Arial" w:hAnsi="Arial"/>
          <w:color w:val="2B2B2B"/>
          <w:sz w:val="20"/>
        </w:rPr>
        <w:t>AI is a capability layer, not a separate source of authority. It may retrieve permitted HR data, summarize records, explain rules, draft documents, detect patterns, recommend actions and execute explicitly allowed low-risk tools. Sensitive employment, compensation, disciplinary, access and separation decisions remain subject to configured permissions and human approval.</w:t>
      </w:r>
    </w:p>
    <w:tbl>
      <w:tblPr>
        <w:tblW w:type="auto" w:w="0"/>
        <w:jc w:val="center"/>
        <w:tblLayout w:type="fixed"/>
        <w:tblLook w:firstColumn="1" w:firstRow="1" w:lastColumn="0" w:lastRow="0" w:noHBand="0" w:noVBand="1" w:val="04A0"/>
      </w:tblPr>
      <w:tblGrid>
        <w:gridCol w:w="9792"/>
      </w:tblGrid>
      <w:tr>
        <w:trPr>
          <w:cantSplit/>
        </w:trPr>
        <w:tc>
          <w:tcPr>
            <w:tcW w:type="dxa" w:w="10166"/>
            <w:shd w:fill="FFF6E6"/>
            <w:tcBorders>
              <w:top w:sz="4" w:val="single" w:color="E6E0D8"/>
              <w:left w:sz="14" w:val="single" w:color="F5A01B"/>
              <w:bottom w:sz="4" w:val="single" w:color="E6E0D8"/>
              <w:right w:sz="4" w:val="single" w:color="E6E0D8"/>
            </w:tcBorders>
          </w:tcPr>
          <w:p>
            <w:pPr>
              <w:spacing w:before="60" w:after="60" w:line="252" w:lineRule="auto"/>
            </w:pPr>
            <w:r>
              <w:rPr>
                <w:rFonts w:ascii="Arial" w:hAnsi="Arial"/>
                <w:b/>
                <w:color w:val="2B2B2B"/>
                <w:sz w:val="20"/>
              </w:rPr>
              <w:t xml:space="preserve">AI control principle.  </w:t>
            </w:r>
            <w:r>
              <w:rPr>
                <w:rFonts w:ascii="Arial" w:hAnsi="Arial"/>
                <w:color w:val="2B2B2B"/>
                <w:sz w:val="19"/>
              </w:rPr>
              <w:t>No AI action may bypass RBAC, workflow approval, policy validation, privacy rules or audit requirements. AI output must be attributable to the underlying data and logged when it materially influences a business action.</w:t>
            </w:r>
          </w:p>
        </w:tc>
      </w:tr>
    </w:tbl>
    <w:p>
      <w:r>
        <w:br w:type="page"/>
      </w:r>
    </w:p>
    <w:p>
      <w:pPr>
        <w:pStyle w:val="Heading1"/>
        <w:keepNext/>
        <w:keepLines/>
        <w:spacing w:before="0" w:after="100" w:line="240" w:lineRule="auto"/>
      </w:pPr>
      <w:r>
        <w:rPr>
          <w:rFonts w:ascii="Arial" w:hAnsi="Arial"/>
          <w:b/>
          <w:color w:val="2B2B2B"/>
          <w:sz w:val="44"/>
        </w:rPr>
        <w:t>12. Integration &amp; Data Ecosystem</w:t>
      </w:r>
    </w:p>
    <w:tbl>
      <w:tblPr>
        <w:tblW w:type="auto" w:w="0"/>
        <w:jc w:val="left"/>
        <w:tblLayout w:type="fixed"/>
        <w:tblLook w:firstColumn="1" w:firstRow="1" w:lastColumn="0" w:lastRow="0" w:noHBand="0" w:noVBand="1" w:val="04A0"/>
      </w:tblPr>
      <w:tblGrid>
        <w:gridCol w:w="9648"/>
      </w:tblGrid>
      <w:tr>
        <w:trPr>
          <w:cantSplit/>
        </w:trPr>
        <w:tc>
          <w:tcPr>
            <w:tcW w:type="dxa" w:w="10166"/>
            <w:shd w:fill="F5A01B"/>
          </w:tcPr>
          <w:p>
            <w:r/>
          </w:p>
        </w:tc>
      </w:tr>
    </w:tbl>
    <w:p>
      <w:pPr>
        <w:spacing w:after="120"/>
        <w:jc w:val="center"/>
      </w:pPr>
      <w:r>
        <w:drawing>
          <wp:inline xmlns:a="http://schemas.openxmlformats.org/drawingml/2006/main" xmlns:pic="http://schemas.openxmlformats.org/drawingml/2006/picture">
            <wp:extent cx="6309360" cy="3549015"/>
            <wp:docPr id="4" name="Picture 4"/>
            <wp:cNvGraphicFramePr>
              <a:graphicFrameLocks noChangeAspect="1"/>
            </wp:cNvGraphicFramePr>
            <a:graphic>
              <a:graphicData uri="http://schemas.openxmlformats.org/drawingml/2006/picture">
                <pic:pic>
                  <pic:nvPicPr>
                    <pic:cNvPr id="0" name="ecosystem.png"/>
                    <pic:cNvPicPr/>
                  </pic:nvPicPr>
                  <pic:blipFill>
                    <a:blip r:embed="rId15"/>
                    <a:stretch>
                      <a:fillRect/>
                    </a:stretch>
                  </pic:blipFill>
                  <pic:spPr>
                    <a:xfrm>
                      <a:off x="0" y="0"/>
                      <a:ext cx="6309360" cy="3549015"/>
                    </a:xfrm>
                    <a:prstGeom prst="rect"/>
                  </pic:spPr>
                </pic:pic>
              </a:graphicData>
            </a:graphic>
          </wp:inline>
        </w:drawing>
      </w:r>
    </w:p>
    <w:p>
      <w:pPr>
        <w:pStyle w:val="Heading2"/>
        <w:keepNext/>
        <w:keepLines/>
        <w:spacing w:before="160" w:after="80" w:line="240" w:lineRule="auto"/>
      </w:pPr>
      <w:r>
        <w:rPr>
          <w:rFonts w:ascii="Arial" w:hAnsi="Arial"/>
          <w:b/>
          <w:color w:val="F5A01B"/>
          <w:sz w:val="28"/>
        </w:rPr>
        <w:t>System-of-Record Governance</w:t>
      </w:r>
    </w:p>
    <w:tbl>
      <w:tblPr>
        <w:tblW w:type="auto" w:w="0"/>
        <w:jc w:val="center"/>
        <w:tblLayout w:type="fixed"/>
        <w:tblLook w:firstColumn="1" w:firstRow="1" w:lastColumn="0" w:lastRow="0" w:noHBand="0" w:noVBand="1" w:val="04A0"/>
      </w:tblPr>
      <w:tblGrid>
        <w:gridCol w:w="3816"/>
        <w:gridCol w:w="5832"/>
      </w:tblGrid>
      <w:tr>
        <w:trPr>
          <w:cantSplit/>
        </w:trPr>
        <w:tc>
          <w:tcPr>
            <w:tcW w:type="dxa" w:w="5083"/>
            <w:shd w:fill="F5A01B"/>
            <w:vAlign w:val="center"/>
          </w:tcPr>
          <w:p>
            <w:pPr>
              <w:spacing w:before="40" w:after="40" w:line="240" w:lineRule="auto"/>
              <w:jc w:val="left"/>
            </w:pPr>
            <w:r>
              <w:rPr>
                <w:rFonts w:ascii="Arial" w:hAnsi="Arial"/>
                <w:b/>
                <w:color w:val="2B2B2B"/>
                <w:sz w:val="16"/>
              </w:rPr>
              <w:t>Data / Transaction</w:t>
            </w:r>
          </w:p>
        </w:tc>
        <w:tc>
          <w:tcPr>
            <w:tcW w:type="dxa" w:w="5083"/>
            <w:shd w:fill="F5A01B"/>
            <w:vAlign w:val="center"/>
          </w:tcPr>
          <w:p>
            <w:pPr>
              <w:spacing w:before="40" w:after="40" w:line="240" w:lineRule="auto"/>
              <w:jc w:val="left"/>
            </w:pPr>
            <w:r>
              <w:rPr>
                <w:rFonts w:ascii="Arial" w:hAnsi="Arial"/>
                <w:b/>
                <w:color w:val="2B2B2B"/>
                <w:sz w:val="16"/>
              </w:rPr>
              <w:t>Expected Authority</w:t>
            </w:r>
          </w:p>
        </w:tc>
      </w:tr>
      <w:tr>
        <w:trPr>
          <w:cantSplit/>
        </w:trPr>
        <w:tc>
          <w:tcPr>
            <w:tcW w:type="dxa" w:w="3816"/>
            <w:vAlign w:val="top"/>
            <w:tcBorders>
              <w:bottom w:sz="2" w:val="single" w:color="E3DED5"/>
            </w:tcBorders>
          </w:tcPr>
          <w:p>
            <w:pPr>
              <w:spacing w:before="40" w:after="40" w:line="240" w:lineRule="auto"/>
            </w:pPr>
            <w:r>
              <w:rPr>
                <w:rFonts w:ascii="Arial" w:hAnsi="Arial"/>
                <w:color w:val="2B2B2B"/>
                <w:sz w:val="16"/>
              </w:rPr>
              <w:t>Employee HR master and lifecycle state</w:t>
            </w:r>
          </w:p>
        </w:tc>
        <w:tc>
          <w:tcPr>
            <w:tcW w:type="dxa" w:w="5832"/>
            <w:vAlign w:val="top"/>
            <w:tcBorders>
              <w:bottom w:sz="2" w:val="single" w:color="E3DED5"/>
            </w:tcBorders>
          </w:tcPr>
          <w:p>
            <w:pPr>
              <w:spacing w:before="40" w:after="40" w:line="240" w:lineRule="auto"/>
            </w:pPr>
            <w:r>
              <w:rPr>
                <w:rFonts w:ascii="Arial" w:hAnsi="Arial"/>
                <w:color w:val="2B2B2B"/>
                <w:sz w:val="16"/>
              </w:rPr>
              <w:t>AFRO HR</w:t>
            </w:r>
          </w:p>
        </w:tc>
      </w:tr>
      <w:tr>
        <w:trPr>
          <w:cantSplit/>
        </w:trPr>
        <w:tc>
          <w:tcPr>
            <w:tcW w:type="dxa" w:w="3816"/>
            <w:shd w:fill="FAFAF8"/>
            <w:vAlign w:val="top"/>
            <w:tcBorders>
              <w:bottom w:sz="2" w:val="single" w:color="E3DED5"/>
            </w:tcBorders>
          </w:tcPr>
          <w:p>
            <w:pPr>
              <w:spacing w:before="40" w:after="40" w:line="240" w:lineRule="auto"/>
            </w:pPr>
            <w:r>
              <w:rPr>
                <w:rFonts w:ascii="Arial" w:hAnsi="Arial"/>
                <w:color w:val="2B2B2B"/>
                <w:sz w:val="16"/>
              </w:rPr>
              <w:t>Organization, positions and HR assignments</w:t>
            </w:r>
          </w:p>
        </w:tc>
        <w:tc>
          <w:tcPr>
            <w:tcW w:type="dxa" w:w="5832"/>
            <w:shd w:fill="FAFAF8"/>
            <w:vAlign w:val="top"/>
            <w:tcBorders>
              <w:bottom w:sz="2" w:val="single" w:color="E3DED5"/>
            </w:tcBorders>
          </w:tcPr>
          <w:p>
            <w:pPr>
              <w:spacing w:before="40" w:after="40" w:line="240" w:lineRule="auto"/>
            </w:pPr>
            <w:r>
              <w:rPr>
                <w:rFonts w:ascii="Arial" w:hAnsi="Arial"/>
                <w:color w:val="2B2B2B"/>
                <w:sz w:val="16"/>
              </w:rPr>
              <w:t>AFRO HR, with controlled references to project/customer masters as required</w:t>
            </w:r>
          </w:p>
        </w:tc>
      </w:tr>
      <w:tr>
        <w:trPr>
          <w:cantSplit/>
        </w:trPr>
        <w:tc>
          <w:tcPr>
            <w:tcW w:type="dxa" w:w="3816"/>
            <w:vAlign w:val="top"/>
            <w:tcBorders>
              <w:bottom w:sz="2" w:val="single" w:color="E3DED5"/>
            </w:tcBorders>
          </w:tcPr>
          <w:p>
            <w:pPr>
              <w:spacing w:before="40" w:after="40" w:line="240" w:lineRule="auto"/>
            </w:pPr>
            <w:r>
              <w:rPr>
                <w:rFonts w:ascii="Arial" w:hAnsi="Arial"/>
                <w:color w:val="2B2B2B"/>
                <w:sz w:val="16"/>
              </w:rPr>
              <w:t>Accounting postings and financial ledger</w:t>
            </w:r>
          </w:p>
        </w:tc>
        <w:tc>
          <w:tcPr>
            <w:tcW w:type="dxa" w:w="5832"/>
            <w:vAlign w:val="top"/>
            <w:tcBorders>
              <w:bottom w:sz="2" w:val="single" w:color="E3DED5"/>
            </w:tcBorders>
          </w:tcPr>
          <w:p>
            <w:pPr>
              <w:spacing w:before="40" w:after="40" w:line="240" w:lineRule="auto"/>
            </w:pPr>
            <w:r>
              <w:rPr>
                <w:rFonts w:ascii="Arial" w:hAnsi="Arial"/>
                <w:color w:val="2B2B2B"/>
                <w:sz w:val="16"/>
              </w:rPr>
              <w:t>Finance / ERP</w:t>
            </w:r>
          </w:p>
        </w:tc>
      </w:tr>
      <w:tr>
        <w:trPr>
          <w:cantSplit/>
        </w:trPr>
        <w:tc>
          <w:tcPr>
            <w:tcW w:type="dxa" w:w="3816"/>
            <w:shd w:fill="FAFAF8"/>
            <w:vAlign w:val="top"/>
            <w:tcBorders>
              <w:bottom w:sz="2" w:val="single" w:color="E3DED5"/>
            </w:tcBorders>
          </w:tcPr>
          <w:p>
            <w:pPr>
              <w:spacing w:before="40" w:after="40" w:line="240" w:lineRule="auto"/>
            </w:pPr>
            <w:r>
              <w:rPr>
                <w:rFonts w:ascii="Arial" w:hAnsi="Arial"/>
                <w:color w:val="2B2B2B"/>
                <w:sz w:val="16"/>
              </w:rPr>
              <w:t>Bank transfer execution</w:t>
            </w:r>
          </w:p>
        </w:tc>
        <w:tc>
          <w:tcPr>
            <w:tcW w:type="dxa" w:w="5832"/>
            <w:shd w:fill="FAFAF8"/>
            <w:vAlign w:val="top"/>
            <w:tcBorders>
              <w:bottom w:sz="2" w:val="single" w:color="E3DED5"/>
            </w:tcBorders>
          </w:tcPr>
          <w:p>
            <w:pPr>
              <w:spacing w:before="40" w:after="40" w:line="240" w:lineRule="auto"/>
            </w:pPr>
            <w:r>
              <w:rPr>
                <w:rFonts w:ascii="Arial" w:hAnsi="Arial"/>
                <w:color w:val="2B2B2B"/>
                <w:sz w:val="16"/>
              </w:rPr>
              <w:t>Finance / Bank</w:t>
            </w:r>
          </w:p>
        </w:tc>
      </w:tr>
      <w:tr>
        <w:trPr>
          <w:cantSplit/>
        </w:trPr>
        <w:tc>
          <w:tcPr>
            <w:tcW w:type="dxa" w:w="3816"/>
            <w:vAlign w:val="top"/>
            <w:tcBorders>
              <w:bottom w:sz="2" w:val="single" w:color="E3DED5"/>
            </w:tcBorders>
          </w:tcPr>
          <w:p>
            <w:pPr>
              <w:spacing w:before="40" w:after="40" w:line="240" w:lineRule="auto"/>
            </w:pPr>
            <w:r>
              <w:rPr>
                <w:rFonts w:ascii="Arial" w:hAnsi="Arial"/>
                <w:color w:val="2B2B2B"/>
                <w:sz w:val="16"/>
              </w:rPr>
              <w:t>Raw biometric events</w:t>
            </w:r>
          </w:p>
        </w:tc>
        <w:tc>
          <w:tcPr>
            <w:tcW w:type="dxa" w:w="5832"/>
            <w:vAlign w:val="top"/>
            <w:tcBorders>
              <w:bottom w:sz="2" w:val="single" w:color="E3DED5"/>
            </w:tcBorders>
          </w:tcPr>
          <w:p>
            <w:pPr>
              <w:spacing w:before="40" w:after="40" w:line="240" w:lineRule="auto"/>
            </w:pPr>
            <w:r>
              <w:rPr>
                <w:rFonts w:ascii="Arial" w:hAnsi="Arial"/>
                <w:color w:val="2B2B2B"/>
                <w:sz w:val="16"/>
              </w:rPr>
              <w:t>Attendance device/platform; AFRO HR stores normalized attendance results and evidence references</w:t>
            </w:r>
          </w:p>
        </w:tc>
      </w:tr>
      <w:tr>
        <w:trPr>
          <w:cantSplit/>
        </w:trPr>
        <w:tc>
          <w:tcPr>
            <w:tcW w:type="dxa" w:w="3816"/>
            <w:shd w:fill="FAFAF8"/>
            <w:vAlign w:val="top"/>
            <w:tcBorders>
              <w:bottom w:sz="2" w:val="single" w:color="E3DED5"/>
            </w:tcBorders>
          </w:tcPr>
          <w:p>
            <w:pPr>
              <w:spacing w:before="40" w:after="40" w:line="240" w:lineRule="auto"/>
            </w:pPr>
            <w:r>
              <w:rPr>
                <w:rFonts w:ascii="Arial" w:hAnsi="Arial"/>
                <w:color w:val="2B2B2B"/>
                <w:sz w:val="16"/>
              </w:rPr>
              <w:t>Corporate authentication / mailbox</w:t>
            </w:r>
          </w:p>
        </w:tc>
        <w:tc>
          <w:tcPr>
            <w:tcW w:type="dxa" w:w="5832"/>
            <w:shd w:fill="FAFAF8"/>
            <w:vAlign w:val="top"/>
            <w:tcBorders>
              <w:bottom w:sz="2" w:val="single" w:color="E3DED5"/>
            </w:tcBorders>
          </w:tcPr>
          <w:p>
            <w:pPr>
              <w:spacing w:before="40" w:after="40" w:line="240" w:lineRule="auto"/>
            </w:pPr>
            <w:r>
              <w:rPr>
                <w:rFonts w:ascii="Arial" w:hAnsi="Arial"/>
                <w:color w:val="2B2B2B"/>
                <w:sz w:val="16"/>
              </w:rPr>
              <w:t>Identity / IT platform</w:t>
            </w:r>
          </w:p>
        </w:tc>
      </w:tr>
      <w:tr>
        <w:trPr>
          <w:cantSplit/>
        </w:trPr>
        <w:tc>
          <w:tcPr>
            <w:tcW w:type="dxa" w:w="3816"/>
            <w:vAlign w:val="top"/>
            <w:tcBorders>
              <w:bottom w:sz="2" w:val="single" w:color="E3DED5"/>
            </w:tcBorders>
          </w:tcPr>
          <w:p>
            <w:pPr>
              <w:spacing w:before="40" w:after="40" w:line="240" w:lineRule="auto"/>
            </w:pPr>
            <w:r>
              <w:rPr>
                <w:rFonts w:ascii="Arial" w:hAnsi="Arial"/>
                <w:color w:val="2B2B2B"/>
                <w:sz w:val="16"/>
              </w:rPr>
              <w:t>Insurance provider membership confirmation</w:t>
            </w:r>
          </w:p>
        </w:tc>
        <w:tc>
          <w:tcPr>
            <w:tcW w:type="dxa" w:w="5832"/>
            <w:vAlign w:val="top"/>
            <w:tcBorders>
              <w:bottom w:sz="2" w:val="single" w:color="E3DED5"/>
            </w:tcBorders>
          </w:tcPr>
          <w:p>
            <w:pPr>
              <w:spacing w:before="40" w:after="40" w:line="240" w:lineRule="auto"/>
            </w:pPr>
            <w:r>
              <w:rPr>
                <w:rFonts w:ascii="Arial" w:hAnsi="Arial"/>
                <w:color w:val="2B2B2B"/>
                <w:sz w:val="16"/>
              </w:rPr>
              <w:t>Provider/external system with AFRO HR maintaining employee eligibility and enrollment status</w:t>
            </w:r>
          </w:p>
        </w:tc>
      </w:tr>
    </w:tbl>
    <w:tbl>
      <w:tblPr>
        <w:tblW w:type="auto" w:w="0"/>
        <w:jc w:val="center"/>
        <w:tblLayout w:type="fixed"/>
        <w:tblLook w:firstColumn="1" w:firstRow="1" w:lastColumn="0" w:lastRow="0" w:noHBand="0" w:noVBand="1" w:val="04A0"/>
      </w:tblPr>
      <w:tblGrid>
        <w:gridCol w:w="9792"/>
      </w:tblGrid>
      <w:tr>
        <w:trPr>
          <w:cantSplit/>
        </w:trPr>
        <w:tc>
          <w:tcPr>
            <w:tcW w:type="dxa" w:w="10166"/>
            <w:shd w:fill="FFF6E6"/>
            <w:tcBorders>
              <w:top w:sz="4" w:val="single" w:color="E6E0D8"/>
              <w:left w:sz="14" w:val="single" w:color="F5A01B"/>
              <w:bottom w:sz="4" w:val="single" w:color="E6E0D8"/>
              <w:right w:sz="4" w:val="single" w:color="E6E0D8"/>
            </w:tcBorders>
          </w:tcPr>
          <w:p>
            <w:pPr>
              <w:spacing w:before="60" w:after="60" w:line="252" w:lineRule="auto"/>
            </w:pPr>
            <w:r>
              <w:rPr>
                <w:rFonts w:ascii="Arial" w:hAnsi="Arial"/>
                <w:b/>
                <w:color w:val="2B2B2B"/>
                <w:sz w:val="20"/>
              </w:rPr>
              <w:t xml:space="preserve">Integration requirement.  </w:t>
            </w:r>
            <w:r>
              <w:rPr>
                <w:rFonts w:ascii="Arial" w:hAnsi="Arial"/>
                <w:color w:val="2B2B2B"/>
                <w:sz w:val="19"/>
              </w:rPr>
              <w:t>Each interface must later specify source, target, ownership, frequency/event, data contract, security, retry, reconciliation, failure handling and audit behavior. “Integration” is not complete when data can only be imported manually without control or reconciliation.</w:t>
            </w:r>
          </w:p>
        </w:tc>
      </w:tr>
    </w:tbl>
    <w:p>
      <w:r>
        <w:br w:type="page"/>
      </w:r>
    </w:p>
    <w:p>
      <w:pPr>
        <w:pStyle w:val="Heading1"/>
        <w:keepNext/>
        <w:keepLines/>
        <w:spacing w:before="0" w:after="100" w:line="240" w:lineRule="auto"/>
      </w:pPr>
      <w:r>
        <w:rPr>
          <w:rFonts w:ascii="Arial" w:hAnsi="Arial"/>
          <w:b/>
          <w:color w:val="2B2B2B"/>
          <w:sz w:val="44"/>
        </w:rPr>
        <w:t>13. Success Measures &amp; Governance</w:t>
      </w:r>
    </w:p>
    <w:tbl>
      <w:tblPr>
        <w:tblW w:type="auto" w:w="0"/>
        <w:jc w:val="left"/>
        <w:tblLayout w:type="fixed"/>
        <w:tblLook w:firstColumn="1" w:firstRow="1" w:lastColumn="0" w:lastRow="0" w:noHBand="0" w:noVBand="1" w:val="04A0"/>
      </w:tblPr>
      <w:tblGrid>
        <w:gridCol w:w="9648"/>
      </w:tblGrid>
      <w:tr>
        <w:trPr>
          <w:cantSplit/>
        </w:trPr>
        <w:tc>
          <w:tcPr>
            <w:tcW w:type="dxa" w:w="10166"/>
            <w:shd w:fill="F5A01B"/>
          </w:tcPr>
          <w:p>
            <w:r/>
          </w:p>
        </w:tc>
      </w:tr>
    </w:tbl>
    <w:p>
      <w:pPr>
        <w:spacing w:before="0" w:after="120" w:line="259" w:lineRule="auto"/>
      </w:pPr>
      <w:r>
        <w:rPr>
          <w:rFonts w:ascii="Arial" w:hAnsi="Arial"/>
          <w:color w:val="2B2B2B"/>
          <w:sz w:val="20"/>
        </w:rPr>
        <w:t>The program should approve measurable baselines before implementation and set targets after current performance is measured. This blueprint therefore defines the KPI framework without inventing unsupported numeric targets.</w:t>
      </w:r>
    </w:p>
    <w:tbl>
      <w:tblPr>
        <w:tblW w:type="auto" w:w="0"/>
        <w:jc w:val="center"/>
        <w:tblLayout w:type="fixed"/>
        <w:tblLook w:firstColumn="1" w:firstRow="1" w:lastColumn="0" w:lastRow="0" w:noHBand="0" w:noVBand="1" w:val="04A0"/>
      </w:tblPr>
      <w:tblGrid>
        <w:gridCol w:w="2232"/>
        <w:gridCol w:w="7416"/>
      </w:tblGrid>
      <w:tr>
        <w:trPr>
          <w:cantSplit/>
        </w:trPr>
        <w:tc>
          <w:tcPr>
            <w:tcW w:type="dxa" w:w="5083"/>
            <w:shd w:fill="F5A01B"/>
            <w:vAlign w:val="center"/>
          </w:tcPr>
          <w:p>
            <w:pPr>
              <w:spacing w:before="40" w:after="40" w:line="240" w:lineRule="auto"/>
              <w:jc w:val="left"/>
            </w:pPr>
            <w:r>
              <w:rPr>
                <w:rFonts w:ascii="Arial" w:hAnsi="Arial"/>
                <w:b/>
                <w:color w:val="2B2B2B"/>
                <w:sz w:val="16"/>
              </w:rPr>
              <w:t>Measure Family</w:t>
            </w:r>
          </w:p>
        </w:tc>
        <w:tc>
          <w:tcPr>
            <w:tcW w:type="dxa" w:w="5083"/>
            <w:shd w:fill="F5A01B"/>
            <w:vAlign w:val="center"/>
          </w:tcPr>
          <w:p>
            <w:pPr>
              <w:spacing w:before="40" w:after="40" w:line="240" w:lineRule="auto"/>
              <w:jc w:val="left"/>
            </w:pPr>
            <w:r>
              <w:rPr>
                <w:rFonts w:ascii="Arial" w:hAnsi="Arial"/>
                <w:b/>
                <w:color w:val="2B2B2B"/>
                <w:sz w:val="16"/>
              </w:rPr>
              <w:t>Examples</w:t>
            </w:r>
          </w:p>
        </w:tc>
      </w:tr>
      <w:tr>
        <w:trPr>
          <w:cantSplit/>
        </w:trPr>
        <w:tc>
          <w:tcPr>
            <w:tcW w:type="dxa" w:w="2232"/>
            <w:vAlign w:val="top"/>
            <w:tcBorders>
              <w:bottom w:sz="2" w:val="single" w:color="E3DED5"/>
            </w:tcBorders>
          </w:tcPr>
          <w:p>
            <w:pPr>
              <w:spacing w:before="40" w:after="40" w:line="240" w:lineRule="auto"/>
            </w:pPr>
            <w:r>
              <w:rPr>
                <w:rFonts w:ascii="Arial" w:hAnsi="Arial"/>
                <w:color w:val="2B2B2B"/>
                <w:sz w:val="16"/>
              </w:rPr>
              <w:t>Data Quality</w:t>
            </w:r>
          </w:p>
        </w:tc>
        <w:tc>
          <w:tcPr>
            <w:tcW w:type="dxa" w:w="7416"/>
            <w:vAlign w:val="top"/>
            <w:tcBorders>
              <w:bottom w:sz="2" w:val="single" w:color="E3DED5"/>
            </w:tcBorders>
          </w:tcPr>
          <w:p>
            <w:pPr>
              <w:spacing w:before="40" w:after="40" w:line="240" w:lineRule="auto"/>
            </w:pPr>
            <w:r>
              <w:rPr>
                <w:rFonts w:ascii="Arial" w:hAnsi="Arial"/>
                <w:color w:val="2B2B2B"/>
                <w:sz w:val="16"/>
              </w:rPr>
              <w:t>Employee master completeness; duplicate rate; missing/expired mandatory records; project/manager assignment completeness.</w:t>
            </w:r>
          </w:p>
        </w:tc>
      </w:tr>
      <w:tr>
        <w:trPr>
          <w:cantSplit/>
        </w:trPr>
        <w:tc>
          <w:tcPr>
            <w:tcW w:type="dxa" w:w="2232"/>
            <w:shd w:fill="FAFAF8"/>
            <w:vAlign w:val="top"/>
            <w:tcBorders>
              <w:bottom w:sz="2" w:val="single" w:color="E3DED5"/>
            </w:tcBorders>
          </w:tcPr>
          <w:p>
            <w:pPr>
              <w:spacing w:before="40" w:after="40" w:line="240" w:lineRule="auto"/>
            </w:pPr>
            <w:r>
              <w:rPr>
                <w:rFonts w:ascii="Arial" w:hAnsi="Arial"/>
                <w:color w:val="2B2B2B"/>
                <w:sz w:val="16"/>
              </w:rPr>
              <w:t>Recruitment</w:t>
            </w:r>
          </w:p>
        </w:tc>
        <w:tc>
          <w:tcPr>
            <w:tcW w:type="dxa" w:w="7416"/>
            <w:shd w:fill="FAFAF8"/>
            <w:vAlign w:val="top"/>
            <w:tcBorders>
              <w:bottom w:sz="2" w:val="single" w:color="E3DED5"/>
            </w:tcBorders>
          </w:tcPr>
          <w:p>
            <w:pPr>
              <w:spacing w:before="40" w:after="40" w:line="240" w:lineRule="auto"/>
            </w:pPr>
            <w:r>
              <w:rPr>
                <w:rFonts w:ascii="Arial" w:hAnsi="Arial"/>
                <w:color w:val="2B2B2B"/>
                <w:sz w:val="16"/>
              </w:rPr>
              <w:t>Time to shortlist; time to hire; requisition aging; offer acceptance; SLA compliance.</w:t>
            </w:r>
          </w:p>
        </w:tc>
      </w:tr>
      <w:tr>
        <w:trPr>
          <w:cantSplit/>
        </w:trPr>
        <w:tc>
          <w:tcPr>
            <w:tcW w:type="dxa" w:w="2232"/>
            <w:vAlign w:val="top"/>
            <w:tcBorders>
              <w:bottom w:sz="2" w:val="single" w:color="E3DED5"/>
            </w:tcBorders>
          </w:tcPr>
          <w:p>
            <w:pPr>
              <w:spacing w:before="40" w:after="40" w:line="240" w:lineRule="auto"/>
            </w:pPr>
            <w:r>
              <w:rPr>
                <w:rFonts w:ascii="Arial" w:hAnsi="Arial"/>
                <w:color w:val="2B2B2B"/>
                <w:sz w:val="16"/>
              </w:rPr>
              <w:t>Onboarding</w:t>
            </w:r>
          </w:p>
        </w:tc>
        <w:tc>
          <w:tcPr>
            <w:tcW w:type="dxa" w:w="7416"/>
            <w:vAlign w:val="top"/>
            <w:tcBorders>
              <w:bottom w:sz="2" w:val="single" w:color="E3DED5"/>
            </w:tcBorders>
          </w:tcPr>
          <w:p>
            <w:pPr>
              <w:spacing w:before="40" w:after="40" w:line="240" w:lineRule="auto"/>
            </w:pPr>
            <w:r>
              <w:rPr>
                <w:rFonts w:ascii="Arial" w:hAnsi="Arial"/>
                <w:color w:val="2B2B2B"/>
                <w:sz w:val="16"/>
              </w:rPr>
              <w:t>Time to activation; readiness completion; overdue tasks; first-day completeness; deployment readiness.</w:t>
            </w:r>
          </w:p>
        </w:tc>
      </w:tr>
      <w:tr>
        <w:trPr>
          <w:cantSplit/>
        </w:trPr>
        <w:tc>
          <w:tcPr>
            <w:tcW w:type="dxa" w:w="2232"/>
            <w:shd w:fill="FAFAF8"/>
            <w:vAlign w:val="top"/>
            <w:tcBorders>
              <w:bottom w:sz="2" w:val="single" w:color="E3DED5"/>
            </w:tcBorders>
          </w:tcPr>
          <w:p>
            <w:pPr>
              <w:spacing w:before="40" w:after="40" w:line="240" w:lineRule="auto"/>
            </w:pPr>
            <w:r>
              <w:rPr>
                <w:rFonts w:ascii="Arial" w:hAnsi="Arial"/>
                <w:color w:val="2B2B2B"/>
                <w:sz w:val="16"/>
              </w:rPr>
              <w:t>Attendance &amp; Leave</w:t>
            </w:r>
          </w:p>
        </w:tc>
        <w:tc>
          <w:tcPr>
            <w:tcW w:type="dxa" w:w="7416"/>
            <w:shd w:fill="FAFAF8"/>
            <w:vAlign w:val="top"/>
            <w:tcBorders>
              <w:bottom w:sz="2" w:val="single" w:color="E3DED5"/>
            </w:tcBorders>
          </w:tcPr>
          <w:p>
            <w:pPr>
              <w:spacing w:before="40" w:after="40" w:line="240" w:lineRule="auto"/>
            </w:pPr>
            <w:r>
              <w:rPr>
                <w:rFonts w:ascii="Arial" w:hAnsi="Arial"/>
                <w:color w:val="2B2B2B"/>
                <w:sz w:val="16"/>
              </w:rPr>
              <w:t>Attendance exception rate; unresolved anomalies; roster compliance; leave processing SLA; overtime approval quality.</w:t>
            </w:r>
          </w:p>
        </w:tc>
      </w:tr>
      <w:tr>
        <w:trPr>
          <w:cantSplit/>
        </w:trPr>
        <w:tc>
          <w:tcPr>
            <w:tcW w:type="dxa" w:w="2232"/>
            <w:vAlign w:val="top"/>
            <w:tcBorders>
              <w:bottom w:sz="2" w:val="single" w:color="E3DED5"/>
            </w:tcBorders>
          </w:tcPr>
          <w:p>
            <w:pPr>
              <w:spacing w:before="40" w:after="40" w:line="240" w:lineRule="auto"/>
            </w:pPr>
            <w:r>
              <w:rPr>
                <w:rFonts w:ascii="Arial" w:hAnsi="Arial"/>
                <w:color w:val="2B2B2B"/>
                <w:sz w:val="16"/>
              </w:rPr>
              <w:t>Payroll</w:t>
            </w:r>
          </w:p>
        </w:tc>
        <w:tc>
          <w:tcPr>
            <w:tcW w:type="dxa" w:w="7416"/>
            <w:vAlign w:val="top"/>
            <w:tcBorders>
              <w:bottom w:sz="2" w:val="single" w:color="E3DED5"/>
            </w:tcBorders>
          </w:tcPr>
          <w:p>
            <w:pPr>
              <w:spacing w:before="40" w:after="40" w:line="240" w:lineRule="auto"/>
            </w:pPr>
            <w:r>
              <w:rPr>
                <w:rFonts w:ascii="Arial" w:hAnsi="Arial"/>
                <w:color w:val="2B2B2B"/>
                <w:sz w:val="16"/>
              </w:rPr>
              <w:t>Payroll rework rate; late input rate; adjustment volume; calculation exceptions; payment reconciliation; project-cost allocation completeness.</w:t>
            </w:r>
          </w:p>
        </w:tc>
      </w:tr>
      <w:tr>
        <w:trPr>
          <w:cantSplit/>
        </w:trPr>
        <w:tc>
          <w:tcPr>
            <w:tcW w:type="dxa" w:w="2232"/>
            <w:shd w:fill="FAFAF8"/>
            <w:vAlign w:val="top"/>
            <w:tcBorders>
              <w:bottom w:sz="2" w:val="single" w:color="E3DED5"/>
            </w:tcBorders>
          </w:tcPr>
          <w:p>
            <w:pPr>
              <w:spacing w:before="40" w:after="40" w:line="240" w:lineRule="auto"/>
            </w:pPr>
            <w:r>
              <w:rPr>
                <w:rFonts w:ascii="Arial" w:hAnsi="Arial"/>
                <w:color w:val="2B2B2B"/>
                <w:sz w:val="16"/>
              </w:rPr>
              <w:t>Compliance</w:t>
            </w:r>
          </w:p>
        </w:tc>
        <w:tc>
          <w:tcPr>
            <w:tcW w:type="dxa" w:w="7416"/>
            <w:shd w:fill="FAFAF8"/>
            <w:vAlign w:val="top"/>
            <w:tcBorders>
              <w:bottom w:sz="2" w:val="single" w:color="E3DED5"/>
            </w:tcBorders>
          </w:tcPr>
          <w:p>
            <w:pPr>
              <w:spacing w:before="40" w:after="40" w:line="240" w:lineRule="auto"/>
            </w:pPr>
            <w:r>
              <w:rPr>
                <w:rFonts w:ascii="Arial" w:hAnsi="Arial"/>
                <w:color w:val="2B2B2B"/>
                <w:sz w:val="16"/>
              </w:rPr>
              <w:t>Contract/certification/insurance expiry exposure; overdue renewals; unresolved access on leavers; audit findings.</w:t>
            </w:r>
          </w:p>
        </w:tc>
      </w:tr>
      <w:tr>
        <w:trPr>
          <w:cantSplit/>
        </w:trPr>
        <w:tc>
          <w:tcPr>
            <w:tcW w:type="dxa" w:w="2232"/>
            <w:vAlign w:val="top"/>
            <w:tcBorders>
              <w:bottom w:sz="2" w:val="single" w:color="E3DED5"/>
            </w:tcBorders>
          </w:tcPr>
          <w:p>
            <w:pPr>
              <w:spacing w:before="40" w:after="40" w:line="240" w:lineRule="auto"/>
            </w:pPr>
            <w:r>
              <w:rPr>
                <w:rFonts w:ascii="Arial" w:hAnsi="Arial"/>
                <w:color w:val="2B2B2B"/>
                <w:sz w:val="16"/>
              </w:rPr>
              <w:t>Employee Service</w:t>
            </w:r>
          </w:p>
        </w:tc>
        <w:tc>
          <w:tcPr>
            <w:tcW w:type="dxa" w:w="7416"/>
            <w:vAlign w:val="top"/>
            <w:tcBorders>
              <w:bottom w:sz="2" w:val="single" w:color="E3DED5"/>
            </w:tcBorders>
          </w:tcPr>
          <w:p>
            <w:pPr>
              <w:spacing w:before="40" w:after="40" w:line="240" w:lineRule="auto"/>
            </w:pPr>
            <w:r>
              <w:rPr>
                <w:rFonts w:ascii="Arial" w:hAnsi="Arial"/>
                <w:color w:val="2B2B2B"/>
                <w:sz w:val="16"/>
              </w:rPr>
              <w:t>Request volume, SLA achievement, backlog, first-contact resolution and employee satisfaction where measured.</w:t>
            </w:r>
          </w:p>
        </w:tc>
      </w:tr>
      <w:tr>
        <w:trPr>
          <w:cantSplit/>
        </w:trPr>
        <w:tc>
          <w:tcPr>
            <w:tcW w:type="dxa" w:w="2232"/>
            <w:shd w:fill="FAFAF8"/>
            <w:vAlign w:val="top"/>
            <w:tcBorders>
              <w:bottom w:sz="2" w:val="single" w:color="E3DED5"/>
            </w:tcBorders>
          </w:tcPr>
          <w:p>
            <w:pPr>
              <w:spacing w:before="40" w:after="40" w:line="240" w:lineRule="auto"/>
            </w:pPr>
            <w:r>
              <w:rPr>
                <w:rFonts w:ascii="Arial" w:hAnsi="Arial"/>
                <w:color w:val="2B2B2B"/>
                <w:sz w:val="16"/>
              </w:rPr>
              <w:t>Talent &amp; Performance</w:t>
            </w:r>
          </w:p>
        </w:tc>
        <w:tc>
          <w:tcPr>
            <w:tcW w:type="dxa" w:w="7416"/>
            <w:shd w:fill="FAFAF8"/>
            <w:vAlign w:val="top"/>
            <w:tcBorders>
              <w:bottom w:sz="2" w:val="single" w:color="E3DED5"/>
            </w:tcBorders>
          </w:tcPr>
          <w:p>
            <w:pPr>
              <w:spacing w:before="40" w:after="40" w:line="240" w:lineRule="auto"/>
            </w:pPr>
            <w:r>
              <w:rPr>
                <w:rFonts w:ascii="Arial" w:hAnsi="Arial"/>
                <w:color w:val="2B2B2B"/>
                <w:sz w:val="16"/>
              </w:rPr>
              <w:t>Review completion; objective coverage; skill gaps; certification readiness; internal mobility and succession readiness.</w:t>
            </w:r>
          </w:p>
        </w:tc>
      </w:tr>
      <w:tr>
        <w:trPr>
          <w:cantSplit/>
        </w:trPr>
        <w:tc>
          <w:tcPr>
            <w:tcW w:type="dxa" w:w="2232"/>
            <w:vAlign w:val="top"/>
            <w:tcBorders>
              <w:bottom w:sz="2" w:val="single" w:color="E3DED5"/>
            </w:tcBorders>
          </w:tcPr>
          <w:p>
            <w:pPr>
              <w:spacing w:before="40" w:after="40" w:line="240" w:lineRule="auto"/>
            </w:pPr>
            <w:r>
              <w:rPr>
                <w:rFonts w:ascii="Arial" w:hAnsi="Arial"/>
                <w:color w:val="2B2B2B"/>
                <w:sz w:val="16"/>
              </w:rPr>
              <w:t>Adoption</w:t>
            </w:r>
          </w:p>
        </w:tc>
        <w:tc>
          <w:tcPr>
            <w:tcW w:type="dxa" w:w="7416"/>
            <w:vAlign w:val="top"/>
            <w:tcBorders>
              <w:bottom w:sz="2" w:val="single" w:color="E3DED5"/>
            </w:tcBorders>
          </w:tcPr>
          <w:p>
            <w:pPr>
              <w:spacing w:before="40" w:after="40" w:line="240" w:lineRule="auto"/>
            </w:pPr>
            <w:r>
              <w:rPr>
                <w:rFonts w:ascii="Arial" w:hAnsi="Arial"/>
                <w:color w:val="2B2B2B"/>
                <w:sz w:val="16"/>
              </w:rPr>
              <w:t>Active users by role; self-service completion; manager approval usage; mobile-field usage; manual bypass/exception volume.</w:t>
            </w:r>
          </w:p>
        </w:tc>
      </w:tr>
      <w:tr>
        <w:trPr>
          <w:cantSplit/>
        </w:trPr>
        <w:tc>
          <w:tcPr>
            <w:tcW w:type="dxa" w:w="2232"/>
            <w:shd w:fill="FAFAF8"/>
            <w:vAlign w:val="top"/>
            <w:tcBorders>
              <w:bottom w:sz="2" w:val="single" w:color="E3DED5"/>
            </w:tcBorders>
          </w:tcPr>
          <w:p>
            <w:pPr>
              <w:spacing w:before="40" w:after="40" w:line="240" w:lineRule="auto"/>
            </w:pPr>
            <w:r>
              <w:rPr>
                <w:rFonts w:ascii="Arial" w:hAnsi="Arial"/>
                <w:color w:val="2B2B2B"/>
                <w:sz w:val="16"/>
              </w:rPr>
              <w:t>Platform</w:t>
            </w:r>
          </w:p>
        </w:tc>
        <w:tc>
          <w:tcPr>
            <w:tcW w:type="dxa" w:w="7416"/>
            <w:shd w:fill="FAFAF8"/>
            <w:vAlign w:val="top"/>
            <w:tcBorders>
              <w:bottom w:sz="2" w:val="single" w:color="E3DED5"/>
            </w:tcBorders>
          </w:tcPr>
          <w:p>
            <w:pPr>
              <w:spacing w:before="40" w:after="40" w:line="240" w:lineRule="auto"/>
            </w:pPr>
            <w:r>
              <w:rPr>
                <w:rFonts w:ascii="Arial" w:hAnsi="Arial"/>
                <w:color w:val="2B2B2B"/>
                <w:sz w:val="16"/>
              </w:rPr>
              <w:t>Availability, response time, integration success, security events, backup/restore tests and critical error rates.</w:t>
            </w:r>
          </w:p>
        </w:tc>
      </w:tr>
      <w:tr>
        <w:trPr>
          <w:cantSplit/>
        </w:trPr>
        <w:tc>
          <w:tcPr>
            <w:tcW w:type="dxa" w:w="2232"/>
            <w:vAlign w:val="top"/>
            <w:tcBorders>
              <w:bottom w:sz="2" w:val="single" w:color="E3DED5"/>
            </w:tcBorders>
          </w:tcPr>
          <w:p>
            <w:pPr>
              <w:spacing w:before="40" w:after="40" w:line="240" w:lineRule="auto"/>
            </w:pPr>
            <w:r>
              <w:rPr>
                <w:rFonts w:ascii="Arial" w:hAnsi="Arial"/>
                <w:color w:val="2B2B2B"/>
                <w:sz w:val="16"/>
              </w:rPr>
              <w:t>AI</w:t>
            </w:r>
          </w:p>
        </w:tc>
        <w:tc>
          <w:tcPr>
            <w:tcW w:type="dxa" w:w="7416"/>
            <w:vAlign w:val="top"/>
            <w:tcBorders>
              <w:bottom w:sz="2" w:val="single" w:color="E3DED5"/>
            </w:tcBorders>
          </w:tcPr>
          <w:p>
            <w:pPr>
              <w:spacing w:before="40" w:after="40" w:line="240" w:lineRule="auto"/>
            </w:pPr>
            <w:r>
              <w:rPr>
                <w:rFonts w:ascii="Arial" w:hAnsi="Arial"/>
                <w:color w:val="2B2B2B"/>
                <w:sz w:val="16"/>
              </w:rPr>
              <w:t>AI-assisted task adoption, recommendation acceptance, override rate, evaluation score, cost per use case and AI-related control exceptions.</w:t>
            </w:r>
          </w:p>
        </w:tc>
      </w:tr>
    </w:tbl>
    <w:p>
      <w:pPr>
        <w:pStyle w:val="Heading2"/>
        <w:keepNext/>
        <w:keepLines/>
        <w:spacing w:before="160" w:after="80" w:line="240" w:lineRule="auto"/>
      </w:pPr>
      <w:r>
        <w:rPr>
          <w:rFonts w:ascii="Arial" w:hAnsi="Arial"/>
          <w:b/>
          <w:color w:val="F5A01B"/>
          <w:sz w:val="28"/>
        </w:rPr>
        <w:t>Governance Cadence</w:t>
      </w:r>
    </w:p>
    <w:p>
      <w:pPr>
        <w:pStyle w:val="ListBullet"/>
        <w:spacing w:before="0" w:after="60" w:line="252" w:lineRule="auto"/>
        <w:ind w:left="317" w:hanging="173"/>
      </w:pPr>
      <w:r>
        <w:rPr>
          <w:rFonts w:ascii="Arial" w:hAnsi="Arial"/>
          <w:color w:val="2B2B2B"/>
          <w:sz w:val="20"/>
        </w:rPr>
        <w:t>Business Design Authority: owns scope, policy decisions, process conflicts and business-rule approvals.</w:t>
      </w:r>
    </w:p>
    <w:p>
      <w:pPr>
        <w:pStyle w:val="ListBullet"/>
        <w:spacing w:before="0" w:after="60" w:line="252" w:lineRule="auto"/>
        <w:ind w:left="317" w:hanging="173"/>
      </w:pPr>
      <w:r>
        <w:rPr>
          <w:rFonts w:ascii="Arial" w:hAnsi="Arial"/>
          <w:color w:val="2B2B2B"/>
          <w:sz w:val="20"/>
        </w:rPr>
        <w:t>Data Governance: owns master-data definitions, data owners, quality rules and reconciliation issues.</w:t>
      </w:r>
    </w:p>
    <w:p>
      <w:pPr>
        <w:pStyle w:val="ListBullet"/>
        <w:spacing w:before="0" w:after="60" w:line="252" w:lineRule="auto"/>
        <w:ind w:left="317" w:hanging="173"/>
      </w:pPr>
      <w:r>
        <w:rPr>
          <w:rFonts w:ascii="Arial" w:hAnsi="Arial"/>
          <w:color w:val="2B2B2B"/>
          <w:sz w:val="20"/>
        </w:rPr>
        <w:t>Security &amp; Privacy Review: owns access model, sensitive-data handling, audit and AI permissions.</w:t>
      </w:r>
    </w:p>
    <w:p>
      <w:pPr>
        <w:pStyle w:val="ListBullet"/>
        <w:spacing w:before="0" w:after="60" w:line="252" w:lineRule="auto"/>
        <w:ind w:left="317" w:hanging="173"/>
      </w:pPr>
      <w:r>
        <w:rPr>
          <w:rFonts w:ascii="Arial" w:hAnsi="Arial"/>
          <w:color w:val="2B2B2B"/>
          <w:sz w:val="20"/>
        </w:rPr>
        <w:t>Release Governance: owns MVP/release entry criteria, change control, UAT readiness and production approval.</w:t>
      </w:r>
    </w:p>
    <w:p>
      <w:pPr>
        <w:pStyle w:val="ListBullet"/>
        <w:spacing w:before="0" w:after="60" w:line="252" w:lineRule="auto"/>
        <w:ind w:left="317" w:hanging="173"/>
      </w:pPr>
      <w:r>
        <w:rPr>
          <w:rFonts w:ascii="Arial" w:hAnsi="Arial"/>
          <w:color w:val="2B2B2B"/>
          <w:sz w:val="20"/>
        </w:rPr>
        <w:t>Post-Go-Live Control: reviews service levels, payroll accuracy, integration health, adoption and unresolved control exceptions.</w:t>
      </w:r>
    </w:p>
    <w:p>
      <w:r>
        <w:br w:type="page"/>
      </w:r>
    </w:p>
    <w:p>
      <w:pPr>
        <w:pStyle w:val="Heading1"/>
        <w:keepNext/>
        <w:keepLines/>
        <w:spacing w:before="0" w:after="100" w:line="240" w:lineRule="auto"/>
      </w:pPr>
      <w:r>
        <w:rPr>
          <w:rFonts w:ascii="Arial" w:hAnsi="Arial"/>
          <w:b/>
          <w:color w:val="2B2B2B"/>
          <w:sz w:val="44"/>
        </w:rPr>
        <w:t>14. Assumptions, Constraints &amp; Key Risks</w:t>
      </w:r>
    </w:p>
    <w:tbl>
      <w:tblPr>
        <w:tblW w:type="auto" w:w="0"/>
        <w:jc w:val="left"/>
        <w:tblLayout w:type="fixed"/>
        <w:tblLook w:firstColumn="1" w:firstRow="1" w:lastColumn="0" w:lastRow="0" w:noHBand="0" w:noVBand="1" w:val="04A0"/>
      </w:tblPr>
      <w:tblGrid>
        <w:gridCol w:w="9648"/>
      </w:tblGrid>
      <w:tr>
        <w:trPr>
          <w:cantSplit/>
        </w:trPr>
        <w:tc>
          <w:tcPr>
            <w:tcW w:type="dxa" w:w="10166"/>
            <w:shd w:fill="F5A01B"/>
          </w:tcPr>
          <w:p>
            <w:r/>
          </w:p>
        </w:tc>
      </w:tr>
    </w:tbl>
    <w:p>
      <w:pPr>
        <w:pStyle w:val="Heading2"/>
        <w:keepNext/>
        <w:keepLines/>
        <w:spacing w:before="160" w:after="80" w:line="240" w:lineRule="auto"/>
      </w:pPr>
      <w:r>
        <w:rPr>
          <w:rFonts w:ascii="Arial" w:hAnsi="Arial"/>
          <w:b/>
          <w:color w:val="F5A01B"/>
          <w:sz w:val="28"/>
        </w:rPr>
        <w:t>Known Assumptions / Open Inputs</w:t>
      </w:r>
    </w:p>
    <w:p>
      <w:pPr>
        <w:pStyle w:val="ListBullet"/>
        <w:spacing w:before="0" w:after="60" w:line="252" w:lineRule="auto"/>
        <w:ind w:left="317" w:hanging="173"/>
      </w:pPr>
      <w:r>
        <w:rPr>
          <w:rFonts w:ascii="Arial" w:hAnsi="Arial"/>
          <w:color w:val="2B2B2B"/>
          <w:sz w:val="20"/>
        </w:rPr>
        <w:t>The current Operations Manual is a strong process foundation but is not a complete software requirements specification for all 20 modules.</w:t>
      </w:r>
    </w:p>
    <w:p>
      <w:pPr>
        <w:pStyle w:val="ListBullet"/>
        <w:spacing w:before="0" w:after="60" w:line="252" w:lineRule="auto"/>
        <w:ind w:left="317" w:hanging="173"/>
      </w:pPr>
      <w:r>
        <w:rPr>
          <w:rFonts w:ascii="Arial" w:hAnsi="Arial"/>
          <w:color w:val="2B2B2B"/>
          <w:sz w:val="20"/>
        </w:rPr>
        <w:t>Detailed Egyptian labor, tax, social-insurance and payroll calculation rules require formal legal/finance validation before production configuration.</w:t>
      </w:r>
    </w:p>
    <w:p>
      <w:pPr>
        <w:pStyle w:val="ListBullet"/>
        <w:spacing w:before="0" w:after="60" w:line="252" w:lineRule="auto"/>
        <w:ind w:left="317" w:hanging="173"/>
      </w:pPr>
      <w:r>
        <w:rPr>
          <w:rFonts w:ascii="Arial" w:hAnsi="Arial"/>
          <w:color w:val="2B2B2B"/>
          <w:sz w:val="20"/>
        </w:rPr>
        <w:t>External system interface specifications, API capabilities and ownership contacts are not yet fully defined in the source documents.</w:t>
      </w:r>
    </w:p>
    <w:p>
      <w:pPr>
        <w:pStyle w:val="ListBullet"/>
        <w:spacing w:before="0" w:after="60" w:line="252" w:lineRule="auto"/>
        <w:ind w:left="317" w:hanging="173"/>
      </w:pPr>
      <w:r>
        <w:rPr>
          <w:rFonts w:ascii="Arial" w:hAnsi="Arial"/>
          <w:color w:val="2B2B2B"/>
          <w:sz w:val="20"/>
        </w:rPr>
        <w:t>Historical employee, attendance, payroll, document and project-assignment data quality must be profiled before migration design is finalized.</w:t>
      </w:r>
    </w:p>
    <w:p>
      <w:pPr>
        <w:pStyle w:val="ListBullet"/>
        <w:spacing w:before="0" w:after="60" w:line="252" w:lineRule="auto"/>
        <w:ind w:left="317" w:hanging="173"/>
      </w:pPr>
      <w:r>
        <w:rPr>
          <w:rFonts w:ascii="Arial" w:hAnsi="Arial"/>
          <w:color w:val="2B2B2B"/>
          <w:sz w:val="20"/>
        </w:rPr>
        <w:t>Attendance devices and customer/project platforms may vary by project and could require more than one integration method.</w:t>
      </w:r>
    </w:p>
    <w:p>
      <w:pPr>
        <w:pStyle w:val="ListBullet"/>
        <w:spacing w:before="0" w:after="60" w:line="252" w:lineRule="auto"/>
        <w:ind w:left="317" w:hanging="173"/>
      </w:pPr>
      <w:r>
        <w:rPr>
          <w:rFonts w:ascii="Arial" w:hAnsi="Arial"/>
          <w:color w:val="2B2B2B"/>
          <w:sz w:val="20"/>
        </w:rPr>
        <w:t>Final approval authorities, delegation rules and monetary thresholds must be approved in the detailed workflow/RBAC specifications.</w:t>
      </w:r>
    </w:p>
    <w:p>
      <w:pPr>
        <w:pStyle w:val="ListBullet"/>
        <w:spacing w:before="0" w:after="60" w:line="252" w:lineRule="auto"/>
        <w:ind w:left="317" w:hanging="173"/>
      </w:pPr>
      <w:r>
        <w:rPr>
          <w:rFonts w:ascii="Arial" w:hAnsi="Arial"/>
          <w:color w:val="2B2B2B"/>
          <w:sz w:val="20"/>
        </w:rPr>
        <w:t>Offline mobile behavior for field users should be confirmed based on actual site connectivity and operational risk.</w:t>
      </w:r>
    </w:p>
    <w:p>
      <w:pPr>
        <w:pStyle w:val="Heading2"/>
        <w:keepNext/>
        <w:keepLines/>
        <w:spacing w:before="160" w:after="80" w:line="240" w:lineRule="auto"/>
      </w:pPr>
      <w:r>
        <w:rPr>
          <w:rFonts w:ascii="Arial" w:hAnsi="Arial"/>
          <w:b/>
          <w:color w:val="F5A01B"/>
          <w:sz w:val="28"/>
        </w:rPr>
        <w:t>Key Program Risks</w:t>
      </w:r>
    </w:p>
    <w:tbl>
      <w:tblPr>
        <w:tblW w:type="auto" w:w="0"/>
        <w:jc w:val="center"/>
        <w:tblLayout w:type="fixed"/>
        <w:tblLook w:firstColumn="1" w:firstRow="1" w:lastColumn="0" w:lastRow="0" w:noHBand="0" w:noVBand="1" w:val="04A0"/>
      </w:tblPr>
      <w:tblGrid>
        <w:gridCol w:w="1728"/>
        <w:gridCol w:w="3456"/>
        <w:gridCol w:w="4464"/>
      </w:tblGrid>
      <w:tr>
        <w:trPr>
          <w:cantSplit/>
        </w:trPr>
        <w:tc>
          <w:tcPr>
            <w:tcW w:type="dxa" w:w="3389"/>
            <w:shd w:fill="F5A01B"/>
            <w:vAlign w:val="center"/>
          </w:tcPr>
          <w:p>
            <w:pPr>
              <w:spacing w:before="40" w:after="40" w:line="240" w:lineRule="auto"/>
              <w:jc w:val="left"/>
            </w:pPr>
            <w:r>
              <w:rPr>
                <w:rFonts w:ascii="Arial" w:hAnsi="Arial"/>
                <w:b/>
                <w:color w:val="2B2B2B"/>
                <w:sz w:val="16"/>
              </w:rPr>
              <w:t>Risk</w:t>
            </w:r>
          </w:p>
        </w:tc>
        <w:tc>
          <w:tcPr>
            <w:tcW w:type="dxa" w:w="3389"/>
            <w:shd w:fill="F5A01B"/>
            <w:vAlign w:val="center"/>
          </w:tcPr>
          <w:p>
            <w:pPr>
              <w:spacing w:before="40" w:after="40" w:line="240" w:lineRule="auto"/>
              <w:jc w:val="left"/>
            </w:pPr>
            <w:r>
              <w:rPr>
                <w:rFonts w:ascii="Arial" w:hAnsi="Arial"/>
                <w:b/>
                <w:color w:val="2B2B2B"/>
                <w:sz w:val="16"/>
              </w:rPr>
              <w:t>Impact</w:t>
            </w:r>
          </w:p>
        </w:tc>
        <w:tc>
          <w:tcPr>
            <w:tcW w:type="dxa" w:w="3389"/>
            <w:shd w:fill="F5A01B"/>
            <w:vAlign w:val="center"/>
          </w:tcPr>
          <w:p>
            <w:pPr>
              <w:spacing w:before="40" w:after="40" w:line="240" w:lineRule="auto"/>
              <w:jc w:val="left"/>
            </w:pPr>
            <w:r>
              <w:rPr>
                <w:rFonts w:ascii="Arial" w:hAnsi="Arial"/>
                <w:b/>
                <w:color w:val="2B2B2B"/>
                <w:sz w:val="16"/>
              </w:rPr>
              <w:t>Primary Control</w:t>
            </w:r>
          </w:p>
        </w:tc>
      </w:tr>
      <w:tr>
        <w:trPr>
          <w:cantSplit/>
        </w:trPr>
        <w:tc>
          <w:tcPr>
            <w:tcW w:type="dxa" w:w="1728"/>
            <w:vAlign w:val="top"/>
            <w:tcBorders>
              <w:bottom w:sz="2" w:val="single" w:color="E3DED5"/>
            </w:tcBorders>
          </w:tcPr>
          <w:p>
            <w:pPr>
              <w:spacing w:before="40" w:after="40" w:line="240" w:lineRule="auto"/>
            </w:pPr>
            <w:r>
              <w:rPr>
                <w:rFonts w:ascii="Arial" w:hAnsi="Arial"/>
                <w:color w:val="2B2B2B"/>
                <w:sz w:val="16"/>
              </w:rPr>
              <w:t>Scope growth</w:t>
            </w:r>
          </w:p>
        </w:tc>
        <w:tc>
          <w:tcPr>
            <w:tcW w:type="dxa" w:w="3456"/>
            <w:vAlign w:val="top"/>
            <w:tcBorders>
              <w:bottom w:sz="2" w:val="single" w:color="E3DED5"/>
            </w:tcBorders>
          </w:tcPr>
          <w:p>
            <w:pPr>
              <w:spacing w:before="40" w:after="40" w:line="240" w:lineRule="auto"/>
            </w:pPr>
            <w:r>
              <w:rPr>
                <w:rFonts w:ascii="Arial" w:hAnsi="Arial"/>
                <w:color w:val="2B2B2B"/>
                <w:sz w:val="16"/>
              </w:rPr>
              <w:t>Twenty modules plus platform capabilities can exceed an MVP if release boundaries are not enforced.</w:t>
            </w:r>
          </w:p>
        </w:tc>
        <w:tc>
          <w:tcPr>
            <w:tcW w:type="dxa" w:w="4464"/>
            <w:vAlign w:val="top"/>
            <w:tcBorders>
              <w:bottom w:sz="2" w:val="single" w:color="E3DED5"/>
            </w:tcBorders>
          </w:tcPr>
          <w:p>
            <w:pPr>
              <w:spacing w:before="40" w:after="40" w:line="240" w:lineRule="auto"/>
            </w:pPr>
            <w:r>
              <w:rPr>
                <w:rFonts w:ascii="Arial" w:hAnsi="Arial"/>
                <w:color w:val="2B2B2B"/>
                <w:sz w:val="16"/>
              </w:rPr>
              <w:t>Approve capability priorities and explicit “not in release” lists.</w:t>
            </w:r>
          </w:p>
        </w:tc>
      </w:tr>
      <w:tr>
        <w:trPr>
          <w:cantSplit/>
        </w:trPr>
        <w:tc>
          <w:tcPr>
            <w:tcW w:type="dxa" w:w="1728"/>
            <w:shd w:fill="FAFAF8"/>
            <w:vAlign w:val="top"/>
            <w:tcBorders>
              <w:bottom w:sz="2" w:val="single" w:color="E3DED5"/>
            </w:tcBorders>
          </w:tcPr>
          <w:p>
            <w:pPr>
              <w:spacing w:before="40" w:after="40" w:line="240" w:lineRule="auto"/>
            </w:pPr>
            <w:r>
              <w:rPr>
                <w:rFonts w:ascii="Arial" w:hAnsi="Arial"/>
                <w:color w:val="2B2B2B"/>
                <w:sz w:val="16"/>
              </w:rPr>
              <w:t>Payroll risk</w:t>
            </w:r>
          </w:p>
        </w:tc>
        <w:tc>
          <w:tcPr>
            <w:tcW w:type="dxa" w:w="3456"/>
            <w:shd w:fill="FAFAF8"/>
            <w:vAlign w:val="top"/>
            <w:tcBorders>
              <w:bottom w:sz="2" w:val="single" w:color="E3DED5"/>
            </w:tcBorders>
          </w:tcPr>
          <w:p>
            <w:pPr>
              <w:spacing w:before="40" w:after="40" w:line="240" w:lineRule="auto"/>
            </w:pPr>
            <w:r>
              <w:rPr>
                <w:rFonts w:ascii="Arial" w:hAnsi="Arial"/>
                <w:color w:val="2B2B2B"/>
                <w:sz w:val="16"/>
              </w:rPr>
              <w:t>Incorrect rules or late source data can create direct employee and financial impact.</w:t>
            </w:r>
          </w:p>
        </w:tc>
        <w:tc>
          <w:tcPr>
            <w:tcW w:type="dxa" w:w="4464"/>
            <w:shd w:fill="FAFAF8"/>
            <w:vAlign w:val="top"/>
            <w:tcBorders>
              <w:bottom w:sz="2" w:val="single" w:color="E3DED5"/>
            </w:tcBorders>
          </w:tcPr>
          <w:p>
            <w:pPr>
              <w:spacing w:before="40" w:after="40" w:line="240" w:lineRule="auto"/>
            </w:pPr>
            <w:r>
              <w:rPr>
                <w:rFonts w:ascii="Arial" w:hAnsi="Arial"/>
                <w:color w:val="2B2B2B"/>
                <w:sz w:val="16"/>
              </w:rPr>
              <w:t>Parallel run, locked inputs, maker-checker controls, reconciliation and UAT with real scenarios.</w:t>
            </w:r>
          </w:p>
        </w:tc>
      </w:tr>
      <w:tr>
        <w:trPr>
          <w:cantSplit/>
        </w:trPr>
        <w:tc>
          <w:tcPr>
            <w:tcW w:type="dxa" w:w="1728"/>
            <w:vAlign w:val="top"/>
            <w:tcBorders>
              <w:bottom w:sz="2" w:val="single" w:color="E3DED5"/>
            </w:tcBorders>
          </w:tcPr>
          <w:p>
            <w:pPr>
              <w:spacing w:before="40" w:after="40" w:line="240" w:lineRule="auto"/>
            </w:pPr>
            <w:r>
              <w:rPr>
                <w:rFonts w:ascii="Arial" w:hAnsi="Arial"/>
                <w:color w:val="2B2B2B"/>
                <w:sz w:val="16"/>
              </w:rPr>
              <w:t>Data migration</w:t>
            </w:r>
          </w:p>
        </w:tc>
        <w:tc>
          <w:tcPr>
            <w:tcW w:type="dxa" w:w="3456"/>
            <w:vAlign w:val="top"/>
            <w:tcBorders>
              <w:bottom w:sz="2" w:val="single" w:color="E3DED5"/>
            </w:tcBorders>
          </w:tcPr>
          <w:p>
            <w:pPr>
              <w:spacing w:before="40" w:after="40" w:line="240" w:lineRule="auto"/>
            </w:pPr>
            <w:r>
              <w:rPr>
                <w:rFonts w:ascii="Arial" w:hAnsi="Arial"/>
                <w:color w:val="2B2B2B"/>
                <w:sz w:val="16"/>
              </w:rPr>
              <w:t>Inconsistent employee/project/document history can undermine trust.</w:t>
            </w:r>
          </w:p>
        </w:tc>
        <w:tc>
          <w:tcPr>
            <w:tcW w:type="dxa" w:w="4464"/>
            <w:vAlign w:val="top"/>
            <w:tcBorders>
              <w:bottom w:sz="2" w:val="single" w:color="E3DED5"/>
            </w:tcBorders>
          </w:tcPr>
          <w:p>
            <w:pPr>
              <w:spacing w:before="40" w:after="40" w:line="240" w:lineRule="auto"/>
            </w:pPr>
            <w:r>
              <w:rPr>
                <w:rFonts w:ascii="Arial" w:hAnsi="Arial"/>
                <w:color w:val="2B2B2B"/>
                <w:sz w:val="16"/>
              </w:rPr>
              <w:t>Profile, cleanse, reconcile and sign off migration by domain.</w:t>
            </w:r>
          </w:p>
        </w:tc>
      </w:tr>
      <w:tr>
        <w:trPr>
          <w:cantSplit/>
        </w:trPr>
        <w:tc>
          <w:tcPr>
            <w:tcW w:type="dxa" w:w="1728"/>
            <w:shd w:fill="FAFAF8"/>
            <w:vAlign w:val="top"/>
            <w:tcBorders>
              <w:bottom w:sz="2" w:val="single" w:color="E3DED5"/>
            </w:tcBorders>
          </w:tcPr>
          <w:p>
            <w:pPr>
              <w:spacing w:before="40" w:after="40" w:line="240" w:lineRule="auto"/>
            </w:pPr>
            <w:r>
              <w:rPr>
                <w:rFonts w:ascii="Arial" w:hAnsi="Arial"/>
                <w:color w:val="2B2B2B"/>
                <w:sz w:val="16"/>
              </w:rPr>
              <w:t>Integration delay</w:t>
            </w:r>
          </w:p>
        </w:tc>
        <w:tc>
          <w:tcPr>
            <w:tcW w:type="dxa" w:w="3456"/>
            <w:shd w:fill="FAFAF8"/>
            <w:vAlign w:val="top"/>
            <w:tcBorders>
              <w:bottom w:sz="2" w:val="single" w:color="E3DED5"/>
            </w:tcBorders>
          </w:tcPr>
          <w:p>
            <w:pPr>
              <w:spacing w:before="40" w:after="40" w:line="240" w:lineRule="auto"/>
            </w:pPr>
            <w:r>
              <w:rPr>
                <w:rFonts w:ascii="Arial" w:hAnsi="Arial"/>
                <w:color w:val="2B2B2B"/>
                <w:sz w:val="16"/>
              </w:rPr>
              <w:t>Dependencies on ERP, devices, banks or identity can block end-to-end workflows.</w:t>
            </w:r>
          </w:p>
        </w:tc>
        <w:tc>
          <w:tcPr>
            <w:tcW w:type="dxa" w:w="4464"/>
            <w:shd w:fill="FAFAF8"/>
            <w:vAlign w:val="top"/>
            <w:tcBorders>
              <w:bottom w:sz="2" w:val="single" w:color="E3DED5"/>
            </w:tcBorders>
          </w:tcPr>
          <w:p>
            <w:pPr>
              <w:spacing w:before="40" w:after="40" w:line="240" w:lineRule="auto"/>
            </w:pPr>
            <w:r>
              <w:rPr>
                <w:rFonts w:ascii="Arial" w:hAnsi="Arial"/>
                <w:color w:val="2B2B2B"/>
                <w:sz w:val="16"/>
              </w:rPr>
              <w:t>Interface contracts and fallback operating procedures must be defined early.</w:t>
            </w:r>
          </w:p>
        </w:tc>
      </w:tr>
      <w:tr>
        <w:trPr>
          <w:cantSplit/>
        </w:trPr>
        <w:tc>
          <w:tcPr>
            <w:tcW w:type="dxa" w:w="1728"/>
            <w:vAlign w:val="top"/>
            <w:tcBorders>
              <w:bottom w:sz="2" w:val="single" w:color="E3DED5"/>
            </w:tcBorders>
          </w:tcPr>
          <w:p>
            <w:pPr>
              <w:spacing w:before="40" w:after="40" w:line="240" w:lineRule="auto"/>
            </w:pPr>
            <w:r>
              <w:rPr>
                <w:rFonts w:ascii="Arial" w:hAnsi="Arial"/>
                <w:color w:val="2B2B2B"/>
                <w:sz w:val="16"/>
              </w:rPr>
              <w:t>Access/privacy</w:t>
            </w:r>
          </w:p>
        </w:tc>
        <w:tc>
          <w:tcPr>
            <w:tcW w:type="dxa" w:w="3456"/>
            <w:vAlign w:val="top"/>
            <w:tcBorders>
              <w:bottom w:sz="2" w:val="single" w:color="E3DED5"/>
            </w:tcBorders>
          </w:tcPr>
          <w:p>
            <w:pPr>
              <w:spacing w:before="40" w:after="40" w:line="240" w:lineRule="auto"/>
            </w:pPr>
            <w:r>
              <w:rPr>
                <w:rFonts w:ascii="Arial" w:hAnsi="Arial"/>
                <w:color w:val="2B2B2B"/>
                <w:sz w:val="16"/>
              </w:rPr>
              <w:t>Over-broad permissions can expose salary, disciplinary or personal data.</w:t>
            </w:r>
          </w:p>
        </w:tc>
        <w:tc>
          <w:tcPr>
            <w:tcW w:type="dxa" w:w="4464"/>
            <w:vAlign w:val="top"/>
            <w:tcBorders>
              <w:bottom w:sz="2" w:val="single" w:color="E3DED5"/>
            </w:tcBorders>
          </w:tcPr>
          <w:p>
            <w:pPr>
              <w:spacing w:before="40" w:after="40" w:line="240" w:lineRule="auto"/>
            </w:pPr>
            <w:r>
              <w:rPr>
                <w:rFonts w:ascii="Arial" w:hAnsi="Arial"/>
                <w:color w:val="2B2B2B"/>
                <w:sz w:val="16"/>
              </w:rPr>
              <w:t>Field-level sensitivity, scoped RBAC, access reviews and audit.</w:t>
            </w:r>
          </w:p>
        </w:tc>
      </w:tr>
      <w:tr>
        <w:trPr>
          <w:cantSplit/>
        </w:trPr>
        <w:tc>
          <w:tcPr>
            <w:tcW w:type="dxa" w:w="1728"/>
            <w:shd w:fill="FAFAF8"/>
            <w:vAlign w:val="top"/>
            <w:tcBorders>
              <w:bottom w:sz="2" w:val="single" w:color="E3DED5"/>
            </w:tcBorders>
          </w:tcPr>
          <w:p>
            <w:pPr>
              <w:spacing w:before="40" w:after="40" w:line="240" w:lineRule="auto"/>
            </w:pPr>
            <w:r>
              <w:rPr>
                <w:rFonts w:ascii="Arial" w:hAnsi="Arial"/>
                <w:color w:val="2B2B2B"/>
                <w:sz w:val="16"/>
              </w:rPr>
              <w:t>Adoption</w:t>
            </w:r>
          </w:p>
        </w:tc>
        <w:tc>
          <w:tcPr>
            <w:tcW w:type="dxa" w:w="3456"/>
            <w:shd w:fill="FAFAF8"/>
            <w:vAlign w:val="top"/>
            <w:tcBorders>
              <w:bottom w:sz="2" w:val="single" w:color="E3DED5"/>
            </w:tcBorders>
          </w:tcPr>
          <w:p>
            <w:pPr>
              <w:spacing w:before="40" w:after="40" w:line="240" w:lineRule="auto"/>
            </w:pPr>
            <w:r>
              <w:rPr>
                <w:rFonts w:ascii="Arial" w:hAnsi="Arial"/>
                <w:color w:val="2B2B2B"/>
                <w:sz w:val="16"/>
              </w:rPr>
              <w:t>Managers may continue using email/spreadsheets if the system adds friction.</w:t>
            </w:r>
          </w:p>
        </w:tc>
        <w:tc>
          <w:tcPr>
            <w:tcW w:type="dxa" w:w="4464"/>
            <w:shd w:fill="FAFAF8"/>
            <w:vAlign w:val="top"/>
            <w:tcBorders>
              <w:bottom w:sz="2" w:val="single" w:color="E3DED5"/>
            </w:tcBorders>
          </w:tcPr>
          <w:p>
            <w:pPr>
              <w:spacing w:before="40" w:after="40" w:line="240" w:lineRule="auto"/>
            </w:pPr>
            <w:r>
              <w:rPr>
                <w:rFonts w:ascii="Arial" w:hAnsi="Arial"/>
                <w:color w:val="2B2B2B"/>
                <w:sz w:val="16"/>
              </w:rPr>
              <w:t>Design around real roles, simplify frequent tasks, track bypass patterns and retire duplicate channels where appropriate.</w:t>
            </w:r>
          </w:p>
        </w:tc>
      </w:tr>
      <w:tr>
        <w:trPr>
          <w:cantSplit/>
        </w:trPr>
        <w:tc>
          <w:tcPr>
            <w:tcW w:type="dxa" w:w="1728"/>
            <w:vAlign w:val="top"/>
            <w:tcBorders>
              <w:bottom w:sz="2" w:val="single" w:color="E3DED5"/>
            </w:tcBorders>
          </w:tcPr>
          <w:p>
            <w:pPr>
              <w:spacing w:before="40" w:after="40" w:line="240" w:lineRule="auto"/>
            </w:pPr>
            <w:r>
              <w:rPr>
                <w:rFonts w:ascii="Arial" w:hAnsi="Arial"/>
                <w:color w:val="2B2B2B"/>
                <w:sz w:val="16"/>
              </w:rPr>
              <w:t>AI overreach</w:t>
            </w:r>
          </w:p>
        </w:tc>
        <w:tc>
          <w:tcPr>
            <w:tcW w:type="dxa" w:w="3456"/>
            <w:vAlign w:val="top"/>
            <w:tcBorders>
              <w:bottom w:sz="2" w:val="single" w:color="E3DED5"/>
            </w:tcBorders>
          </w:tcPr>
          <w:p>
            <w:pPr>
              <w:spacing w:before="40" w:after="40" w:line="240" w:lineRule="auto"/>
            </w:pPr>
            <w:r>
              <w:rPr>
                <w:rFonts w:ascii="Arial" w:hAnsi="Arial"/>
                <w:color w:val="2B2B2B"/>
                <w:sz w:val="16"/>
              </w:rPr>
              <w:t>AI may produce confident but wrong recommendations or expose sensitive context.</w:t>
            </w:r>
          </w:p>
        </w:tc>
        <w:tc>
          <w:tcPr>
            <w:tcW w:type="dxa" w:w="4464"/>
            <w:vAlign w:val="top"/>
            <w:tcBorders>
              <w:bottom w:sz="2" w:val="single" w:color="E3DED5"/>
            </w:tcBorders>
          </w:tcPr>
          <w:p>
            <w:pPr>
              <w:spacing w:before="40" w:after="40" w:line="240" w:lineRule="auto"/>
            </w:pPr>
            <w:r>
              <w:rPr>
                <w:rFonts w:ascii="Arial" w:hAnsi="Arial"/>
                <w:color w:val="2B2B2B"/>
                <w:sz w:val="16"/>
              </w:rPr>
              <w:t>Permission-aware retrieval, guardrails, evaluation, human approval and AI audit logs.</w:t>
            </w:r>
          </w:p>
        </w:tc>
      </w:tr>
    </w:tbl>
    <w:p>
      <w:r>
        <w:br w:type="page"/>
      </w:r>
    </w:p>
    <w:p>
      <w:pPr>
        <w:pStyle w:val="Heading1"/>
        <w:keepNext/>
        <w:keepLines/>
        <w:spacing w:before="0" w:after="100" w:line="240" w:lineRule="auto"/>
      </w:pPr>
      <w:r>
        <w:rPr>
          <w:rFonts w:ascii="Arial" w:hAnsi="Arial"/>
          <w:b/>
          <w:color w:val="2B2B2B"/>
          <w:sz w:val="44"/>
        </w:rPr>
        <w:t>15. Key Decisions &amp; Next Blueprint Files</w:t>
      </w:r>
    </w:p>
    <w:tbl>
      <w:tblPr>
        <w:tblW w:type="auto" w:w="0"/>
        <w:jc w:val="left"/>
        <w:tblLayout w:type="fixed"/>
        <w:tblLook w:firstColumn="1" w:firstRow="1" w:lastColumn="0" w:lastRow="0" w:noHBand="0" w:noVBand="1" w:val="04A0"/>
      </w:tblPr>
      <w:tblGrid>
        <w:gridCol w:w="9648"/>
      </w:tblGrid>
      <w:tr>
        <w:trPr>
          <w:cantSplit/>
        </w:trPr>
        <w:tc>
          <w:tcPr>
            <w:tcW w:type="dxa" w:w="10166"/>
            <w:shd w:fill="F5A01B"/>
          </w:tcPr>
          <w:p>
            <w:r/>
          </w:p>
        </w:tc>
      </w:tr>
    </w:tbl>
    <w:p>
      <w:pPr>
        <w:pStyle w:val="Heading2"/>
        <w:keepNext/>
        <w:keepLines/>
        <w:spacing w:before="160" w:after="80" w:line="240" w:lineRule="auto"/>
      </w:pPr>
      <w:r>
        <w:rPr>
          <w:rFonts w:ascii="Arial" w:hAnsi="Arial"/>
          <w:b/>
          <w:color w:val="F5A01B"/>
          <w:sz w:val="28"/>
        </w:rPr>
        <w:t>Architecture and Product Decisions to Carry Forward</w:t>
      </w:r>
    </w:p>
    <w:p>
      <w:pPr>
        <w:spacing w:before="0" w:after="60" w:line="252" w:lineRule="auto"/>
        <w:ind w:left="259" w:hanging="259"/>
      </w:pPr>
      <w:r>
        <w:rPr>
          <w:rFonts w:ascii="Arial" w:hAnsi="Arial"/>
          <w:b w:val="0"/>
          <w:color w:val="2B2B2B"/>
          <w:sz w:val="20"/>
        </w:rPr>
        <w:t xml:space="preserve">1.  </w:t>
      </w:r>
      <w:r>
        <w:rPr>
          <w:rFonts w:ascii="Arial" w:hAnsi="Arial"/>
          <w:color w:val="2B2B2B"/>
          <w:sz w:val="20"/>
        </w:rPr>
        <w:t>AFRO HR will be designed as a multi-company, SaaS-ready platform with strict tenant isolation even if the initial rollout is internal.</w:t>
      </w:r>
    </w:p>
    <w:p>
      <w:pPr>
        <w:spacing w:before="0" w:after="60" w:line="252" w:lineRule="auto"/>
        <w:ind w:left="259" w:hanging="259"/>
      </w:pPr>
      <w:r>
        <w:rPr>
          <w:rFonts w:ascii="Arial" w:hAnsi="Arial"/>
          <w:b w:val="0"/>
          <w:color w:val="2B2B2B"/>
          <w:sz w:val="20"/>
        </w:rPr>
        <w:t xml:space="preserve">2.  </w:t>
      </w:r>
      <w:r>
        <w:rPr>
          <w:rFonts w:ascii="Arial" w:hAnsi="Arial"/>
          <w:color w:val="2B2B2B"/>
          <w:sz w:val="20"/>
        </w:rPr>
        <w:t>Employee, position, job and assignment are distinct entities with effective-dated history.</w:t>
      </w:r>
    </w:p>
    <w:p>
      <w:pPr>
        <w:spacing w:before="0" w:after="60" w:line="252" w:lineRule="auto"/>
        <w:ind w:left="259" w:hanging="259"/>
      </w:pPr>
      <w:r>
        <w:rPr>
          <w:rFonts w:ascii="Arial" w:hAnsi="Arial"/>
          <w:b w:val="0"/>
          <w:color w:val="2B2B2B"/>
          <w:sz w:val="20"/>
        </w:rPr>
        <w:t xml:space="preserve">3.  </w:t>
      </w:r>
      <w:r>
        <w:rPr>
          <w:rFonts w:ascii="Arial" w:hAnsi="Arial"/>
          <w:color w:val="2B2B2B"/>
          <w:sz w:val="20"/>
        </w:rPr>
        <w:t>A person may have project/location assignments that change over time and may require cost-allocation history.</w:t>
      </w:r>
    </w:p>
    <w:p>
      <w:pPr>
        <w:spacing w:before="0" w:after="60" w:line="252" w:lineRule="auto"/>
        <w:ind w:left="259" w:hanging="259"/>
      </w:pPr>
      <w:r>
        <w:rPr>
          <w:rFonts w:ascii="Arial" w:hAnsi="Arial"/>
          <w:b w:val="0"/>
          <w:color w:val="2B2B2B"/>
          <w:sz w:val="20"/>
        </w:rPr>
        <w:t xml:space="preserve">4.  </w:t>
      </w:r>
      <w:r>
        <w:rPr>
          <w:rFonts w:ascii="Arial" w:hAnsi="Arial"/>
          <w:color w:val="2B2B2B"/>
          <w:sz w:val="20"/>
        </w:rPr>
        <w:t>Workflow and rule definitions are versioned; approved historical transactions retain the rule/version used at the time.</w:t>
      </w:r>
    </w:p>
    <w:p>
      <w:pPr>
        <w:spacing w:before="0" w:after="60" w:line="252" w:lineRule="auto"/>
        <w:ind w:left="259" w:hanging="259"/>
      </w:pPr>
      <w:r>
        <w:rPr>
          <w:rFonts w:ascii="Arial" w:hAnsi="Arial"/>
          <w:b w:val="0"/>
          <w:color w:val="2B2B2B"/>
          <w:sz w:val="20"/>
        </w:rPr>
        <w:t xml:space="preserve">5.  </w:t>
      </w:r>
      <w:r>
        <w:rPr>
          <w:rFonts w:ascii="Arial" w:hAnsi="Arial"/>
          <w:color w:val="2B2B2B"/>
          <w:sz w:val="20"/>
        </w:rPr>
        <w:t>Payroll runs are controlled periods with cutoffs, input validation, locking, approvals, reconciliation and formal adjustments after closure.</w:t>
      </w:r>
    </w:p>
    <w:p>
      <w:pPr>
        <w:spacing w:before="0" w:after="60" w:line="252" w:lineRule="auto"/>
        <w:ind w:left="259" w:hanging="259"/>
      </w:pPr>
      <w:r>
        <w:rPr>
          <w:rFonts w:ascii="Arial" w:hAnsi="Arial"/>
          <w:b w:val="0"/>
          <w:color w:val="2B2B2B"/>
          <w:sz w:val="20"/>
        </w:rPr>
        <w:t xml:space="preserve">6.  </w:t>
      </w:r>
      <w:r>
        <w:rPr>
          <w:rFonts w:ascii="Arial" w:hAnsi="Arial"/>
          <w:color w:val="2B2B2B"/>
          <w:sz w:val="20"/>
        </w:rPr>
        <w:t>Attendance raw evidence is separated from normalized attendance/payroll input so payroll does not depend directly on uncontrolled events.</w:t>
      </w:r>
    </w:p>
    <w:p>
      <w:pPr>
        <w:spacing w:before="0" w:after="60" w:line="252" w:lineRule="auto"/>
        <w:ind w:left="259" w:hanging="259"/>
      </w:pPr>
      <w:r>
        <w:rPr>
          <w:rFonts w:ascii="Arial" w:hAnsi="Arial"/>
          <w:b w:val="0"/>
          <w:color w:val="2B2B2B"/>
          <w:sz w:val="20"/>
        </w:rPr>
        <w:t xml:space="preserve">7.  </w:t>
      </w:r>
      <w:r>
        <w:rPr>
          <w:rFonts w:ascii="Arial" w:hAnsi="Arial"/>
          <w:color w:val="2B2B2B"/>
          <w:sz w:val="20"/>
        </w:rPr>
        <w:t>Sensitive data and transactions use scoped RBAC, maker-checker controls where appropriate and full audit history.</w:t>
      </w:r>
    </w:p>
    <w:p>
      <w:pPr>
        <w:spacing w:before="0" w:after="60" w:line="252" w:lineRule="auto"/>
        <w:ind w:left="259" w:hanging="259"/>
      </w:pPr>
      <w:r>
        <w:rPr>
          <w:rFonts w:ascii="Arial" w:hAnsi="Arial"/>
          <w:b w:val="0"/>
          <w:color w:val="2B2B2B"/>
          <w:sz w:val="20"/>
        </w:rPr>
        <w:t xml:space="preserve">8.  </w:t>
      </w:r>
      <w:r>
        <w:rPr>
          <w:rFonts w:ascii="Arial" w:hAnsi="Arial"/>
          <w:color w:val="2B2B2B"/>
          <w:sz w:val="20"/>
        </w:rPr>
        <w:t>The AI layer uses the same permission model as the user and cannot create hidden access paths or bypass approvals.</w:t>
      </w:r>
    </w:p>
    <w:p>
      <w:pPr>
        <w:spacing w:before="0" w:after="60" w:line="252" w:lineRule="auto"/>
        <w:ind w:left="259" w:hanging="259"/>
      </w:pPr>
      <w:r>
        <w:rPr>
          <w:rFonts w:ascii="Arial" w:hAnsi="Arial"/>
          <w:b w:val="0"/>
          <w:color w:val="2B2B2B"/>
          <w:sz w:val="20"/>
        </w:rPr>
        <w:t xml:space="preserve">9.  </w:t>
      </w:r>
      <w:r>
        <w:rPr>
          <w:rFonts w:ascii="Arial" w:hAnsi="Arial"/>
          <w:color w:val="2B2B2B"/>
          <w:sz w:val="20"/>
        </w:rPr>
        <w:t>Interfaces are monitored and reconciled; integration failure becomes a visible operational case rather than a silent data gap.</w:t>
      </w:r>
    </w:p>
    <w:p>
      <w:pPr>
        <w:spacing w:before="0" w:after="60" w:line="252" w:lineRule="auto"/>
        <w:ind w:left="259" w:hanging="259"/>
      </w:pPr>
      <w:r>
        <w:rPr>
          <w:rFonts w:ascii="Arial" w:hAnsi="Arial"/>
          <w:b w:val="0"/>
          <w:color w:val="2B2B2B"/>
          <w:sz w:val="20"/>
        </w:rPr>
        <w:t xml:space="preserve">10.  </w:t>
      </w:r>
      <w:r>
        <w:rPr>
          <w:rFonts w:ascii="Arial" w:hAnsi="Arial"/>
          <w:color w:val="2B2B2B"/>
          <w:sz w:val="20"/>
        </w:rPr>
        <w:t>English is the master design language while the product supports English, Arabic RTL and French.</w:t>
      </w:r>
    </w:p>
    <w:p>
      <w:pPr>
        <w:pStyle w:val="Heading2"/>
        <w:keepNext/>
        <w:keepLines/>
        <w:spacing w:before="160" w:after="80" w:line="240" w:lineRule="auto"/>
      </w:pPr>
      <w:r>
        <w:rPr>
          <w:rFonts w:ascii="Arial" w:hAnsi="Arial"/>
          <w:b/>
          <w:color w:val="F5A01B"/>
          <w:sz w:val="28"/>
        </w:rPr>
        <w:t>Next Files in the Blueprint Set</w:t>
      </w:r>
    </w:p>
    <w:tbl>
      <w:tblPr>
        <w:tblW w:type="auto" w:w="0"/>
        <w:jc w:val="center"/>
        <w:tblLayout w:type="fixed"/>
        <w:tblLook w:firstColumn="1" w:firstRow="1" w:lastColumn="0" w:lastRow="0" w:noHBand="0" w:noVBand="1" w:val="04A0"/>
      </w:tblPr>
      <w:tblGrid>
        <w:gridCol w:w="3240"/>
        <w:gridCol w:w="6408"/>
      </w:tblGrid>
      <w:tr>
        <w:trPr>
          <w:cantSplit/>
        </w:trPr>
        <w:tc>
          <w:tcPr>
            <w:tcW w:type="dxa" w:w="5083"/>
            <w:shd w:fill="F5A01B"/>
            <w:vAlign w:val="center"/>
          </w:tcPr>
          <w:p>
            <w:pPr>
              <w:spacing w:before="40" w:after="40" w:line="240" w:lineRule="auto"/>
              <w:jc w:val="left"/>
            </w:pPr>
            <w:r>
              <w:rPr>
                <w:rFonts w:ascii="Arial" w:hAnsi="Arial"/>
                <w:b/>
                <w:color w:val="2B2B2B"/>
                <w:sz w:val="17"/>
              </w:rPr>
              <w:t>File</w:t>
            </w:r>
          </w:p>
        </w:tc>
        <w:tc>
          <w:tcPr>
            <w:tcW w:type="dxa" w:w="5083"/>
            <w:shd w:fill="F5A01B"/>
            <w:vAlign w:val="center"/>
          </w:tcPr>
          <w:p>
            <w:pPr>
              <w:spacing w:before="40" w:after="40" w:line="240" w:lineRule="auto"/>
              <w:jc w:val="left"/>
            </w:pPr>
            <w:r>
              <w:rPr>
                <w:rFonts w:ascii="Arial" w:hAnsi="Arial"/>
                <w:b/>
                <w:color w:val="2B2B2B"/>
                <w:sz w:val="17"/>
              </w:rPr>
              <w:t>Purpose</w:t>
            </w:r>
          </w:p>
        </w:tc>
      </w:tr>
      <w:tr>
        <w:trPr>
          <w:cantSplit/>
        </w:trPr>
        <w:tc>
          <w:tcPr>
            <w:tcW w:type="dxa" w:w="3240"/>
            <w:vAlign w:val="top"/>
            <w:tcBorders>
              <w:bottom w:sz="2" w:val="single" w:color="E3DED5"/>
            </w:tcBorders>
          </w:tcPr>
          <w:p>
            <w:pPr>
              <w:spacing w:before="40" w:after="40" w:line="240" w:lineRule="auto"/>
            </w:pPr>
            <w:r>
              <w:rPr>
                <w:rFonts w:ascii="Arial" w:hAnsi="Arial"/>
                <w:color w:val="2B2B2B"/>
                <w:sz w:val="17"/>
              </w:rPr>
              <w:t>File 01 — Business Context, Stakeholders, Personas &amp; Organization</w:t>
            </w:r>
          </w:p>
        </w:tc>
        <w:tc>
          <w:tcPr>
            <w:tcW w:type="dxa" w:w="6408"/>
            <w:vAlign w:val="top"/>
            <w:tcBorders>
              <w:bottom w:sz="2" w:val="single" w:color="E3DED5"/>
            </w:tcBorders>
          </w:tcPr>
          <w:p>
            <w:pPr>
              <w:spacing w:before="40" w:after="40" w:line="240" w:lineRule="auto"/>
            </w:pPr>
            <w:r>
              <w:rPr>
                <w:rFonts w:ascii="Arial" w:hAnsi="Arial"/>
                <w:color w:val="2B2B2B"/>
                <w:sz w:val="17"/>
              </w:rPr>
              <w:t>Detailed stakeholder map, process ownership, personas, current organization, RACI and role expectations.</w:t>
            </w:r>
          </w:p>
        </w:tc>
      </w:tr>
      <w:tr>
        <w:trPr>
          <w:cantSplit/>
        </w:trPr>
        <w:tc>
          <w:tcPr>
            <w:tcW w:type="dxa" w:w="3240"/>
            <w:shd w:fill="FAFAF8"/>
            <w:vAlign w:val="top"/>
            <w:tcBorders>
              <w:bottom w:sz="2" w:val="single" w:color="E3DED5"/>
            </w:tcBorders>
          </w:tcPr>
          <w:p>
            <w:pPr>
              <w:spacing w:before="40" w:after="40" w:line="240" w:lineRule="auto"/>
            </w:pPr>
            <w:r>
              <w:rPr>
                <w:rFonts w:ascii="Arial" w:hAnsi="Arial"/>
                <w:color w:val="2B2B2B"/>
                <w:sz w:val="17"/>
              </w:rPr>
              <w:t>File 02 — Enterprise System Map, Module Map &amp; Employee Lifecycle</w:t>
            </w:r>
          </w:p>
        </w:tc>
        <w:tc>
          <w:tcPr>
            <w:tcW w:type="dxa" w:w="6408"/>
            <w:shd w:fill="FAFAF8"/>
            <w:vAlign w:val="top"/>
            <w:tcBorders>
              <w:bottom w:sz="2" w:val="single" w:color="E3DED5"/>
            </w:tcBorders>
          </w:tcPr>
          <w:p>
            <w:pPr>
              <w:spacing w:before="40" w:after="40" w:line="240" w:lineRule="auto"/>
            </w:pPr>
            <w:r>
              <w:rPr>
                <w:rFonts w:ascii="Arial" w:hAnsi="Arial"/>
                <w:color w:val="2B2B2B"/>
                <w:sz w:val="17"/>
              </w:rPr>
              <w:t>End-to-end domain architecture, module dependencies, lifecycle value streams and cross-module event map.</w:t>
            </w:r>
          </w:p>
        </w:tc>
      </w:tr>
      <w:tr>
        <w:trPr>
          <w:cantSplit/>
        </w:trPr>
        <w:tc>
          <w:tcPr>
            <w:tcW w:type="dxa" w:w="3240"/>
            <w:vAlign w:val="top"/>
            <w:tcBorders>
              <w:bottom w:sz="2" w:val="single" w:color="E3DED5"/>
            </w:tcBorders>
          </w:tcPr>
          <w:p>
            <w:pPr>
              <w:spacing w:before="40" w:after="40" w:line="240" w:lineRule="auto"/>
            </w:pPr>
            <w:r>
              <w:rPr>
                <w:rFonts w:ascii="Arial" w:hAnsi="Arial"/>
                <w:color w:val="2B2B2B"/>
                <w:sz w:val="17"/>
              </w:rPr>
              <w:t>File 03 onward — Module Specifications</w:t>
            </w:r>
          </w:p>
        </w:tc>
        <w:tc>
          <w:tcPr>
            <w:tcW w:type="dxa" w:w="6408"/>
            <w:vAlign w:val="top"/>
            <w:tcBorders>
              <w:bottom w:sz="2" w:val="single" w:color="E3DED5"/>
            </w:tcBorders>
          </w:tcPr>
          <w:p>
            <w:pPr>
              <w:spacing w:before="40" w:after="40" w:line="240" w:lineRule="auto"/>
            </w:pPr>
            <w:r>
              <w:rPr>
                <w:rFonts w:ascii="Arial" w:hAnsi="Arial"/>
                <w:color w:val="2B2B2B"/>
                <w:sz w:val="17"/>
              </w:rPr>
              <w:t>Detailed purpose, functions, screens, workflows, rules, data, notifications, KPIs, permissions, integrations and acceptance criteria by module group.</w:t>
            </w:r>
          </w:p>
        </w:tc>
      </w:tr>
      <w:tr>
        <w:trPr>
          <w:cantSplit/>
        </w:trPr>
        <w:tc>
          <w:tcPr>
            <w:tcW w:type="dxa" w:w="3240"/>
            <w:shd w:fill="FAFAF8"/>
            <w:vAlign w:val="top"/>
            <w:tcBorders>
              <w:bottom w:sz="2" w:val="single" w:color="E3DED5"/>
            </w:tcBorders>
          </w:tcPr>
          <w:p>
            <w:pPr>
              <w:spacing w:before="40" w:after="40" w:line="240" w:lineRule="auto"/>
            </w:pPr>
            <w:r>
              <w:rPr>
                <w:rFonts w:ascii="Arial" w:hAnsi="Arial"/>
                <w:color w:val="2B2B2B"/>
                <w:sz w:val="17"/>
              </w:rPr>
              <w:t>Later technical files</w:t>
            </w:r>
          </w:p>
        </w:tc>
        <w:tc>
          <w:tcPr>
            <w:tcW w:type="dxa" w:w="6408"/>
            <w:shd w:fill="FAFAF8"/>
            <w:vAlign w:val="top"/>
            <w:tcBorders>
              <w:bottom w:sz="2" w:val="single" w:color="E3DED5"/>
            </w:tcBorders>
          </w:tcPr>
          <w:p>
            <w:pPr>
              <w:spacing w:before="40" w:after="40" w:line="240" w:lineRule="auto"/>
            </w:pPr>
            <w:r>
              <w:rPr>
                <w:rFonts w:ascii="Arial" w:hAnsi="Arial"/>
                <w:color w:val="2B2B2B"/>
                <w:sz w:val="17"/>
              </w:rPr>
              <w:t>Shared engines, AI, data architecture/ERD, integrations, security, NFRs, deployment, testing, migration and roadmap.</w:t>
            </w:r>
          </w:p>
        </w:tc>
      </w:tr>
    </w:tbl>
    <w:tbl>
      <w:tblPr>
        <w:tblW w:type="auto" w:w="0"/>
        <w:jc w:val="center"/>
        <w:tblLayout w:type="fixed"/>
        <w:tblLook w:firstColumn="1" w:firstRow="1" w:lastColumn="0" w:lastRow="0" w:noHBand="0" w:noVBand="1" w:val="04A0"/>
      </w:tblPr>
      <w:tblGrid>
        <w:gridCol w:w="9792"/>
      </w:tblGrid>
      <w:tr>
        <w:trPr>
          <w:cantSplit/>
        </w:trPr>
        <w:tc>
          <w:tcPr>
            <w:tcW w:type="dxa" w:w="10166"/>
            <w:shd w:fill="FFF6E6"/>
            <w:tcBorders>
              <w:top w:sz="4" w:val="single" w:color="E6E0D8"/>
              <w:left w:sz="14" w:val="single" w:color="F5A01B"/>
              <w:bottom w:sz="4" w:val="single" w:color="E6E0D8"/>
              <w:right w:sz="4" w:val="single" w:color="E6E0D8"/>
            </w:tcBorders>
          </w:tcPr>
          <w:p>
            <w:pPr>
              <w:spacing w:before="60" w:after="60" w:line="252" w:lineRule="auto"/>
            </w:pPr>
            <w:r>
              <w:rPr>
                <w:rFonts w:ascii="Arial" w:hAnsi="Arial"/>
                <w:b/>
                <w:color w:val="2B2B2B"/>
                <w:sz w:val="20"/>
              </w:rPr>
              <w:t xml:space="preserve">Review gate.  </w:t>
            </w:r>
            <w:r>
              <w:rPr>
                <w:rFonts w:ascii="Arial" w:hAnsi="Arial"/>
                <w:color w:val="2B2B2B"/>
                <w:sz w:val="19"/>
              </w:rPr>
              <w:t>Before detailed module authoring is treated as approved design, File 00 should be reviewed for scope boundaries, design principles and target outcomes. Changes made here will affect every downstream requirements and architecture document.</w:t>
            </w:r>
          </w:p>
        </w:tc>
      </w:tr>
    </w:tbl>
    <w:p>
      <w:r>
        <w:br w:type="page"/>
      </w:r>
    </w:p>
    <w:p>
      <w:pPr>
        <w:pStyle w:val="Heading1"/>
        <w:keepNext/>
        <w:keepLines/>
        <w:spacing w:before="0" w:after="100" w:line="240" w:lineRule="auto"/>
      </w:pPr>
      <w:r>
        <w:rPr>
          <w:rFonts w:ascii="Arial" w:hAnsi="Arial"/>
          <w:b/>
          <w:color w:val="2B2B2B"/>
          <w:sz w:val="44"/>
        </w:rPr>
        <w:t>Appendix A. Glossary &amp; Source References</w:t>
      </w:r>
    </w:p>
    <w:tbl>
      <w:tblPr>
        <w:tblW w:type="auto" w:w="0"/>
        <w:jc w:val="left"/>
        <w:tblLayout w:type="fixed"/>
        <w:tblLook w:firstColumn="1" w:firstRow="1" w:lastColumn="0" w:lastRow="0" w:noHBand="0" w:noVBand="1" w:val="04A0"/>
      </w:tblPr>
      <w:tblGrid>
        <w:gridCol w:w="9648"/>
      </w:tblGrid>
      <w:tr>
        <w:trPr>
          <w:cantSplit/>
        </w:trPr>
        <w:tc>
          <w:tcPr>
            <w:tcW w:type="dxa" w:w="10166"/>
            <w:shd w:fill="F5A01B"/>
          </w:tcPr>
          <w:p>
            <w:r/>
          </w:p>
        </w:tc>
      </w:tr>
    </w:tbl>
    <w:p>
      <w:pPr>
        <w:pStyle w:val="Heading2"/>
        <w:keepNext/>
        <w:keepLines/>
        <w:spacing w:before="160" w:after="80" w:line="240" w:lineRule="auto"/>
      </w:pPr>
      <w:r>
        <w:rPr>
          <w:rFonts w:ascii="Arial" w:hAnsi="Arial"/>
          <w:b/>
          <w:color w:val="F5A01B"/>
          <w:sz w:val="28"/>
        </w:rPr>
        <w:t>Glossary</w:t>
      </w:r>
    </w:p>
    <w:tbl>
      <w:tblPr>
        <w:tblW w:type="auto" w:w="0"/>
        <w:jc w:val="center"/>
        <w:tblLayout w:type="fixed"/>
        <w:tblLook w:firstColumn="1" w:firstRow="1" w:lastColumn="0" w:lastRow="0" w:noHBand="0" w:noVBand="1" w:val="04A0"/>
      </w:tblPr>
      <w:tblGrid>
        <w:gridCol w:w="2448"/>
        <w:gridCol w:w="7200"/>
      </w:tblGrid>
      <w:tr>
        <w:trPr>
          <w:cantSplit/>
        </w:trPr>
        <w:tc>
          <w:tcPr>
            <w:tcW w:type="dxa" w:w="5083"/>
            <w:shd w:fill="F5A01B"/>
            <w:vAlign w:val="center"/>
          </w:tcPr>
          <w:p>
            <w:pPr>
              <w:spacing w:before="40" w:after="40" w:line="240" w:lineRule="auto"/>
              <w:jc w:val="left"/>
            </w:pPr>
            <w:r>
              <w:rPr>
                <w:rFonts w:ascii="Arial" w:hAnsi="Arial"/>
                <w:b/>
                <w:color w:val="2B2B2B"/>
                <w:sz w:val="17"/>
              </w:rPr>
              <w:t>Term</w:t>
            </w:r>
          </w:p>
        </w:tc>
        <w:tc>
          <w:tcPr>
            <w:tcW w:type="dxa" w:w="5083"/>
            <w:shd w:fill="F5A01B"/>
            <w:vAlign w:val="center"/>
          </w:tcPr>
          <w:p>
            <w:pPr>
              <w:spacing w:before="40" w:after="40" w:line="240" w:lineRule="auto"/>
              <w:jc w:val="left"/>
            </w:pPr>
            <w:r>
              <w:rPr>
                <w:rFonts w:ascii="Arial" w:hAnsi="Arial"/>
                <w:b/>
                <w:color w:val="2B2B2B"/>
                <w:sz w:val="17"/>
              </w:rPr>
              <w:t>Meaning in This Blueprint</w:t>
            </w:r>
          </w:p>
        </w:tc>
      </w:tr>
      <w:tr>
        <w:trPr>
          <w:cantSplit/>
        </w:trPr>
        <w:tc>
          <w:tcPr>
            <w:tcW w:type="dxa" w:w="2448"/>
            <w:vAlign w:val="top"/>
            <w:tcBorders>
              <w:bottom w:sz="2" w:val="single" w:color="E3DED5"/>
            </w:tcBorders>
          </w:tcPr>
          <w:p>
            <w:pPr>
              <w:spacing w:before="40" w:after="40" w:line="240" w:lineRule="auto"/>
            </w:pPr>
            <w:r>
              <w:rPr>
                <w:rFonts w:ascii="Arial" w:hAnsi="Arial"/>
                <w:color w:val="2B2B2B"/>
                <w:sz w:val="17"/>
              </w:rPr>
              <w:t>AFRO HR</w:t>
            </w:r>
          </w:p>
        </w:tc>
        <w:tc>
          <w:tcPr>
            <w:tcW w:type="dxa" w:w="7200"/>
            <w:vAlign w:val="top"/>
            <w:tcBorders>
              <w:bottom w:sz="2" w:val="single" w:color="E3DED5"/>
            </w:tcBorders>
          </w:tcPr>
          <w:p>
            <w:pPr>
              <w:spacing w:before="40" w:after="40" w:line="240" w:lineRule="auto"/>
            </w:pPr>
            <w:r>
              <w:rPr>
                <w:rFonts w:ascii="Arial" w:hAnsi="Arial"/>
                <w:color w:val="2B2B2B"/>
                <w:sz w:val="17"/>
              </w:rPr>
              <w:t>The target enterprise People &amp; Culture platform defined by this program.</w:t>
            </w:r>
          </w:p>
        </w:tc>
      </w:tr>
      <w:tr>
        <w:trPr>
          <w:cantSplit/>
        </w:trPr>
        <w:tc>
          <w:tcPr>
            <w:tcW w:type="dxa" w:w="2448"/>
            <w:shd w:fill="FAFAF8"/>
            <w:vAlign w:val="top"/>
            <w:tcBorders>
              <w:bottom w:sz="2" w:val="single" w:color="E3DED5"/>
            </w:tcBorders>
          </w:tcPr>
          <w:p>
            <w:pPr>
              <w:spacing w:before="40" w:after="40" w:line="240" w:lineRule="auto"/>
            </w:pPr>
            <w:r>
              <w:rPr>
                <w:rFonts w:ascii="Arial" w:hAnsi="Arial"/>
                <w:color w:val="2B2B2B"/>
                <w:sz w:val="17"/>
              </w:rPr>
              <w:t>System of Record (SoR)</w:t>
            </w:r>
          </w:p>
        </w:tc>
        <w:tc>
          <w:tcPr>
            <w:tcW w:type="dxa" w:w="7200"/>
            <w:shd w:fill="FAFAF8"/>
            <w:vAlign w:val="top"/>
            <w:tcBorders>
              <w:bottom w:sz="2" w:val="single" w:color="E3DED5"/>
            </w:tcBorders>
          </w:tcPr>
          <w:p>
            <w:pPr>
              <w:spacing w:before="40" w:after="40" w:line="240" w:lineRule="auto"/>
            </w:pPr>
            <w:r>
              <w:rPr>
                <w:rFonts w:ascii="Arial" w:hAnsi="Arial"/>
                <w:color w:val="2B2B2B"/>
                <w:sz w:val="17"/>
              </w:rPr>
              <w:t>The authoritative system allowed to create/change a specific data domain.</w:t>
            </w:r>
          </w:p>
        </w:tc>
      </w:tr>
      <w:tr>
        <w:trPr>
          <w:cantSplit/>
        </w:trPr>
        <w:tc>
          <w:tcPr>
            <w:tcW w:type="dxa" w:w="2448"/>
            <w:vAlign w:val="top"/>
            <w:tcBorders>
              <w:bottom w:sz="2" w:val="single" w:color="E3DED5"/>
            </w:tcBorders>
          </w:tcPr>
          <w:p>
            <w:pPr>
              <w:spacing w:before="40" w:after="40" w:line="240" w:lineRule="auto"/>
            </w:pPr>
            <w:r>
              <w:rPr>
                <w:rFonts w:ascii="Arial" w:hAnsi="Arial"/>
                <w:color w:val="2B2B2B"/>
                <w:sz w:val="17"/>
              </w:rPr>
              <w:t>Assignment</w:t>
            </w:r>
          </w:p>
        </w:tc>
        <w:tc>
          <w:tcPr>
            <w:tcW w:type="dxa" w:w="7200"/>
            <w:vAlign w:val="top"/>
            <w:tcBorders>
              <w:bottom w:sz="2" w:val="single" w:color="E3DED5"/>
            </w:tcBorders>
          </w:tcPr>
          <w:p>
            <w:pPr>
              <w:spacing w:before="40" w:after="40" w:line="240" w:lineRule="auto"/>
            </w:pPr>
            <w:r>
              <w:rPr>
                <w:rFonts w:ascii="Arial" w:hAnsi="Arial"/>
                <w:color w:val="2B2B2B"/>
                <w:sz w:val="17"/>
              </w:rPr>
              <w:t>An effective-dated relationship placing an employee into a position, project, location or work context.</w:t>
            </w:r>
          </w:p>
        </w:tc>
      </w:tr>
      <w:tr>
        <w:trPr>
          <w:cantSplit/>
        </w:trPr>
        <w:tc>
          <w:tcPr>
            <w:tcW w:type="dxa" w:w="2448"/>
            <w:shd w:fill="FAFAF8"/>
            <w:vAlign w:val="top"/>
            <w:tcBorders>
              <w:bottom w:sz="2" w:val="single" w:color="E3DED5"/>
            </w:tcBorders>
          </w:tcPr>
          <w:p>
            <w:pPr>
              <w:spacing w:before="40" w:after="40" w:line="240" w:lineRule="auto"/>
            </w:pPr>
            <w:r>
              <w:rPr>
                <w:rFonts w:ascii="Arial" w:hAnsi="Arial"/>
                <w:color w:val="2B2B2B"/>
                <w:sz w:val="17"/>
              </w:rPr>
              <w:t>RBAC</w:t>
            </w:r>
          </w:p>
        </w:tc>
        <w:tc>
          <w:tcPr>
            <w:tcW w:type="dxa" w:w="7200"/>
            <w:shd w:fill="FAFAF8"/>
            <w:vAlign w:val="top"/>
            <w:tcBorders>
              <w:bottom w:sz="2" w:val="single" w:color="E3DED5"/>
            </w:tcBorders>
          </w:tcPr>
          <w:p>
            <w:pPr>
              <w:spacing w:before="40" w:after="40" w:line="240" w:lineRule="auto"/>
            </w:pPr>
            <w:r>
              <w:rPr>
                <w:rFonts w:ascii="Arial" w:hAnsi="Arial"/>
                <w:color w:val="2B2B2B"/>
                <w:sz w:val="17"/>
              </w:rPr>
              <w:t>Role-Based Access Control, supplemented by company/project/manager/data-scope restrictions.</w:t>
            </w:r>
          </w:p>
        </w:tc>
      </w:tr>
      <w:tr>
        <w:trPr>
          <w:cantSplit/>
        </w:trPr>
        <w:tc>
          <w:tcPr>
            <w:tcW w:type="dxa" w:w="2448"/>
            <w:vAlign w:val="top"/>
            <w:tcBorders>
              <w:bottom w:sz="2" w:val="single" w:color="E3DED5"/>
            </w:tcBorders>
          </w:tcPr>
          <w:p>
            <w:pPr>
              <w:spacing w:before="40" w:after="40" w:line="240" w:lineRule="auto"/>
            </w:pPr>
            <w:r>
              <w:rPr>
                <w:rFonts w:ascii="Arial" w:hAnsi="Arial"/>
                <w:color w:val="2B2B2B"/>
                <w:sz w:val="17"/>
              </w:rPr>
              <w:t>ESS / MSS</w:t>
            </w:r>
          </w:p>
        </w:tc>
        <w:tc>
          <w:tcPr>
            <w:tcW w:type="dxa" w:w="7200"/>
            <w:vAlign w:val="top"/>
            <w:tcBorders>
              <w:bottom w:sz="2" w:val="single" w:color="E3DED5"/>
            </w:tcBorders>
          </w:tcPr>
          <w:p>
            <w:pPr>
              <w:spacing w:before="40" w:after="40" w:line="240" w:lineRule="auto"/>
            </w:pPr>
            <w:r>
              <w:rPr>
                <w:rFonts w:ascii="Arial" w:hAnsi="Arial"/>
                <w:color w:val="2B2B2B"/>
                <w:sz w:val="17"/>
              </w:rPr>
              <w:t>Employee Self-Service / Manager Self-Service.</w:t>
            </w:r>
          </w:p>
        </w:tc>
      </w:tr>
      <w:tr>
        <w:trPr>
          <w:cantSplit/>
        </w:trPr>
        <w:tc>
          <w:tcPr>
            <w:tcW w:type="dxa" w:w="2448"/>
            <w:shd w:fill="FAFAF8"/>
            <w:vAlign w:val="top"/>
            <w:tcBorders>
              <w:bottom w:sz="2" w:val="single" w:color="E3DED5"/>
            </w:tcBorders>
          </w:tcPr>
          <w:p>
            <w:pPr>
              <w:spacing w:before="40" w:after="40" w:line="240" w:lineRule="auto"/>
            </w:pPr>
            <w:r>
              <w:rPr>
                <w:rFonts w:ascii="Arial" w:hAnsi="Arial"/>
                <w:color w:val="2B2B2B"/>
                <w:sz w:val="17"/>
              </w:rPr>
              <w:t>SLA</w:t>
            </w:r>
          </w:p>
        </w:tc>
        <w:tc>
          <w:tcPr>
            <w:tcW w:type="dxa" w:w="7200"/>
            <w:shd w:fill="FAFAF8"/>
            <w:vAlign w:val="top"/>
            <w:tcBorders>
              <w:bottom w:sz="2" w:val="single" w:color="E3DED5"/>
            </w:tcBorders>
          </w:tcPr>
          <w:p>
            <w:pPr>
              <w:spacing w:before="40" w:after="40" w:line="240" w:lineRule="auto"/>
            </w:pPr>
            <w:r>
              <w:rPr>
                <w:rFonts w:ascii="Arial" w:hAnsi="Arial"/>
                <w:color w:val="2B2B2B"/>
                <w:sz w:val="17"/>
              </w:rPr>
              <w:t>Service Level Agreement or required process response/completion time.</w:t>
            </w:r>
          </w:p>
        </w:tc>
      </w:tr>
      <w:tr>
        <w:trPr>
          <w:cantSplit/>
        </w:trPr>
        <w:tc>
          <w:tcPr>
            <w:tcW w:type="dxa" w:w="2448"/>
            <w:vAlign w:val="top"/>
            <w:tcBorders>
              <w:bottom w:sz="2" w:val="single" w:color="E3DED5"/>
            </w:tcBorders>
          </w:tcPr>
          <w:p>
            <w:pPr>
              <w:spacing w:before="40" w:after="40" w:line="240" w:lineRule="auto"/>
            </w:pPr>
            <w:r>
              <w:rPr>
                <w:rFonts w:ascii="Arial" w:hAnsi="Arial"/>
                <w:color w:val="2B2B2B"/>
                <w:sz w:val="17"/>
              </w:rPr>
              <w:t>HSE</w:t>
            </w:r>
          </w:p>
        </w:tc>
        <w:tc>
          <w:tcPr>
            <w:tcW w:type="dxa" w:w="7200"/>
            <w:vAlign w:val="top"/>
            <w:tcBorders>
              <w:bottom w:sz="2" w:val="single" w:color="E3DED5"/>
            </w:tcBorders>
          </w:tcPr>
          <w:p>
            <w:pPr>
              <w:spacing w:before="40" w:after="40" w:line="240" w:lineRule="auto"/>
            </w:pPr>
            <w:r>
              <w:rPr>
                <w:rFonts w:ascii="Arial" w:hAnsi="Arial"/>
                <w:color w:val="2B2B2B"/>
                <w:sz w:val="17"/>
              </w:rPr>
              <w:t>Health, Safety and Environment. In AFRO HR, the focus is employee readiness/compliance and HR interfaces.</w:t>
            </w:r>
          </w:p>
        </w:tc>
      </w:tr>
      <w:tr>
        <w:trPr>
          <w:cantSplit/>
        </w:trPr>
        <w:tc>
          <w:tcPr>
            <w:tcW w:type="dxa" w:w="2448"/>
            <w:shd w:fill="FAFAF8"/>
            <w:vAlign w:val="top"/>
            <w:tcBorders>
              <w:bottom w:sz="2" w:val="single" w:color="E3DED5"/>
            </w:tcBorders>
          </w:tcPr>
          <w:p>
            <w:pPr>
              <w:spacing w:before="40" w:after="40" w:line="240" w:lineRule="auto"/>
            </w:pPr>
            <w:r>
              <w:rPr>
                <w:rFonts w:ascii="Arial" w:hAnsi="Arial"/>
                <w:color w:val="2B2B2B"/>
                <w:sz w:val="17"/>
              </w:rPr>
              <w:t>Payroll Input</w:t>
            </w:r>
          </w:p>
        </w:tc>
        <w:tc>
          <w:tcPr>
            <w:tcW w:type="dxa" w:w="7200"/>
            <w:shd w:fill="FAFAF8"/>
            <w:vAlign w:val="top"/>
            <w:tcBorders>
              <w:bottom w:sz="2" w:val="single" w:color="E3DED5"/>
            </w:tcBorders>
          </w:tcPr>
          <w:p>
            <w:pPr>
              <w:spacing w:before="40" w:after="40" w:line="240" w:lineRule="auto"/>
            </w:pPr>
            <w:r>
              <w:rPr>
                <w:rFonts w:ascii="Arial" w:hAnsi="Arial"/>
                <w:color w:val="2B2B2B"/>
                <w:sz w:val="17"/>
              </w:rPr>
              <w:t>Validated earning/deduction/time/allowance/adjustment data accepted by the payroll engine.</w:t>
            </w:r>
          </w:p>
        </w:tc>
      </w:tr>
      <w:tr>
        <w:trPr>
          <w:cantSplit/>
        </w:trPr>
        <w:tc>
          <w:tcPr>
            <w:tcW w:type="dxa" w:w="2448"/>
            <w:vAlign w:val="top"/>
            <w:tcBorders>
              <w:bottom w:sz="2" w:val="single" w:color="E3DED5"/>
            </w:tcBorders>
          </w:tcPr>
          <w:p>
            <w:pPr>
              <w:spacing w:before="40" w:after="40" w:line="240" w:lineRule="auto"/>
            </w:pPr>
            <w:r>
              <w:rPr>
                <w:rFonts w:ascii="Arial" w:hAnsi="Arial"/>
                <w:color w:val="2B2B2B"/>
                <w:sz w:val="17"/>
              </w:rPr>
              <w:t>Tenant</w:t>
            </w:r>
          </w:p>
        </w:tc>
        <w:tc>
          <w:tcPr>
            <w:tcW w:type="dxa" w:w="7200"/>
            <w:vAlign w:val="top"/>
            <w:tcBorders>
              <w:bottom w:sz="2" w:val="single" w:color="E3DED5"/>
            </w:tcBorders>
          </w:tcPr>
          <w:p>
            <w:pPr>
              <w:spacing w:before="40" w:after="40" w:line="240" w:lineRule="auto"/>
            </w:pPr>
            <w:r>
              <w:rPr>
                <w:rFonts w:ascii="Arial" w:hAnsi="Arial"/>
                <w:color w:val="2B2B2B"/>
                <w:sz w:val="17"/>
              </w:rPr>
              <w:t>A logically isolated company/customer instance in a SaaS-ready architecture.</w:t>
            </w:r>
          </w:p>
        </w:tc>
      </w:tr>
      <w:tr>
        <w:trPr>
          <w:cantSplit/>
        </w:trPr>
        <w:tc>
          <w:tcPr>
            <w:tcW w:type="dxa" w:w="2448"/>
            <w:shd w:fill="FAFAF8"/>
            <w:vAlign w:val="top"/>
            <w:tcBorders>
              <w:bottom w:sz="2" w:val="single" w:color="E3DED5"/>
            </w:tcBorders>
          </w:tcPr>
          <w:p>
            <w:pPr>
              <w:spacing w:before="40" w:after="40" w:line="240" w:lineRule="auto"/>
            </w:pPr>
            <w:r>
              <w:rPr>
                <w:rFonts w:ascii="Arial" w:hAnsi="Arial"/>
                <w:color w:val="2B2B2B"/>
                <w:sz w:val="17"/>
              </w:rPr>
              <w:t>AI Copilot</w:t>
            </w:r>
          </w:p>
        </w:tc>
        <w:tc>
          <w:tcPr>
            <w:tcW w:type="dxa" w:w="7200"/>
            <w:shd w:fill="FAFAF8"/>
            <w:vAlign w:val="top"/>
            <w:tcBorders>
              <w:bottom w:sz="2" w:val="single" w:color="E3DED5"/>
            </w:tcBorders>
          </w:tcPr>
          <w:p>
            <w:pPr>
              <w:spacing w:before="40" w:after="40" w:line="240" w:lineRule="auto"/>
            </w:pPr>
            <w:r>
              <w:rPr>
                <w:rFonts w:ascii="Arial" w:hAnsi="Arial"/>
                <w:color w:val="2B2B2B"/>
                <w:sz w:val="17"/>
              </w:rPr>
              <w:t>Permission-aware conversational assistant for HR search, explanation, drafting, analysis and controlled actions.</w:t>
            </w:r>
          </w:p>
        </w:tc>
      </w:tr>
    </w:tbl>
    <w:p>
      <w:pPr>
        <w:pStyle w:val="Heading2"/>
        <w:keepNext/>
        <w:keepLines/>
        <w:spacing w:before="160" w:after="80" w:line="240" w:lineRule="auto"/>
      </w:pPr>
      <w:r>
        <w:rPr>
          <w:rFonts w:ascii="Arial" w:hAnsi="Arial"/>
          <w:b/>
          <w:color w:val="F5A01B"/>
          <w:sz w:val="28"/>
        </w:rPr>
        <w:t>Primary Source References</w:t>
      </w:r>
    </w:p>
    <w:p>
      <w:pPr>
        <w:pStyle w:val="ListBullet"/>
        <w:spacing w:before="0" w:after="60" w:line="252" w:lineRule="auto"/>
        <w:ind w:left="317" w:hanging="173"/>
      </w:pPr>
      <w:r>
        <w:rPr>
          <w:rFonts w:ascii="Arial" w:hAnsi="Arial"/>
          <w:color w:val="2B2B2B"/>
          <w:sz w:val="18"/>
        </w:rPr>
        <w:t>AFRO Group — People &amp; Culture Operations Manual, 27 pages: current-state hiring, onboarding, offboarding, payroll, allowances, KPI bonus, HR Operations and policy-control workflows.</w:t>
      </w:r>
    </w:p>
    <w:p>
      <w:pPr>
        <w:pStyle w:val="ListBullet"/>
        <w:spacing w:before="0" w:after="60" w:line="252" w:lineRule="auto"/>
        <w:ind w:left="317" w:hanging="173"/>
      </w:pPr>
      <w:r>
        <w:rPr>
          <w:rFonts w:ascii="Arial" w:hAnsi="Arial"/>
          <w:color w:val="2B2B2B"/>
          <w:sz w:val="18"/>
        </w:rPr>
        <w:t>AFRO Group — People and Culture Dept. Structure 2026, 1 page: current People &amp; Culture functional structure and reporting lines.</w:t>
      </w:r>
    </w:p>
    <w:p>
      <w:pPr>
        <w:pStyle w:val="ListBullet"/>
        <w:spacing w:before="0" w:after="60" w:line="252" w:lineRule="auto"/>
        <w:ind w:left="317" w:hanging="173"/>
      </w:pPr>
      <w:r>
        <w:rPr>
          <w:rFonts w:ascii="Arial" w:hAnsi="Arial"/>
          <w:color w:val="2B2B2B"/>
          <w:sz w:val="18"/>
        </w:rPr>
        <w:t>AFRO HR program design decisions and analysis workshops: target-state 20-module product model, field-workforce requirements, multilingual/multi-company direction, shared platform engines, AI governance and SaaS-ready architecture.</w:t>
      </w:r>
    </w:p>
    <w:p>
      <w:pPr>
        <w:pStyle w:val="Heading2"/>
        <w:keepNext/>
        <w:keepLines/>
        <w:spacing w:before="160" w:after="80" w:line="240" w:lineRule="auto"/>
      </w:pPr>
      <w:r>
        <w:rPr>
          <w:rFonts w:ascii="Arial" w:hAnsi="Arial"/>
          <w:b/>
          <w:color w:val="F5A01B"/>
          <w:sz w:val="28"/>
        </w:rPr>
        <w:t>Document Status</w:t>
      </w:r>
    </w:p>
    <w:tbl>
      <w:tblPr>
        <w:tblW w:type="auto" w:w="0"/>
        <w:jc w:val="center"/>
        <w:tblLayout w:type="fixed"/>
        <w:tblLook w:firstColumn="1" w:firstRow="1" w:lastColumn="0" w:lastRow="0" w:noHBand="0" w:noVBand="1" w:val="04A0"/>
      </w:tblPr>
      <w:tblGrid>
        <w:gridCol w:w="9792"/>
      </w:tblGrid>
      <w:tr>
        <w:trPr>
          <w:cantSplit/>
        </w:trPr>
        <w:tc>
          <w:tcPr>
            <w:tcW w:type="dxa" w:w="10166"/>
            <w:shd w:fill="FFF6E6"/>
            <w:tcBorders>
              <w:top w:sz="4" w:val="single" w:color="E6E0D8"/>
              <w:left w:sz="14" w:val="single" w:color="F5A01B"/>
              <w:bottom w:sz="4" w:val="single" w:color="E6E0D8"/>
              <w:right w:sz="4" w:val="single" w:color="E6E0D8"/>
            </w:tcBorders>
          </w:tcPr>
          <w:p>
            <w:pPr>
              <w:spacing w:before="60" w:after="60" w:line="252" w:lineRule="auto"/>
            </w:pPr>
            <w:r>
              <w:rPr>
                <w:rFonts w:ascii="Arial" w:hAnsi="Arial"/>
                <w:b/>
                <w:color w:val="2B2B2B"/>
                <w:sz w:val="20"/>
              </w:rPr>
              <w:t xml:space="preserve">Draft for Review.  </w:t>
            </w:r>
            <w:r>
              <w:rPr>
                <w:rFonts w:ascii="Arial" w:hAnsi="Arial"/>
                <w:color w:val="2B2B2B"/>
                <w:sz w:val="19"/>
              </w:rPr>
              <w:t>This file establishes the executive baseline for the remaining blueprint. Detailed business rules, screen definitions, field-level data requirements, approval matrices, ERDs, APIs and test cases are intentionally developed in subsequent files.</w:t>
            </w:r>
          </w:p>
        </w:tc>
      </w:tr>
    </w:tbl>
    <w:sectPr w:rsidR="00FC693F" w:rsidRPr="0006063C" w:rsidSect="00034616">
      <w:headerReference w:type="default" r:id="rId9"/>
      <w:footerReference w:type="default" r:id="rId10"/>
      <w:footerReference w:type="first" r:id="rId11"/>
      <w:pgSz w:w="12240" w:h="15840"/>
      <w:pgMar w:top="936" w:right="1037" w:bottom="792" w:left="1037" w:header="360" w:footer="31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312"/>
      <w:gridCol w:w="3312"/>
      <w:gridCol w:w="3312"/>
    </w:tblGrid>
    <w:tr>
      <w:tc>
        <w:tcPr>
          <w:tcW w:type="dxa" w:w="3312"/>
          <w:tcBorders>
            <w:top w:sz="3" w:val="single" w:color="DDD8CE"/>
          </w:tcBorders>
        </w:tcPr>
        <w:p>
          <w:r>
            <w:rPr>
              <w:rFonts w:ascii="Arial" w:hAnsi="Arial"/>
              <w:b/>
              <w:color w:val="666666"/>
              <w:sz w:val="15"/>
            </w:rPr>
            <w:t>CONFIDENTIAL</w:t>
          </w:r>
        </w:p>
      </w:tc>
      <w:tc>
        <w:tcPr>
          <w:tcW w:type="dxa" w:w="3312"/>
          <w:tcBorders>
            <w:top w:sz="3" w:val="single" w:color="DDD8CE"/>
          </w:tcBorders>
        </w:tcPr>
        <w:p>
          <w:pPr>
            <w:jc w:val="center"/>
          </w:pPr>
          <w:r>
            <w:rPr>
              <w:rFonts w:ascii="Arial" w:hAnsi="Arial"/>
              <w:color w:val="666666"/>
              <w:sz w:val="15"/>
            </w:rPr>
            <w:t>Version 1.0 | 10 Aug 2026</w:t>
          </w:r>
        </w:p>
      </w:tc>
      <w:tc>
        <w:tcPr>
          <w:tcW w:type="dxa" w:w="3312"/>
          <w:tcBorders>
            <w:top w:sz="3" w:val="single" w:color="DDD8CE"/>
          </w:tcBorders>
        </w:tcPr>
        <w:p>
          <w:pPr>
            <w:jc w:val="right"/>
          </w:pPr>
          <w:r>
            <w:rPr>
              <w:rFonts w:ascii="Arial" w:hAnsi="Arial"/>
              <w:color w:val="666666"/>
              <w:sz w:val="16"/>
            </w:rPr>
            <w:t xml:space="preserve">Page </w:t>
          </w:r>
          <w:fldSimple w:instr="PAGE">
            <w:r>
              <w:rPr>
                <w:color w:val="666666"/>
                <w:sz w:val="16"/>
              </w:rPr>
              <w:t>1</w:t>
            </w:r>
          </w:fldSimple>
          <w:r>
            <w:rPr>
              <w:rFonts w:ascii="Arial" w:hAnsi="Arial"/>
              <w:color w:val="666666"/>
              <w:sz w:val="16"/>
            </w:rPr>
            <w:t xml:space="preserve"> of </w:t>
          </w:r>
          <w:fldSimple w:instr="NUMPAGES">
            <w:r>
              <w:rPr>
                <w:color w:val="666666"/>
                <w:sz w:val="16"/>
              </w:rPr>
              <w:t>1</w:t>
            </w:r>
          </w:fldSimple>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7"/>
      </w:rPr>
      <w:t>AFRO Group  |  Confidential  |  Draft for Review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1728"/>
      <w:gridCol w:w="8208"/>
    </w:tblGrid>
    <w:tr>
      <w:tc>
        <w:tcPr>
          <w:tcW w:type="dxa" w:w="4968"/>
          <w:tcBorders>
            <w:bottom w:sz="5" w:val="single" w:color="F5A01B"/>
          </w:tcBorders>
        </w:tcPr>
        <w:p>
          <w:pPr>
            <w:jc w:val="left"/>
          </w:pPr>
          <w:r>
            <w:drawing>
              <wp:inline xmlns:a="http://schemas.openxmlformats.org/drawingml/2006/main" xmlns:pic="http://schemas.openxmlformats.org/drawingml/2006/picture">
                <wp:extent cx="658368" cy="190580"/>
                <wp:docPr id="1" name="Picture 1"/>
                <wp:cNvGraphicFramePr>
                  <a:graphicFrameLocks noChangeAspect="1"/>
                </wp:cNvGraphicFramePr>
                <a:graphic>
                  <a:graphicData uri="http://schemas.openxmlformats.org/drawingml/2006/picture">
                    <pic:pic>
                      <pic:nvPicPr>
                        <pic:cNvPr id="0" name="afro_logo.png"/>
                        <pic:cNvPicPr/>
                      </pic:nvPicPr>
                      <pic:blipFill>
                        <a:blip r:embed="rId1"/>
                        <a:stretch>
                          <a:fillRect/>
                        </a:stretch>
                      </pic:blipFill>
                      <pic:spPr>
                        <a:xfrm>
                          <a:off x="0" y="0"/>
                          <a:ext cx="658368" cy="190580"/>
                        </a:xfrm>
                        <a:prstGeom prst="rect"/>
                      </pic:spPr>
                    </pic:pic>
                  </a:graphicData>
                </a:graphic>
              </wp:inline>
            </w:drawing>
          </w:r>
        </w:p>
      </w:tc>
      <w:tc>
        <w:tcPr>
          <w:tcW w:type="dxa" w:w="4968"/>
          <w:tcBorders>
            <w:bottom w:sz="5" w:val="single" w:color="F5A01B"/>
          </w:tcBorders>
        </w:tcPr>
        <w:p>
          <w:pPr>
            <w:jc w:val="right"/>
          </w:pPr>
          <w:r>
            <w:rPr>
              <w:rFonts w:ascii="Arial" w:hAnsi="Arial"/>
              <w:b/>
              <w:color w:val="666666"/>
              <w:sz w:val="16"/>
            </w:rPr>
            <w:t>AFRO HR  |  Enterprise System Solution Blueprint  |  File 00</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B2B2B"/>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F5A01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B2B2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2B2B2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AFRO HR — Enterprise System Solution Blueprint — File 00</dc:title>
  <dc:subject>Executive Overview, Vision, Objectives &amp; Scope</dc:subject>
  <dc:creator>AFRO HR Program</dc:creator>
  <cp:keywords>AFRO HR, System Blueprint, HRIS, HCM, People and Culture</cp:keywords>
  <dc:description>Draft for review</dc:description>
  <cp:lastModifiedBy/>
  <cp:revision>1</cp:revision>
  <dcterms:created xsi:type="dcterms:W3CDTF">2013-12-23T23:15:00Z</dcterms:created>
  <dcterms:modified xsi:type="dcterms:W3CDTF">2013-12-23T23:15:00Z</dcterms:modified>
  <cp:category/>
</cp:coreProperties>
</file>